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0B291" w14:textId="77777777" w:rsidR="001709A7" w:rsidRDefault="001709A7" w:rsidP="001709A7">
      <w:pPr>
        <w:pStyle w:val="aa"/>
        <w:shd w:val="clear" w:color="auto" w:fill="FFFFFF"/>
        <w:spacing w:before="0" w:beforeAutospacing="0" w:after="0" w:afterAutospacing="0"/>
        <w:jc w:val="both"/>
        <w:rPr>
          <w:rFonts w:ascii="Calibri" w:eastAsia="微软雅黑" w:hAnsi="Calibri" w:cs="Calibri"/>
          <w:color w:val="3F3F3F"/>
          <w:sz w:val="21"/>
          <w:szCs w:val="21"/>
        </w:rPr>
      </w:pPr>
      <w:r>
        <w:rPr>
          <w:rFonts w:ascii="Calibri" w:eastAsia="微软雅黑" w:hAnsi="Calibri" w:cs="Calibri"/>
          <w:color w:val="3F3F3F"/>
          <w:sz w:val="21"/>
          <w:szCs w:val="21"/>
        </w:rPr>
        <w:t> </w:t>
      </w:r>
    </w:p>
    <w:p w14:paraId="7F9F2CFA" w14:textId="77777777" w:rsidR="001709A7" w:rsidRDefault="001709A7" w:rsidP="001709A7">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第一编·第四章·审计抽样方法</w:t>
      </w:r>
    </w:p>
    <w:p w14:paraId="188D7DE4" w14:textId="77777777" w:rsidR="001709A7" w:rsidRDefault="001709A7" w:rsidP="001709A7">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07234C1A" w14:textId="77777777" w:rsidR="001709A7" w:rsidRDefault="001709A7" w:rsidP="001709A7">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rPr>
        <w:t>第三节　审计抽样在细节测试中的运用</w:t>
      </w:r>
    </w:p>
    <w:p w14:paraId="702B44BA" w14:textId="77777777" w:rsidR="001709A7" w:rsidRDefault="001709A7" w:rsidP="001709A7">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二、选取样本阶段</w:t>
      </w:r>
    </w:p>
    <w:p w14:paraId="46F8981E" w14:textId="77777777" w:rsidR="001709A7" w:rsidRDefault="001709A7" w:rsidP="001709A7">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（一）确定抽样方法</w:t>
      </w:r>
    </w:p>
    <w:p w14:paraId="49F09D2D" w14:textId="77777777" w:rsidR="001709A7" w:rsidRDefault="001709A7" w:rsidP="001709A7">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1.传统变量抽样</w:t>
      </w:r>
      <w:r>
        <w:rPr>
          <w:rFonts w:cs="Calibri" w:hint="eastAsia"/>
          <w:b/>
          <w:bCs/>
          <w:color w:val="FF0000"/>
          <w:sz w:val="21"/>
          <w:szCs w:val="21"/>
        </w:rPr>
        <w:t>【多选题考点】</w:t>
      </w:r>
    </w:p>
    <w:p w14:paraId="2ECA9EDE" w14:textId="77777777" w:rsidR="001709A7" w:rsidRDefault="001709A7" w:rsidP="001709A7">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（3）传统变量抽样的优点</w:t>
      </w:r>
    </w:p>
    <w:tbl>
      <w:tblPr>
        <w:tblW w:w="8505" w:type="dxa"/>
        <w:jc w:val="center"/>
        <w:tblCellMar>
          <w:left w:w="0" w:type="dxa"/>
          <w:right w:w="0" w:type="dxa"/>
        </w:tblCellMar>
        <w:tblLook w:val="04A0" w:firstRow="1" w:lastRow="0" w:firstColumn="1" w:lastColumn="0" w:noHBand="0" w:noVBand="1"/>
      </w:tblPr>
      <w:tblGrid>
        <w:gridCol w:w="1376"/>
        <w:gridCol w:w="7129"/>
      </w:tblGrid>
      <w:tr w:rsidR="001709A7" w14:paraId="42622B41" w14:textId="77777777" w:rsidTr="001709A7">
        <w:trPr>
          <w:trHeight w:val="60"/>
          <w:jc w:val="center"/>
        </w:trPr>
        <w:tc>
          <w:tcPr>
            <w:tcW w:w="13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3D641F"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方法</w:t>
            </w:r>
          </w:p>
        </w:tc>
        <w:tc>
          <w:tcPr>
            <w:tcW w:w="712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436B8F4"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1709A7" w14:paraId="5CC57A07" w14:textId="77777777" w:rsidTr="001709A7">
        <w:trPr>
          <w:trHeight w:val="554"/>
          <w:jc w:val="center"/>
        </w:trPr>
        <w:tc>
          <w:tcPr>
            <w:tcW w:w="13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B222272"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优点</w:t>
            </w:r>
          </w:p>
        </w:tc>
        <w:tc>
          <w:tcPr>
            <w:tcW w:w="71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905457"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a）如果账面金额与审定金额之间存在较多差异，传统变量抽样可能只需</w:t>
            </w:r>
            <w:r>
              <w:rPr>
                <w:rFonts w:cs="Calibri" w:hint="eastAsia"/>
                <w:b/>
                <w:bCs/>
                <w:color w:val="FF0000"/>
                <w:sz w:val="21"/>
                <w:szCs w:val="21"/>
              </w:rPr>
              <w:t>较小的样本规模</w:t>
            </w:r>
            <w:r>
              <w:rPr>
                <w:rFonts w:cs="Calibri" w:hint="eastAsia"/>
                <w:color w:val="333333"/>
                <w:sz w:val="21"/>
                <w:szCs w:val="21"/>
              </w:rPr>
              <w:t>就能满足审计目标</w:t>
            </w:r>
          </w:p>
          <w:p w14:paraId="77008124"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b）注册会计师关注总体的</w:t>
            </w:r>
            <w:r>
              <w:rPr>
                <w:rFonts w:cs="Calibri" w:hint="eastAsia"/>
                <w:b/>
                <w:bCs/>
                <w:color w:val="FF0000"/>
                <w:sz w:val="21"/>
                <w:szCs w:val="21"/>
              </w:rPr>
              <w:t>低估</w:t>
            </w:r>
            <w:r>
              <w:rPr>
                <w:rFonts w:cs="Calibri" w:hint="eastAsia"/>
                <w:color w:val="333333"/>
                <w:sz w:val="21"/>
                <w:szCs w:val="21"/>
              </w:rPr>
              <w:t>时，传统变量抽样比货币单元抽样更合适</w:t>
            </w:r>
          </w:p>
          <w:p w14:paraId="696745E0"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c）需要在每一层追加选取额外的样本项目时，传统变量抽样</w:t>
            </w:r>
            <w:r>
              <w:rPr>
                <w:rFonts w:cs="Calibri" w:hint="eastAsia"/>
                <w:b/>
                <w:bCs/>
                <w:color w:val="FF0000"/>
                <w:sz w:val="21"/>
                <w:szCs w:val="21"/>
              </w:rPr>
              <w:t>更易于扩大样本规模</w:t>
            </w:r>
          </w:p>
          <w:p w14:paraId="39F08FB2"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d）对</w:t>
            </w:r>
            <w:r>
              <w:rPr>
                <w:rFonts w:cs="Calibri" w:hint="eastAsia"/>
                <w:b/>
                <w:bCs/>
                <w:color w:val="FF0000"/>
                <w:sz w:val="21"/>
                <w:szCs w:val="21"/>
              </w:rPr>
              <w:t>零余额或负余额项目</w:t>
            </w:r>
            <w:r>
              <w:rPr>
                <w:rFonts w:cs="Calibri" w:hint="eastAsia"/>
                <w:color w:val="333333"/>
                <w:sz w:val="21"/>
                <w:szCs w:val="21"/>
              </w:rPr>
              <w:t>的选取，传统变量抽样</w:t>
            </w:r>
            <w:r>
              <w:rPr>
                <w:rFonts w:cs="Calibri" w:hint="eastAsia"/>
                <w:b/>
                <w:bCs/>
                <w:color w:val="FF0000"/>
                <w:sz w:val="21"/>
                <w:szCs w:val="21"/>
              </w:rPr>
              <w:t>不需要</w:t>
            </w:r>
            <w:r>
              <w:rPr>
                <w:rFonts w:cs="Calibri" w:hint="eastAsia"/>
                <w:color w:val="333333"/>
                <w:sz w:val="21"/>
                <w:szCs w:val="21"/>
              </w:rPr>
              <w:t>在设计时予以特别考虑</w:t>
            </w:r>
          </w:p>
        </w:tc>
      </w:tr>
    </w:tbl>
    <w:p w14:paraId="1EE73AA2" w14:textId="77777777" w:rsidR="001709A7" w:rsidRDefault="001709A7" w:rsidP="001709A7">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（4）传统变量抽样的缺点</w:t>
      </w:r>
    </w:p>
    <w:tbl>
      <w:tblPr>
        <w:tblW w:w="8505" w:type="dxa"/>
        <w:jc w:val="center"/>
        <w:tblCellMar>
          <w:left w:w="0" w:type="dxa"/>
          <w:right w:w="0" w:type="dxa"/>
        </w:tblCellMar>
        <w:tblLook w:val="04A0" w:firstRow="1" w:lastRow="0" w:firstColumn="1" w:lastColumn="0" w:noHBand="0" w:noVBand="1"/>
      </w:tblPr>
      <w:tblGrid>
        <w:gridCol w:w="1376"/>
        <w:gridCol w:w="7129"/>
      </w:tblGrid>
      <w:tr w:rsidR="001709A7" w14:paraId="08754B9A" w14:textId="77777777" w:rsidTr="001709A7">
        <w:trPr>
          <w:trHeight w:val="60"/>
          <w:jc w:val="center"/>
        </w:trPr>
        <w:tc>
          <w:tcPr>
            <w:tcW w:w="13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C11565"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方法</w:t>
            </w:r>
          </w:p>
        </w:tc>
        <w:tc>
          <w:tcPr>
            <w:tcW w:w="712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55E948A"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1709A7" w14:paraId="383D6CD5" w14:textId="77777777" w:rsidTr="001709A7">
        <w:trPr>
          <w:trHeight w:val="60"/>
          <w:jc w:val="center"/>
        </w:trPr>
        <w:tc>
          <w:tcPr>
            <w:tcW w:w="13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E201C7"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缺点</w:t>
            </w:r>
          </w:p>
        </w:tc>
        <w:tc>
          <w:tcPr>
            <w:tcW w:w="71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6AF6EC"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a）传统变量抽样比货币单元抽样更复杂，注册会计师通常需要借助计算机程序</w:t>
            </w:r>
          </w:p>
          <w:p w14:paraId="5D8FAE73"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b）确定样本规模时，</w:t>
            </w:r>
            <w:r>
              <w:rPr>
                <w:rFonts w:cs="Calibri" w:hint="eastAsia"/>
                <w:b/>
                <w:bCs/>
                <w:color w:val="FF0000"/>
                <w:sz w:val="21"/>
                <w:szCs w:val="21"/>
              </w:rPr>
              <w:t>需要估计总体特征的标准差</w:t>
            </w:r>
          </w:p>
          <w:p w14:paraId="6C244F36"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c）如果存在非常大的项目，或者在总体的账面金额与审定金额之间存在非常大的差异，而且样本规模比较小，正态分布理论</w:t>
            </w:r>
            <w:r>
              <w:rPr>
                <w:rFonts w:cs="Calibri" w:hint="eastAsia"/>
                <w:b/>
                <w:bCs/>
                <w:color w:val="FF0000"/>
                <w:sz w:val="21"/>
                <w:szCs w:val="21"/>
              </w:rPr>
              <w:t>可能不适用</w:t>
            </w:r>
          </w:p>
          <w:p w14:paraId="47FFB7DD"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d）如果几乎不存在错报，传统变量抽样中的差异法和比率法将无法使用</w:t>
            </w:r>
          </w:p>
        </w:tc>
      </w:tr>
    </w:tbl>
    <w:p w14:paraId="2784EF29" w14:textId="77777777" w:rsidR="001709A7" w:rsidRDefault="001709A7" w:rsidP="001709A7">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2.货币单元抽样</w:t>
      </w:r>
      <w:r>
        <w:rPr>
          <w:rFonts w:cs="Calibri" w:hint="eastAsia"/>
          <w:b/>
          <w:bCs/>
          <w:color w:val="FF0000"/>
          <w:sz w:val="21"/>
          <w:szCs w:val="21"/>
        </w:rPr>
        <w:t>【单选题考点】</w:t>
      </w:r>
    </w:p>
    <w:p w14:paraId="31D7D22F" w14:textId="77777777" w:rsidR="001709A7" w:rsidRDefault="001709A7" w:rsidP="001709A7">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（1）基本概念</w:t>
      </w:r>
    </w:p>
    <w:tbl>
      <w:tblPr>
        <w:tblW w:w="8505" w:type="dxa"/>
        <w:jc w:val="center"/>
        <w:tblCellMar>
          <w:left w:w="0" w:type="dxa"/>
          <w:right w:w="0" w:type="dxa"/>
        </w:tblCellMar>
        <w:tblLook w:val="04A0" w:firstRow="1" w:lastRow="0" w:firstColumn="1" w:lastColumn="0" w:noHBand="0" w:noVBand="1"/>
      </w:tblPr>
      <w:tblGrid>
        <w:gridCol w:w="1376"/>
        <w:gridCol w:w="7129"/>
      </w:tblGrid>
      <w:tr w:rsidR="001709A7" w14:paraId="2CFD157D" w14:textId="77777777" w:rsidTr="001709A7">
        <w:trPr>
          <w:trHeight w:val="60"/>
          <w:jc w:val="center"/>
        </w:trPr>
        <w:tc>
          <w:tcPr>
            <w:tcW w:w="13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A72A31"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方法</w:t>
            </w:r>
          </w:p>
        </w:tc>
        <w:tc>
          <w:tcPr>
            <w:tcW w:w="712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B0A80D5"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1709A7" w14:paraId="0D77C489" w14:textId="77777777" w:rsidTr="001709A7">
        <w:trPr>
          <w:trHeight w:val="60"/>
          <w:jc w:val="center"/>
        </w:trPr>
        <w:tc>
          <w:tcPr>
            <w:tcW w:w="13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42E3966"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概念</w:t>
            </w:r>
          </w:p>
        </w:tc>
        <w:tc>
          <w:tcPr>
            <w:tcW w:w="71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C5CC17D"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运用</w:t>
            </w:r>
            <w:r>
              <w:rPr>
                <w:rFonts w:cs="Calibri" w:hint="eastAsia"/>
                <w:b/>
                <w:bCs/>
                <w:color w:val="FF0000"/>
                <w:sz w:val="21"/>
                <w:szCs w:val="21"/>
              </w:rPr>
              <w:t>属性抽样原理</w:t>
            </w:r>
            <w:r>
              <w:rPr>
                <w:rFonts w:cs="Calibri" w:hint="eastAsia"/>
                <w:color w:val="333333"/>
                <w:sz w:val="21"/>
                <w:szCs w:val="21"/>
              </w:rPr>
              <w:t>，对货币金额而不是对发生率得出结论的统计抽样方法，是概率比例规模抽样方法的分支，也称为金额单元抽样、累计货币金额抽样以及综合属性变量抽样</w:t>
            </w:r>
          </w:p>
        </w:tc>
      </w:tr>
      <w:tr w:rsidR="001709A7" w14:paraId="1A889238" w14:textId="77777777" w:rsidTr="001709A7">
        <w:trPr>
          <w:trHeight w:val="60"/>
          <w:jc w:val="center"/>
        </w:trPr>
        <w:tc>
          <w:tcPr>
            <w:tcW w:w="13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BB7371"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抽样单元</w:t>
            </w:r>
          </w:p>
        </w:tc>
        <w:tc>
          <w:tcPr>
            <w:tcW w:w="71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488E52"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货币单元</w:t>
            </w:r>
          </w:p>
        </w:tc>
      </w:tr>
    </w:tbl>
    <w:p w14:paraId="045E2B31" w14:textId="77777777" w:rsidR="001709A7" w:rsidRDefault="001709A7" w:rsidP="001709A7">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"http://webupload.admin.dongao.com/biz/handout/img/2019/20190513/20190513160441272001.png"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58.75pt">
            <v:imagedata r:id="rId7" r:href="rId8"/>
          </v:shape>
        </w:pict>
      </w:r>
      <w:r>
        <w:rPr>
          <w:rFonts w:ascii="Calibri" w:eastAsia="微软雅黑" w:hAnsi="Calibri" w:cs="Calibri"/>
          <w:color w:val="3F3F3F"/>
          <w:sz w:val="21"/>
          <w:szCs w:val="21"/>
        </w:rPr>
        <w:fldChar w:fldCharType="end"/>
      </w:r>
    </w:p>
    <w:p w14:paraId="2BAB96CC" w14:textId="77777777" w:rsidR="001709A7" w:rsidRDefault="001709A7" w:rsidP="001709A7">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（2）货币单元抽样的特点</w:t>
      </w:r>
    </w:p>
    <w:tbl>
      <w:tblPr>
        <w:tblW w:w="8505" w:type="dxa"/>
        <w:jc w:val="center"/>
        <w:tblCellMar>
          <w:left w:w="0" w:type="dxa"/>
          <w:right w:w="0" w:type="dxa"/>
        </w:tblCellMar>
        <w:tblLook w:val="04A0" w:firstRow="1" w:lastRow="0" w:firstColumn="1" w:lastColumn="0" w:noHBand="0" w:noVBand="1"/>
      </w:tblPr>
      <w:tblGrid>
        <w:gridCol w:w="1376"/>
        <w:gridCol w:w="7129"/>
      </w:tblGrid>
      <w:tr w:rsidR="001709A7" w14:paraId="20929258" w14:textId="77777777" w:rsidTr="001709A7">
        <w:trPr>
          <w:trHeight w:val="60"/>
          <w:jc w:val="center"/>
        </w:trPr>
        <w:tc>
          <w:tcPr>
            <w:tcW w:w="13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0C4D916"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方法</w:t>
            </w:r>
          </w:p>
        </w:tc>
        <w:tc>
          <w:tcPr>
            <w:tcW w:w="712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AC91E0C"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1709A7" w14:paraId="7D05382C" w14:textId="77777777" w:rsidTr="001709A7">
        <w:trPr>
          <w:trHeight w:val="115"/>
          <w:jc w:val="center"/>
        </w:trPr>
        <w:tc>
          <w:tcPr>
            <w:tcW w:w="13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050798"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特点</w:t>
            </w:r>
          </w:p>
        </w:tc>
        <w:tc>
          <w:tcPr>
            <w:tcW w:w="71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60132F4"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（1）每个</w:t>
            </w:r>
            <w:r>
              <w:rPr>
                <w:rFonts w:cs="Calibri" w:hint="eastAsia"/>
                <w:b/>
                <w:bCs/>
                <w:color w:val="FF0000"/>
                <w:sz w:val="21"/>
                <w:szCs w:val="21"/>
              </w:rPr>
              <w:t>货币单元</w:t>
            </w:r>
            <w:r>
              <w:rPr>
                <w:rFonts w:cs="Calibri" w:hint="eastAsia"/>
                <w:color w:val="333333"/>
                <w:sz w:val="21"/>
                <w:szCs w:val="21"/>
              </w:rPr>
              <w:t>被选中的机会相同</w:t>
            </w:r>
          </w:p>
          <w:p w14:paraId="770C8138"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（2）每个</w:t>
            </w:r>
            <w:r>
              <w:rPr>
                <w:rFonts w:cs="Calibri" w:hint="eastAsia"/>
                <w:b/>
                <w:bCs/>
                <w:color w:val="FF0000"/>
                <w:sz w:val="21"/>
                <w:szCs w:val="21"/>
              </w:rPr>
              <w:t>项目</w:t>
            </w:r>
            <w:r>
              <w:rPr>
                <w:rFonts w:cs="Calibri" w:hint="eastAsia"/>
                <w:color w:val="333333"/>
                <w:sz w:val="21"/>
                <w:szCs w:val="21"/>
              </w:rPr>
              <w:t>被选中的概率等于该项目的金额与总体金额的比率</w:t>
            </w:r>
          </w:p>
          <w:p w14:paraId="35C64598"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（3）项目</w:t>
            </w:r>
            <w:r>
              <w:rPr>
                <w:rFonts w:cs="Calibri" w:hint="eastAsia"/>
                <w:b/>
                <w:bCs/>
                <w:color w:val="FF0000"/>
                <w:sz w:val="21"/>
                <w:szCs w:val="21"/>
              </w:rPr>
              <w:t>金额越大</w:t>
            </w:r>
            <w:r>
              <w:rPr>
                <w:rFonts w:cs="Calibri" w:hint="eastAsia"/>
                <w:color w:val="333333"/>
                <w:sz w:val="21"/>
                <w:szCs w:val="21"/>
              </w:rPr>
              <w:t>，被选中的</w:t>
            </w:r>
            <w:r>
              <w:rPr>
                <w:rFonts w:cs="Calibri" w:hint="eastAsia"/>
                <w:b/>
                <w:bCs/>
                <w:color w:val="FF0000"/>
                <w:sz w:val="21"/>
                <w:szCs w:val="21"/>
              </w:rPr>
              <w:t>概率就越大</w:t>
            </w:r>
          </w:p>
          <w:p w14:paraId="1268A2A0"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（4）有助于注册会计师将审计重点放在</w:t>
            </w:r>
            <w:r>
              <w:rPr>
                <w:rFonts w:cs="Calibri" w:hint="eastAsia"/>
                <w:b/>
                <w:bCs/>
                <w:color w:val="FF0000"/>
                <w:sz w:val="21"/>
                <w:szCs w:val="21"/>
              </w:rPr>
              <w:t>较大的</w:t>
            </w:r>
            <w:r>
              <w:rPr>
                <w:rFonts w:cs="Calibri" w:hint="eastAsia"/>
                <w:color w:val="333333"/>
                <w:sz w:val="21"/>
                <w:szCs w:val="21"/>
              </w:rPr>
              <w:t>账户余额或交易</w:t>
            </w:r>
          </w:p>
          <w:p w14:paraId="533395C3"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（5）注册会计师不是对货币单元实施检查，而是对包含被选取货币单元的账户余额或交易实施检查，注册会计师检查的账户余额或交易称为</w:t>
            </w:r>
            <w:r>
              <w:rPr>
                <w:rFonts w:cs="Calibri" w:hint="eastAsia"/>
                <w:b/>
                <w:bCs/>
                <w:color w:val="FF0000"/>
                <w:sz w:val="21"/>
                <w:szCs w:val="21"/>
              </w:rPr>
              <w:t>逻辑单元</w:t>
            </w:r>
          </w:p>
        </w:tc>
      </w:tr>
    </w:tbl>
    <w:p w14:paraId="4C48E41F" w14:textId="77777777" w:rsidR="001709A7" w:rsidRDefault="001709A7" w:rsidP="001709A7">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（3）货币单元抽样的优点</w:t>
      </w:r>
    </w:p>
    <w:tbl>
      <w:tblPr>
        <w:tblW w:w="8505" w:type="dxa"/>
        <w:jc w:val="center"/>
        <w:tblCellMar>
          <w:left w:w="0" w:type="dxa"/>
          <w:right w:w="0" w:type="dxa"/>
        </w:tblCellMar>
        <w:tblLook w:val="04A0" w:firstRow="1" w:lastRow="0" w:firstColumn="1" w:lastColumn="0" w:noHBand="0" w:noVBand="1"/>
      </w:tblPr>
      <w:tblGrid>
        <w:gridCol w:w="1384"/>
        <w:gridCol w:w="7121"/>
      </w:tblGrid>
      <w:tr w:rsidR="001709A7" w14:paraId="505DCFAC" w14:textId="77777777" w:rsidTr="001709A7">
        <w:trPr>
          <w:trHeight w:val="60"/>
          <w:jc w:val="center"/>
        </w:trPr>
        <w:tc>
          <w:tcPr>
            <w:tcW w:w="13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646815"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方法</w:t>
            </w:r>
          </w:p>
        </w:tc>
        <w:tc>
          <w:tcPr>
            <w:tcW w:w="712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F9B9E8"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1709A7" w14:paraId="5DC89678" w14:textId="77777777" w:rsidTr="001709A7">
        <w:trPr>
          <w:trHeight w:val="70"/>
          <w:jc w:val="center"/>
        </w:trPr>
        <w:tc>
          <w:tcPr>
            <w:tcW w:w="138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9F4E3E2"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优点</w:t>
            </w:r>
          </w:p>
        </w:tc>
        <w:tc>
          <w:tcPr>
            <w:tcW w:w="712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D72C3F"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a）以</w:t>
            </w:r>
            <w:r>
              <w:rPr>
                <w:rFonts w:cs="Calibri" w:hint="eastAsia"/>
                <w:b/>
                <w:bCs/>
                <w:color w:val="FF0000"/>
                <w:sz w:val="21"/>
                <w:szCs w:val="21"/>
              </w:rPr>
              <w:t>属性抽样原理为基础</w:t>
            </w:r>
            <w:r>
              <w:rPr>
                <w:rFonts w:cs="Calibri" w:hint="eastAsia"/>
                <w:color w:val="333333"/>
                <w:sz w:val="21"/>
                <w:szCs w:val="21"/>
              </w:rPr>
              <w:t>，便于计算样本规模和评价样本结果，通常比传统变量抽样更易于使用</w:t>
            </w:r>
          </w:p>
          <w:p w14:paraId="13C929E2"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b）确定样本规模时</w:t>
            </w:r>
            <w:r>
              <w:rPr>
                <w:rFonts w:cs="Calibri" w:hint="eastAsia"/>
                <w:b/>
                <w:bCs/>
                <w:color w:val="FF0000"/>
                <w:sz w:val="21"/>
                <w:szCs w:val="21"/>
              </w:rPr>
              <w:t>无须直接考虑</w:t>
            </w:r>
            <w:r>
              <w:rPr>
                <w:rFonts w:cs="Calibri" w:hint="eastAsia"/>
                <w:color w:val="333333"/>
                <w:sz w:val="21"/>
                <w:szCs w:val="21"/>
              </w:rPr>
              <w:t>总体的特征（如变异性）</w:t>
            </w:r>
          </w:p>
          <w:p w14:paraId="27587109"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w:t>
            </w:r>
            <w:r>
              <w:rPr>
                <w:rFonts w:cs="Calibri" w:hint="eastAsia"/>
                <w:b/>
                <w:bCs/>
                <w:color w:val="FF0000"/>
                <w:sz w:val="21"/>
                <w:szCs w:val="21"/>
              </w:rPr>
              <w:t>无需</w:t>
            </w:r>
            <w:r>
              <w:rPr>
                <w:rFonts w:cs="Calibri" w:hint="eastAsia"/>
                <w:color w:val="333333"/>
                <w:sz w:val="21"/>
                <w:szCs w:val="21"/>
              </w:rPr>
              <w:t>通过分层减少变异性，而传统变量抽样需要对总体进行分层以减小样本规模</w:t>
            </w:r>
          </w:p>
          <w:p w14:paraId="06F53E04"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d）使用系统选样法选取样本时，如果项目金额等于或大于选样间距，货币单元抽样将</w:t>
            </w:r>
            <w:r>
              <w:rPr>
                <w:rFonts w:cs="Calibri" w:hint="eastAsia"/>
                <w:b/>
                <w:bCs/>
                <w:color w:val="FF0000"/>
                <w:sz w:val="21"/>
                <w:szCs w:val="21"/>
              </w:rPr>
              <w:t>自动识别</w:t>
            </w:r>
            <w:r>
              <w:rPr>
                <w:rFonts w:cs="Calibri" w:hint="eastAsia"/>
                <w:color w:val="333333"/>
                <w:sz w:val="21"/>
                <w:szCs w:val="21"/>
              </w:rPr>
              <w:t>所有单个重大项目，即该项目一定会被选中</w:t>
            </w:r>
          </w:p>
          <w:p w14:paraId="0958C778"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e）如果注册会计师预计错报不存在，货币单元抽样的样本规模通常比传统变量抽样方法</w:t>
            </w:r>
            <w:r>
              <w:rPr>
                <w:rFonts w:cs="Calibri" w:hint="eastAsia"/>
                <w:b/>
                <w:bCs/>
                <w:color w:val="FF0000"/>
                <w:sz w:val="21"/>
                <w:szCs w:val="21"/>
              </w:rPr>
              <w:t>更小</w:t>
            </w:r>
          </w:p>
          <w:p w14:paraId="2DE8F9EC"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f）货币单元抽样的样本更容易设计，且可在能够获得完整的总体之前开始选取样本</w:t>
            </w:r>
          </w:p>
        </w:tc>
      </w:tr>
    </w:tbl>
    <w:p w14:paraId="73415B39" w14:textId="77777777" w:rsidR="001709A7" w:rsidRDefault="001709A7" w:rsidP="001709A7">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（4）货币单元抽样的缺点</w:t>
      </w:r>
    </w:p>
    <w:tbl>
      <w:tblPr>
        <w:tblW w:w="8505" w:type="dxa"/>
        <w:jc w:val="center"/>
        <w:tblCellMar>
          <w:left w:w="0" w:type="dxa"/>
          <w:right w:w="0" w:type="dxa"/>
        </w:tblCellMar>
        <w:tblLook w:val="04A0" w:firstRow="1" w:lastRow="0" w:firstColumn="1" w:lastColumn="0" w:noHBand="0" w:noVBand="1"/>
      </w:tblPr>
      <w:tblGrid>
        <w:gridCol w:w="1376"/>
        <w:gridCol w:w="7129"/>
      </w:tblGrid>
      <w:tr w:rsidR="001709A7" w14:paraId="6F25E998" w14:textId="77777777" w:rsidTr="001709A7">
        <w:trPr>
          <w:trHeight w:val="60"/>
          <w:jc w:val="center"/>
        </w:trPr>
        <w:tc>
          <w:tcPr>
            <w:tcW w:w="13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558D8C"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方法</w:t>
            </w:r>
          </w:p>
        </w:tc>
        <w:tc>
          <w:tcPr>
            <w:tcW w:w="712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62406CE"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内容</w:t>
            </w:r>
          </w:p>
        </w:tc>
      </w:tr>
      <w:tr w:rsidR="001709A7" w14:paraId="6D8AD73E" w14:textId="77777777" w:rsidTr="001709A7">
        <w:trPr>
          <w:trHeight w:val="70"/>
          <w:jc w:val="center"/>
        </w:trPr>
        <w:tc>
          <w:tcPr>
            <w:tcW w:w="13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7F677A"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缺点</w:t>
            </w:r>
          </w:p>
        </w:tc>
        <w:tc>
          <w:tcPr>
            <w:tcW w:w="71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EB18584"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a）货币单元抽样不适用于测试总体的低估</w:t>
            </w:r>
          </w:p>
          <w:p w14:paraId="5B5BFCC2"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b）对零余额或负余额的选取需要在设计时特别考虑</w:t>
            </w:r>
          </w:p>
          <w:p w14:paraId="72FC7637"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c）当发现错报时，如果风险水平一定，货币单元抽样在评价样本时可能</w:t>
            </w:r>
            <w:r>
              <w:rPr>
                <w:rFonts w:cs="Calibri" w:hint="eastAsia"/>
                <w:b/>
                <w:bCs/>
                <w:color w:val="FF0000"/>
                <w:sz w:val="21"/>
                <w:szCs w:val="21"/>
              </w:rPr>
              <w:t>高估抽样风险</w:t>
            </w:r>
            <w:r>
              <w:rPr>
                <w:rFonts w:cs="Calibri" w:hint="eastAsia"/>
                <w:color w:val="333333"/>
                <w:sz w:val="21"/>
                <w:szCs w:val="21"/>
              </w:rPr>
              <w:t>的影响，从而导致注册会计师更可能拒绝一个可接受的总体账面金额</w:t>
            </w:r>
          </w:p>
          <w:p w14:paraId="5A5010B8"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d）注册会计师通常需要</w:t>
            </w:r>
            <w:r>
              <w:rPr>
                <w:rFonts w:cs="Calibri" w:hint="eastAsia"/>
                <w:b/>
                <w:bCs/>
                <w:color w:val="FF0000"/>
                <w:sz w:val="21"/>
                <w:szCs w:val="21"/>
              </w:rPr>
              <w:t>逐个累计</w:t>
            </w:r>
            <w:r>
              <w:rPr>
                <w:rFonts w:cs="Calibri" w:hint="eastAsia"/>
                <w:color w:val="333333"/>
                <w:sz w:val="21"/>
                <w:szCs w:val="21"/>
              </w:rPr>
              <w:t>总体金额。但如果相关的会计数据以电子形式储存，就不会额外增加大量的审计成本</w:t>
            </w:r>
          </w:p>
          <w:p w14:paraId="4C9E3CAF"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e）当预计总体错报的金额增加时，货币单元抽样所需的样本规模也会</w:t>
            </w:r>
            <w:r>
              <w:rPr>
                <w:rFonts w:cs="Calibri" w:hint="eastAsia"/>
                <w:b/>
                <w:bCs/>
                <w:color w:val="FF0000"/>
                <w:sz w:val="21"/>
                <w:szCs w:val="21"/>
              </w:rPr>
              <w:t>增加</w:t>
            </w:r>
            <w:r>
              <w:rPr>
                <w:rFonts w:cs="Calibri" w:hint="eastAsia"/>
                <w:color w:val="333333"/>
                <w:sz w:val="21"/>
                <w:szCs w:val="21"/>
              </w:rPr>
              <w:t>，</w:t>
            </w:r>
            <w:r>
              <w:rPr>
                <w:rFonts w:cs="Calibri" w:hint="eastAsia"/>
                <w:color w:val="333333"/>
                <w:sz w:val="21"/>
                <w:szCs w:val="21"/>
              </w:rPr>
              <w:lastRenderedPageBreak/>
              <w:t>在这些情况下，货币单元抽样的样本规模可能大于传统变量抽样所需的规模</w:t>
            </w:r>
          </w:p>
        </w:tc>
      </w:tr>
    </w:tbl>
    <w:p w14:paraId="02706548" w14:textId="77777777" w:rsidR="001709A7" w:rsidRDefault="001709A7" w:rsidP="001709A7">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lastRenderedPageBreak/>
        <w:t>（二）确定样本规模</w:t>
      </w:r>
    </w:p>
    <w:p w14:paraId="2CEA2318" w14:textId="77777777" w:rsidR="001709A7" w:rsidRDefault="001709A7" w:rsidP="001709A7">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1.影响样本规模的因素</w:t>
      </w:r>
      <w:r>
        <w:rPr>
          <w:rFonts w:cs="Calibri" w:hint="eastAsia"/>
          <w:b/>
          <w:bCs/>
          <w:color w:val="FF0000"/>
          <w:sz w:val="21"/>
          <w:szCs w:val="21"/>
        </w:rPr>
        <w:t>【多选题必考点】</w:t>
      </w:r>
    </w:p>
    <w:p w14:paraId="2D512272" w14:textId="77777777" w:rsidR="001709A7" w:rsidRDefault="001709A7" w:rsidP="001709A7">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FF0000"/>
          <w:sz w:val="21"/>
          <w:szCs w:val="21"/>
        </w:rPr>
        <w:fldChar w:fldCharType="begin"/>
      </w:r>
      <w:r>
        <w:rPr>
          <w:rFonts w:cs="Calibri"/>
          <w:color w:val="FF0000"/>
          <w:sz w:val="21"/>
          <w:szCs w:val="21"/>
        </w:rPr>
        <w:instrText xml:space="preserve"> INCLUDEPICTURE "http://webupload.admin.dongao.com/biz/handout/img/2019/20190513/20190513160441459002.png" \* MERGEFORMATINET </w:instrText>
      </w:r>
      <w:r>
        <w:rPr>
          <w:rFonts w:cs="Calibri"/>
          <w:color w:val="FF0000"/>
          <w:sz w:val="21"/>
          <w:szCs w:val="21"/>
        </w:rPr>
        <w:fldChar w:fldCharType="separate"/>
      </w:r>
      <w:r>
        <w:rPr>
          <w:rFonts w:cs="Calibri"/>
          <w:color w:val="FF0000"/>
          <w:sz w:val="21"/>
          <w:szCs w:val="21"/>
        </w:rPr>
        <w:pict>
          <v:shape id="_x0000_i1026" type="#_x0000_t75" style="width:393.75pt;height:283.5pt">
            <v:imagedata r:id="rId9" r:href="rId10"/>
          </v:shape>
        </w:pict>
      </w:r>
      <w:r>
        <w:rPr>
          <w:rFonts w:cs="Calibri"/>
          <w:color w:val="FF0000"/>
          <w:sz w:val="21"/>
          <w:szCs w:val="21"/>
        </w:rPr>
        <w:fldChar w:fldCharType="end"/>
      </w:r>
    </w:p>
    <w:tbl>
      <w:tblPr>
        <w:tblW w:w="8505" w:type="dxa"/>
        <w:jc w:val="center"/>
        <w:tblCellMar>
          <w:left w:w="0" w:type="dxa"/>
          <w:right w:w="0" w:type="dxa"/>
        </w:tblCellMar>
        <w:tblLook w:val="04A0" w:firstRow="1" w:lastRow="0" w:firstColumn="1" w:lastColumn="0" w:noHBand="0" w:noVBand="1"/>
      </w:tblPr>
      <w:tblGrid>
        <w:gridCol w:w="1376"/>
        <w:gridCol w:w="7129"/>
      </w:tblGrid>
      <w:tr w:rsidR="001709A7" w14:paraId="1B36FC91" w14:textId="77777777" w:rsidTr="001709A7">
        <w:trPr>
          <w:trHeight w:val="60"/>
          <w:jc w:val="center"/>
        </w:trPr>
        <w:tc>
          <w:tcPr>
            <w:tcW w:w="13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A327EA"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因素</w:t>
            </w:r>
          </w:p>
        </w:tc>
        <w:tc>
          <w:tcPr>
            <w:tcW w:w="712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A3EEDD6"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1709A7" w14:paraId="507D5EE2" w14:textId="77777777" w:rsidTr="001709A7">
        <w:trPr>
          <w:trHeight w:val="60"/>
          <w:jc w:val="center"/>
        </w:trPr>
        <w:tc>
          <w:tcPr>
            <w:tcW w:w="13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8407A4"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可接受的</w:t>
            </w:r>
          </w:p>
          <w:p w14:paraId="0F25E491"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误受风险</w:t>
            </w:r>
          </w:p>
        </w:tc>
        <w:tc>
          <w:tcPr>
            <w:tcW w:w="71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BBE34D1"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（1）注册会计师</w:t>
            </w:r>
            <w:r>
              <w:rPr>
                <w:rFonts w:cs="Calibri" w:hint="eastAsia"/>
                <w:b/>
                <w:bCs/>
                <w:color w:val="FF0000"/>
                <w:sz w:val="21"/>
                <w:szCs w:val="21"/>
              </w:rPr>
              <w:t>更为关注</w:t>
            </w:r>
            <w:r>
              <w:rPr>
                <w:rFonts w:cs="Calibri" w:hint="eastAsia"/>
                <w:color w:val="333333"/>
                <w:sz w:val="21"/>
                <w:szCs w:val="21"/>
              </w:rPr>
              <w:t>可接受的误受风险</w:t>
            </w:r>
          </w:p>
          <w:p w14:paraId="0AFCFADD"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（2）可接受的误受风险与样本规模</w:t>
            </w:r>
            <w:r>
              <w:rPr>
                <w:rFonts w:cs="Calibri" w:hint="eastAsia"/>
                <w:b/>
                <w:bCs/>
                <w:color w:val="FF0000"/>
                <w:sz w:val="21"/>
                <w:szCs w:val="21"/>
              </w:rPr>
              <w:t>反向变动</w:t>
            </w:r>
          </w:p>
          <w:p w14:paraId="2630A7F5"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（3）确定可接受的误受风险水平时，注册会计师</w:t>
            </w:r>
            <w:r>
              <w:rPr>
                <w:rFonts w:cs="Calibri" w:hint="eastAsia"/>
                <w:b/>
                <w:bCs/>
                <w:color w:val="FF0000"/>
                <w:sz w:val="21"/>
                <w:szCs w:val="21"/>
              </w:rPr>
              <w:t>需要考虑的因素</w:t>
            </w:r>
            <w:r>
              <w:rPr>
                <w:rFonts w:cs="Calibri" w:hint="eastAsia"/>
                <w:color w:val="333333"/>
                <w:sz w:val="21"/>
                <w:szCs w:val="21"/>
              </w:rPr>
              <w:t>有：</w:t>
            </w:r>
          </w:p>
          <w:p w14:paraId="33A83A45" w14:textId="77777777" w:rsidR="001709A7" w:rsidRDefault="001709A7" w:rsidP="001709A7">
            <w:pPr>
              <w:pStyle w:val="aa"/>
              <w:spacing w:before="0" w:beforeAutospacing="0" w:after="0" w:afterAutospacing="0"/>
              <w:ind w:firstLine="210"/>
              <w:rPr>
                <w:rFonts w:ascii="Calibri" w:eastAsia="微软雅黑" w:hAnsi="Calibri" w:cs="Calibri"/>
                <w:color w:val="333333"/>
                <w:sz w:val="21"/>
                <w:szCs w:val="21"/>
              </w:rPr>
            </w:pPr>
            <w:r>
              <w:rPr>
                <w:rFonts w:cs="Calibri" w:hint="eastAsia"/>
                <w:color w:val="333333"/>
                <w:sz w:val="21"/>
                <w:szCs w:val="21"/>
              </w:rPr>
              <w:t>a）注册会计师愿意接受的审计风险水平</w:t>
            </w:r>
          </w:p>
          <w:p w14:paraId="57D041DB" w14:textId="77777777" w:rsidR="001709A7" w:rsidRDefault="001709A7" w:rsidP="001709A7">
            <w:pPr>
              <w:pStyle w:val="aa"/>
              <w:spacing w:before="0" w:beforeAutospacing="0" w:after="0" w:afterAutospacing="0"/>
              <w:ind w:firstLine="210"/>
              <w:rPr>
                <w:rFonts w:ascii="Calibri" w:eastAsia="微软雅黑" w:hAnsi="Calibri" w:cs="Calibri"/>
                <w:color w:val="333333"/>
                <w:sz w:val="21"/>
                <w:szCs w:val="21"/>
              </w:rPr>
            </w:pPr>
            <w:r>
              <w:rPr>
                <w:rFonts w:cs="Calibri" w:hint="eastAsia"/>
                <w:color w:val="333333"/>
                <w:sz w:val="21"/>
                <w:szCs w:val="21"/>
              </w:rPr>
              <w:t>b）评估的重大错报风险水平</w:t>
            </w:r>
          </w:p>
          <w:p w14:paraId="6B7B51C3" w14:textId="77777777" w:rsidR="001709A7" w:rsidRDefault="001709A7" w:rsidP="001709A7">
            <w:pPr>
              <w:pStyle w:val="aa"/>
              <w:spacing w:before="0" w:beforeAutospacing="0" w:after="0" w:afterAutospacing="0"/>
              <w:ind w:firstLine="210"/>
              <w:rPr>
                <w:rFonts w:ascii="Calibri" w:eastAsia="微软雅黑" w:hAnsi="Calibri" w:cs="Calibri"/>
                <w:color w:val="333333"/>
                <w:sz w:val="21"/>
                <w:szCs w:val="21"/>
              </w:rPr>
            </w:pPr>
            <w:r>
              <w:rPr>
                <w:rFonts w:cs="Calibri" w:hint="eastAsia"/>
                <w:color w:val="333333"/>
                <w:sz w:val="21"/>
                <w:szCs w:val="21"/>
              </w:rPr>
              <w:t>c）针对同一审计目标或财务报表认定的其他实质性程序的检查风险</w:t>
            </w:r>
          </w:p>
          <w:p w14:paraId="74FC928F"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（4）与控制测试中对信赖不足风险的关注相比，注册会计师在细节测试中对误拒风险的关注程度</w:t>
            </w:r>
            <w:r>
              <w:rPr>
                <w:rFonts w:cs="Calibri" w:hint="eastAsia"/>
                <w:b/>
                <w:bCs/>
                <w:color w:val="FF0000"/>
                <w:sz w:val="21"/>
                <w:szCs w:val="21"/>
              </w:rPr>
              <w:t>通常更高</w:t>
            </w:r>
          </w:p>
          <w:p w14:paraId="188F675F"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（5）可接受的误拒风险与样本规模</w:t>
            </w:r>
            <w:r>
              <w:rPr>
                <w:rFonts w:cs="Calibri" w:hint="eastAsia"/>
                <w:b/>
                <w:bCs/>
                <w:color w:val="FF0000"/>
                <w:sz w:val="21"/>
                <w:szCs w:val="21"/>
              </w:rPr>
              <w:t>反向变动</w:t>
            </w:r>
          </w:p>
        </w:tc>
      </w:tr>
    </w:tbl>
    <w:p w14:paraId="74ADE6DB" w14:textId="77777777" w:rsidR="001709A7" w:rsidRPr="001709A7" w:rsidRDefault="001709A7" w:rsidP="001709A7">
      <w:pPr>
        <w:rPr>
          <w:vanish/>
          <w:sz w:val="18"/>
          <w:szCs w:val="18"/>
        </w:rPr>
      </w:pPr>
    </w:p>
    <w:tbl>
      <w:tblPr>
        <w:tblW w:w="8505" w:type="dxa"/>
        <w:jc w:val="center"/>
        <w:tblCellMar>
          <w:left w:w="0" w:type="dxa"/>
          <w:right w:w="0" w:type="dxa"/>
        </w:tblCellMar>
        <w:tblLook w:val="04A0" w:firstRow="1" w:lastRow="0" w:firstColumn="1" w:lastColumn="0" w:noHBand="0" w:noVBand="1"/>
      </w:tblPr>
      <w:tblGrid>
        <w:gridCol w:w="1376"/>
        <w:gridCol w:w="7129"/>
      </w:tblGrid>
      <w:tr w:rsidR="001709A7" w14:paraId="3516014F" w14:textId="77777777" w:rsidTr="001709A7">
        <w:trPr>
          <w:trHeight w:val="60"/>
          <w:jc w:val="center"/>
        </w:trPr>
        <w:tc>
          <w:tcPr>
            <w:tcW w:w="13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7E48D5"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因素</w:t>
            </w:r>
          </w:p>
        </w:tc>
        <w:tc>
          <w:tcPr>
            <w:tcW w:w="712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BCF529"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1709A7" w14:paraId="795C5430" w14:textId="77777777" w:rsidTr="001709A7">
        <w:trPr>
          <w:trHeight w:val="353"/>
          <w:jc w:val="center"/>
        </w:trPr>
        <w:tc>
          <w:tcPr>
            <w:tcW w:w="13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3CFE41"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可容忍错报</w:t>
            </w:r>
          </w:p>
        </w:tc>
        <w:tc>
          <w:tcPr>
            <w:tcW w:w="71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F2D330"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（1）可容忍错报是注册会计师能够接受的</w:t>
            </w:r>
            <w:r>
              <w:rPr>
                <w:rFonts w:cs="Calibri" w:hint="eastAsia"/>
                <w:b/>
                <w:bCs/>
                <w:color w:val="FF0000"/>
                <w:sz w:val="21"/>
                <w:szCs w:val="21"/>
              </w:rPr>
              <w:t>最大金额的错报</w:t>
            </w:r>
          </w:p>
          <w:p w14:paraId="6C9CAE87"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（2）可容忍错报与样本规模</w:t>
            </w:r>
            <w:r>
              <w:rPr>
                <w:rFonts w:cs="Calibri" w:hint="eastAsia"/>
                <w:b/>
                <w:bCs/>
                <w:color w:val="FF0000"/>
                <w:sz w:val="21"/>
                <w:szCs w:val="21"/>
              </w:rPr>
              <w:t>反向变动</w:t>
            </w:r>
          </w:p>
          <w:p w14:paraId="51E065EE"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（3）可容忍错报可能</w:t>
            </w:r>
            <w:r>
              <w:rPr>
                <w:rFonts w:cs="Calibri" w:hint="eastAsia"/>
                <w:b/>
                <w:bCs/>
                <w:color w:val="FF0000"/>
                <w:sz w:val="21"/>
                <w:szCs w:val="21"/>
              </w:rPr>
              <w:t>等于或低于</w:t>
            </w:r>
            <w:r>
              <w:rPr>
                <w:rFonts w:cs="Calibri" w:hint="eastAsia"/>
                <w:color w:val="333333"/>
                <w:sz w:val="21"/>
                <w:szCs w:val="21"/>
              </w:rPr>
              <w:t>实际执行的重要性</w:t>
            </w:r>
          </w:p>
          <w:p w14:paraId="28B34317"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（4）确定可容忍错报的</w:t>
            </w:r>
            <w:r>
              <w:rPr>
                <w:rFonts w:cs="Calibri" w:hint="eastAsia"/>
                <w:b/>
                <w:bCs/>
                <w:color w:val="FF0000"/>
                <w:sz w:val="21"/>
                <w:szCs w:val="21"/>
              </w:rPr>
              <w:t>考虑因素</w:t>
            </w:r>
            <w:r>
              <w:rPr>
                <w:rFonts w:cs="Calibri" w:hint="eastAsia"/>
                <w:color w:val="333333"/>
                <w:sz w:val="21"/>
                <w:szCs w:val="21"/>
              </w:rPr>
              <w:t>：</w:t>
            </w:r>
          </w:p>
          <w:p w14:paraId="002184DA" w14:textId="77777777" w:rsidR="001709A7" w:rsidRDefault="001709A7" w:rsidP="001709A7">
            <w:pPr>
              <w:pStyle w:val="aa"/>
              <w:spacing w:before="0" w:beforeAutospacing="0" w:after="0" w:afterAutospacing="0"/>
              <w:ind w:firstLine="210"/>
              <w:rPr>
                <w:rFonts w:ascii="Calibri" w:eastAsia="微软雅黑" w:hAnsi="Calibri" w:cs="Calibri"/>
                <w:color w:val="333333"/>
                <w:sz w:val="21"/>
                <w:szCs w:val="21"/>
              </w:rPr>
            </w:pPr>
            <w:r>
              <w:rPr>
                <w:rFonts w:cs="Calibri" w:hint="eastAsia"/>
                <w:color w:val="333333"/>
                <w:sz w:val="21"/>
                <w:szCs w:val="21"/>
              </w:rPr>
              <w:t>a）事实错报和推断错报的预期金额</w:t>
            </w:r>
          </w:p>
          <w:p w14:paraId="20F25B37" w14:textId="77777777" w:rsidR="001709A7" w:rsidRDefault="001709A7" w:rsidP="001709A7">
            <w:pPr>
              <w:pStyle w:val="aa"/>
              <w:spacing w:before="0" w:beforeAutospacing="0" w:after="0" w:afterAutospacing="0"/>
              <w:ind w:firstLine="210"/>
              <w:rPr>
                <w:rFonts w:ascii="Calibri" w:eastAsia="微软雅黑" w:hAnsi="Calibri" w:cs="Calibri"/>
                <w:color w:val="333333"/>
                <w:sz w:val="21"/>
                <w:szCs w:val="21"/>
              </w:rPr>
            </w:pPr>
            <w:r>
              <w:rPr>
                <w:rFonts w:cs="Calibri" w:hint="eastAsia"/>
                <w:color w:val="333333"/>
                <w:sz w:val="21"/>
                <w:szCs w:val="21"/>
              </w:rPr>
              <w:t>b）被审计单位对建议的调整所持的态度</w:t>
            </w:r>
          </w:p>
          <w:p w14:paraId="0CA2136B" w14:textId="77777777" w:rsidR="001709A7" w:rsidRDefault="001709A7" w:rsidP="001709A7">
            <w:pPr>
              <w:pStyle w:val="aa"/>
              <w:spacing w:before="0" w:beforeAutospacing="0" w:after="0" w:afterAutospacing="0"/>
              <w:ind w:firstLine="210"/>
              <w:rPr>
                <w:rFonts w:ascii="Calibri" w:eastAsia="微软雅黑" w:hAnsi="Calibri" w:cs="Calibri"/>
                <w:color w:val="333333"/>
                <w:sz w:val="21"/>
                <w:szCs w:val="21"/>
              </w:rPr>
            </w:pPr>
            <w:r>
              <w:rPr>
                <w:rFonts w:cs="Calibri" w:hint="eastAsia"/>
                <w:color w:val="333333"/>
                <w:sz w:val="21"/>
                <w:szCs w:val="21"/>
              </w:rPr>
              <w:t>c）金额需要估计或无法准确确定的账户的数量</w:t>
            </w:r>
          </w:p>
          <w:p w14:paraId="40CFA7D8" w14:textId="77777777" w:rsidR="001709A7" w:rsidRDefault="001709A7" w:rsidP="001709A7">
            <w:pPr>
              <w:pStyle w:val="aa"/>
              <w:spacing w:before="0" w:beforeAutospacing="0" w:after="0" w:afterAutospacing="0"/>
              <w:ind w:firstLine="210"/>
              <w:rPr>
                <w:rFonts w:ascii="Calibri" w:eastAsia="微软雅黑" w:hAnsi="Calibri" w:cs="Calibri"/>
                <w:color w:val="333333"/>
                <w:sz w:val="21"/>
                <w:szCs w:val="21"/>
              </w:rPr>
            </w:pPr>
            <w:r>
              <w:rPr>
                <w:rFonts w:cs="Calibri" w:hint="eastAsia"/>
                <w:color w:val="333333"/>
                <w:sz w:val="21"/>
                <w:szCs w:val="21"/>
              </w:rPr>
              <w:t>d）经营场所、分支机构或某账户中样本组合的数量</w:t>
            </w:r>
          </w:p>
          <w:p w14:paraId="7966D73E" w14:textId="77777777" w:rsidR="001709A7" w:rsidRDefault="001709A7" w:rsidP="001709A7">
            <w:pPr>
              <w:pStyle w:val="aa"/>
              <w:spacing w:before="0" w:beforeAutospacing="0" w:after="0" w:afterAutospacing="0"/>
              <w:ind w:firstLine="210"/>
              <w:rPr>
                <w:rFonts w:ascii="Calibri" w:eastAsia="微软雅黑" w:hAnsi="Calibri" w:cs="Calibri"/>
                <w:color w:val="333333"/>
                <w:sz w:val="21"/>
                <w:szCs w:val="21"/>
              </w:rPr>
            </w:pPr>
            <w:r>
              <w:rPr>
                <w:rFonts w:cs="Calibri" w:hint="eastAsia"/>
                <w:color w:val="333333"/>
                <w:sz w:val="21"/>
                <w:szCs w:val="21"/>
              </w:rPr>
              <w:t>e）测试项目占账户全部项目的比例</w:t>
            </w:r>
          </w:p>
        </w:tc>
      </w:tr>
    </w:tbl>
    <w:p w14:paraId="6616C094" w14:textId="77777777" w:rsidR="001709A7" w:rsidRDefault="001709A7" w:rsidP="001709A7">
      <w:pPr>
        <w:shd w:val="clear" w:color="auto" w:fill="FFFFFF"/>
        <w:jc w:val="center"/>
        <w:rPr>
          <w:rFonts w:ascii="微软雅黑" w:eastAsia="微软雅黑" w:hAnsi="微软雅黑"/>
          <w:vanish/>
          <w:color w:val="3F3F3F"/>
          <w:szCs w:val="21"/>
        </w:rPr>
      </w:pPr>
    </w:p>
    <w:tbl>
      <w:tblPr>
        <w:tblW w:w="8505" w:type="dxa"/>
        <w:jc w:val="center"/>
        <w:tblCellMar>
          <w:left w:w="0" w:type="dxa"/>
          <w:right w:w="0" w:type="dxa"/>
        </w:tblCellMar>
        <w:tblLook w:val="04A0" w:firstRow="1" w:lastRow="0" w:firstColumn="1" w:lastColumn="0" w:noHBand="0" w:noVBand="1"/>
      </w:tblPr>
      <w:tblGrid>
        <w:gridCol w:w="1376"/>
        <w:gridCol w:w="7129"/>
      </w:tblGrid>
      <w:tr w:rsidR="001709A7" w14:paraId="487F0F4C" w14:textId="77777777" w:rsidTr="001709A7">
        <w:trPr>
          <w:trHeight w:val="70"/>
          <w:jc w:val="center"/>
        </w:trPr>
        <w:tc>
          <w:tcPr>
            <w:tcW w:w="13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1E6D372"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因素</w:t>
            </w:r>
          </w:p>
        </w:tc>
        <w:tc>
          <w:tcPr>
            <w:tcW w:w="712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F4A828C"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1709A7" w14:paraId="6F076E20" w14:textId="77777777" w:rsidTr="001709A7">
        <w:trPr>
          <w:trHeight w:val="429"/>
          <w:jc w:val="center"/>
        </w:trPr>
        <w:tc>
          <w:tcPr>
            <w:tcW w:w="13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D7AB9AA"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预计</w:t>
            </w:r>
          </w:p>
          <w:p w14:paraId="78318D8A"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总体错报</w:t>
            </w:r>
          </w:p>
        </w:tc>
        <w:tc>
          <w:tcPr>
            <w:tcW w:w="71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0FDEB8"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（1）预计总体错报</w:t>
            </w:r>
            <w:r>
              <w:rPr>
                <w:rFonts w:cs="Calibri" w:hint="eastAsia"/>
                <w:b/>
                <w:bCs/>
                <w:color w:val="FF0000"/>
                <w:sz w:val="21"/>
                <w:szCs w:val="21"/>
              </w:rPr>
              <w:t>不应超过</w:t>
            </w:r>
            <w:r>
              <w:rPr>
                <w:rFonts w:cs="Calibri" w:hint="eastAsia"/>
                <w:color w:val="333333"/>
                <w:sz w:val="21"/>
                <w:szCs w:val="21"/>
              </w:rPr>
              <w:t>可容忍错报</w:t>
            </w:r>
          </w:p>
          <w:p w14:paraId="1BE00ECA"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（2）在既定的可容忍错报下，预计总体错报的金额和频率</w:t>
            </w:r>
            <w:r>
              <w:rPr>
                <w:rFonts w:cs="Calibri" w:hint="eastAsia"/>
                <w:b/>
                <w:bCs/>
                <w:color w:val="FF0000"/>
                <w:sz w:val="21"/>
                <w:szCs w:val="21"/>
              </w:rPr>
              <w:t>越小</w:t>
            </w:r>
            <w:r>
              <w:rPr>
                <w:rFonts w:cs="Calibri" w:hint="eastAsia"/>
                <w:color w:val="333333"/>
                <w:sz w:val="21"/>
                <w:szCs w:val="21"/>
              </w:rPr>
              <w:t>，所需的样本规模也</w:t>
            </w:r>
            <w:r>
              <w:rPr>
                <w:rFonts w:cs="Calibri" w:hint="eastAsia"/>
                <w:b/>
                <w:bCs/>
                <w:color w:val="FF0000"/>
                <w:sz w:val="21"/>
                <w:szCs w:val="21"/>
              </w:rPr>
              <w:t>越小</w:t>
            </w:r>
          </w:p>
          <w:p w14:paraId="7DA41BF8"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（3）确定预计总体错报的</w:t>
            </w:r>
            <w:r>
              <w:rPr>
                <w:rFonts w:cs="Calibri" w:hint="eastAsia"/>
                <w:b/>
                <w:bCs/>
                <w:color w:val="FF0000"/>
                <w:sz w:val="21"/>
                <w:szCs w:val="21"/>
              </w:rPr>
              <w:t>考虑因素</w:t>
            </w:r>
            <w:r>
              <w:rPr>
                <w:rFonts w:cs="Calibri" w:hint="eastAsia"/>
                <w:color w:val="333333"/>
                <w:sz w:val="21"/>
                <w:szCs w:val="21"/>
              </w:rPr>
              <w:t>：</w:t>
            </w:r>
          </w:p>
          <w:p w14:paraId="1BD1E8F7" w14:textId="77777777" w:rsidR="001709A7" w:rsidRDefault="001709A7" w:rsidP="001709A7">
            <w:pPr>
              <w:pStyle w:val="aa"/>
              <w:spacing w:before="0" w:beforeAutospacing="0" w:after="0" w:afterAutospacing="0"/>
              <w:ind w:firstLine="210"/>
              <w:rPr>
                <w:rFonts w:ascii="Calibri" w:eastAsia="微软雅黑" w:hAnsi="Calibri" w:cs="Calibri"/>
                <w:color w:val="333333"/>
                <w:sz w:val="21"/>
                <w:szCs w:val="21"/>
              </w:rPr>
            </w:pPr>
            <w:r>
              <w:rPr>
                <w:rFonts w:cs="Calibri" w:hint="eastAsia"/>
                <w:color w:val="333333"/>
                <w:sz w:val="21"/>
                <w:szCs w:val="21"/>
              </w:rPr>
              <w:t>a）被审计单位的经营状况和经营风险</w:t>
            </w:r>
          </w:p>
          <w:p w14:paraId="5EE3068C" w14:textId="77777777" w:rsidR="001709A7" w:rsidRDefault="001709A7" w:rsidP="001709A7">
            <w:pPr>
              <w:pStyle w:val="aa"/>
              <w:spacing w:before="0" w:beforeAutospacing="0" w:after="0" w:afterAutospacing="0"/>
              <w:ind w:firstLine="210"/>
              <w:rPr>
                <w:rFonts w:ascii="Calibri" w:eastAsia="微软雅黑" w:hAnsi="Calibri" w:cs="Calibri"/>
                <w:color w:val="333333"/>
                <w:sz w:val="21"/>
                <w:szCs w:val="21"/>
              </w:rPr>
            </w:pPr>
            <w:r>
              <w:rPr>
                <w:rFonts w:cs="Calibri" w:hint="eastAsia"/>
                <w:color w:val="333333"/>
                <w:sz w:val="21"/>
                <w:szCs w:val="21"/>
              </w:rPr>
              <w:t>b）以前年度对账户余额或交易类型进行测试的结果</w:t>
            </w:r>
          </w:p>
          <w:p w14:paraId="467F1940" w14:textId="77777777" w:rsidR="001709A7" w:rsidRDefault="001709A7" w:rsidP="001709A7">
            <w:pPr>
              <w:pStyle w:val="aa"/>
              <w:spacing w:before="0" w:beforeAutospacing="0" w:after="0" w:afterAutospacing="0"/>
              <w:ind w:firstLine="210"/>
              <w:rPr>
                <w:rFonts w:ascii="Calibri" w:eastAsia="微软雅黑" w:hAnsi="Calibri" w:cs="Calibri"/>
                <w:color w:val="333333"/>
                <w:sz w:val="21"/>
                <w:szCs w:val="21"/>
              </w:rPr>
            </w:pPr>
            <w:r>
              <w:rPr>
                <w:rFonts w:cs="Calibri" w:hint="eastAsia"/>
                <w:color w:val="333333"/>
                <w:sz w:val="21"/>
                <w:szCs w:val="21"/>
              </w:rPr>
              <w:t>c）初始样本的测试结果</w:t>
            </w:r>
          </w:p>
          <w:p w14:paraId="14F897C6" w14:textId="77777777" w:rsidR="001709A7" w:rsidRDefault="001709A7" w:rsidP="001709A7">
            <w:pPr>
              <w:pStyle w:val="aa"/>
              <w:spacing w:before="0" w:beforeAutospacing="0" w:after="0" w:afterAutospacing="0"/>
              <w:ind w:firstLine="210"/>
              <w:rPr>
                <w:rFonts w:ascii="Calibri" w:eastAsia="微软雅黑" w:hAnsi="Calibri" w:cs="Calibri"/>
                <w:color w:val="333333"/>
                <w:sz w:val="21"/>
                <w:szCs w:val="21"/>
              </w:rPr>
            </w:pPr>
            <w:r>
              <w:rPr>
                <w:rFonts w:cs="Calibri" w:hint="eastAsia"/>
                <w:color w:val="333333"/>
                <w:sz w:val="21"/>
                <w:szCs w:val="21"/>
              </w:rPr>
              <w:t>d）相关实质性程序的结果</w:t>
            </w:r>
          </w:p>
          <w:p w14:paraId="1FE35382" w14:textId="77777777" w:rsidR="001709A7" w:rsidRDefault="001709A7" w:rsidP="001709A7">
            <w:pPr>
              <w:pStyle w:val="aa"/>
              <w:spacing w:before="0" w:beforeAutospacing="0" w:after="0" w:afterAutospacing="0"/>
              <w:ind w:firstLine="210"/>
              <w:rPr>
                <w:rFonts w:ascii="Calibri" w:eastAsia="微软雅黑" w:hAnsi="Calibri" w:cs="Calibri"/>
                <w:color w:val="333333"/>
                <w:sz w:val="21"/>
                <w:szCs w:val="21"/>
              </w:rPr>
            </w:pPr>
            <w:r>
              <w:rPr>
                <w:rFonts w:cs="Calibri" w:hint="eastAsia"/>
                <w:color w:val="333333"/>
                <w:sz w:val="21"/>
                <w:szCs w:val="21"/>
              </w:rPr>
              <w:t>e）相关控制测试的结果或控制在会计期间的变化</w:t>
            </w:r>
          </w:p>
        </w:tc>
      </w:tr>
    </w:tbl>
    <w:p w14:paraId="0B18C1E8" w14:textId="77777777" w:rsidR="001709A7" w:rsidRPr="001709A7" w:rsidRDefault="001709A7" w:rsidP="001709A7">
      <w:pPr>
        <w:rPr>
          <w:rFonts w:ascii="宋体" w:hAnsi="宋体" w:cs="宋体"/>
          <w:vanish/>
          <w:kern w:val="0"/>
          <w:sz w:val="24"/>
          <w:szCs w:val="24"/>
        </w:rPr>
      </w:pPr>
    </w:p>
    <w:tbl>
      <w:tblPr>
        <w:tblW w:w="8505" w:type="dxa"/>
        <w:jc w:val="center"/>
        <w:tblCellMar>
          <w:left w:w="0" w:type="dxa"/>
          <w:right w:w="0" w:type="dxa"/>
        </w:tblCellMar>
        <w:tblLook w:val="04A0" w:firstRow="1" w:lastRow="0" w:firstColumn="1" w:lastColumn="0" w:noHBand="0" w:noVBand="1"/>
      </w:tblPr>
      <w:tblGrid>
        <w:gridCol w:w="1376"/>
        <w:gridCol w:w="7129"/>
      </w:tblGrid>
      <w:tr w:rsidR="001709A7" w14:paraId="1A1EF4F2" w14:textId="77777777" w:rsidTr="001709A7">
        <w:trPr>
          <w:trHeight w:val="70"/>
          <w:jc w:val="center"/>
        </w:trPr>
        <w:tc>
          <w:tcPr>
            <w:tcW w:w="13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D3938F"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因素</w:t>
            </w:r>
          </w:p>
        </w:tc>
        <w:tc>
          <w:tcPr>
            <w:tcW w:w="712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D0AA39"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1709A7" w14:paraId="00656E68" w14:textId="77777777" w:rsidTr="001709A7">
        <w:trPr>
          <w:trHeight w:val="70"/>
          <w:jc w:val="center"/>
        </w:trPr>
        <w:tc>
          <w:tcPr>
            <w:tcW w:w="13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A7B026"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总体规模</w:t>
            </w:r>
          </w:p>
        </w:tc>
        <w:tc>
          <w:tcPr>
            <w:tcW w:w="71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C1D702E"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总体中的项目数量在细节测试中对样本规模的影响很小</w:t>
            </w:r>
          </w:p>
        </w:tc>
      </w:tr>
      <w:tr w:rsidR="001709A7" w14:paraId="6119A5B0" w14:textId="77777777" w:rsidTr="001709A7">
        <w:trPr>
          <w:trHeight w:val="70"/>
          <w:jc w:val="center"/>
        </w:trPr>
        <w:tc>
          <w:tcPr>
            <w:tcW w:w="137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492927"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总体的</w:t>
            </w:r>
          </w:p>
          <w:p w14:paraId="67BC9ECD"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变异性</w:t>
            </w:r>
          </w:p>
        </w:tc>
        <w:tc>
          <w:tcPr>
            <w:tcW w:w="712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A24FA56"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（1）衡量总体变异性的指标是标准差</w:t>
            </w:r>
          </w:p>
          <w:p w14:paraId="07A4833F"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（2）如果使用非统计抽样，注册会计师</w:t>
            </w:r>
            <w:r>
              <w:rPr>
                <w:rFonts w:cs="Calibri" w:hint="eastAsia"/>
                <w:b/>
                <w:bCs/>
                <w:color w:val="FF0000"/>
                <w:sz w:val="21"/>
                <w:szCs w:val="21"/>
              </w:rPr>
              <w:t>不需要量化</w:t>
            </w:r>
            <w:r>
              <w:rPr>
                <w:rFonts w:cs="Calibri" w:hint="eastAsia"/>
                <w:color w:val="333333"/>
                <w:sz w:val="21"/>
                <w:szCs w:val="21"/>
              </w:rPr>
              <w:t>总体标准差，但</w:t>
            </w:r>
            <w:r>
              <w:rPr>
                <w:rFonts w:cs="Calibri" w:hint="eastAsia"/>
                <w:b/>
                <w:bCs/>
                <w:color w:val="FF0000"/>
                <w:sz w:val="21"/>
                <w:szCs w:val="21"/>
              </w:rPr>
              <w:t>需要定性估计</w:t>
            </w:r>
            <w:r>
              <w:rPr>
                <w:rFonts w:cs="Calibri" w:hint="eastAsia"/>
                <w:color w:val="333333"/>
                <w:sz w:val="21"/>
                <w:szCs w:val="21"/>
              </w:rPr>
              <w:t>总体的变异性</w:t>
            </w:r>
          </w:p>
          <w:p w14:paraId="4D4BBEBC"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（3）总体的变异性</w:t>
            </w:r>
            <w:r>
              <w:rPr>
                <w:rFonts w:cs="Calibri" w:hint="eastAsia"/>
                <w:b/>
                <w:bCs/>
                <w:color w:val="FF0000"/>
                <w:sz w:val="21"/>
                <w:szCs w:val="21"/>
              </w:rPr>
              <w:t>越低</w:t>
            </w:r>
            <w:r>
              <w:rPr>
                <w:rFonts w:cs="Calibri" w:hint="eastAsia"/>
                <w:color w:val="333333"/>
                <w:sz w:val="21"/>
                <w:szCs w:val="21"/>
              </w:rPr>
              <w:t>，样本规模</w:t>
            </w:r>
            <w:r>
              <w:rPr>
                <w:rFonts w:cs="Calibri" w:hint="eastAsia"/>
                <w:b/>
                <w:bCs/>
                <w:color w:val="FF0000"/>
                <w:sz w:val="21"/>
                <w:szCs w:val="21"/>
              </w:rPr>
              <w:t>越小</w:t>
            </w:r>
          </w:p>
          <w:p w14:paraId="6DE10AA3"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（4）注册会计师通常根据金额对总体进行分层，</w:t>
            </w:r>
            <w:r>
              <w:rPr>
                <w:rFonts w:cs="Calibri" w:hint="eastAsia"/>
                <w:b/>
                <w:bCs/>
                <w:color w:val="FF0000"/>
                <w:sz w:val="21"/>
                <w:szCs w:val="21"/>
              </w:rPr>
              <w:t>分层</w:t>
            </w:r>
            <w:r>
              <w:rPr>
                <w:rFonts w:cs="Calibri" w:hint="eastAsia"/>
                <w:color w:val="333333"/>
                <w:sz w:val="21"/>
                <w:szCs w:val="21"/>
              </w:rPr>
              <w:t>可以降低每一层中项目的变异性，从而在抽样风险没有成比例增加的前提下</w:t>
            </w:r>
            <w:r>
              <w:rPr>
                <w:rFonts w:cs="Calibri" w:hint="eastAsia"/>
                <w:b/>
                <w:bCs/>
                <w:color w:val="FF0000"/>
                <w:sz w:val="21"/>
                <w:szCs w:val="21"/>
              </w:rPr>
              <w:t>减少样本规模</w:t>
            </w:r>
          </w:p>
          <w:p w14:paraId="6D61EEF9"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（5）分层后，每层分别独立选取样本，分别推断错报</w:t>
            </w:r>
          </w:p>
        </w:tc>
      </w:tr>
    </w:tbl>
    <w:p w14:paraId="2FF64C0C" w14:textId="77777777" w:rsidR="001709A7" w:rsidRDefault="001709A7" w:rsidP="001709A7">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【小结】</w:t>
      </w:r>
    </w:p>
    <w:tbl>
      <w:tblPr>
        <w:tblW w:w="8505" w:type="dxa"/>
        <w:jc w:val="center"/>
        <w:tblCellMar>
          <w:left w:w="0" w:type="dxa"/>
          <w:right w:w="0" w:type="dxa"/>
        </w:tblCellMar>
        <w:tblLook w:val="04A0" w:firstRow="1" w:lastRow="0" w:firstColumn="1" w:lastColumn="0" w:noHBand="0" w:noVBand="1"/>
      </w:tblPr>
      <w:tblGrid>
        <w:gridCol w:w="4211"/>
        <w:gridCol w:w="4294"/>
      </w:tblGrid>
      <w:tr w:rsidR="001709A7" w14:paraId="65C7A383" w14:textId="77777777" w:rsidTr="001709A7">
        <w:trPr>
          <w:trHeight w:val="70"/>
          <w:jc w:val="center"/>
        </w:trPr>
        <w:tc>
          <w:tcPr>
            <w:tcW w:w="421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D02C8C"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影响因素</w:t>
            </w:r>
          </w:p>
        </w:tc>
        <w:tc>
          <w:tcPr>
            <w:tcW w:w="429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B49B593"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与样本规模的关系</w:t>
            </w:r>
          </w:p>
        </w:tc>
      </w:tr>
      <w:tr w:rsidR="001709A7" w14:paraId="22FF2A43" w14:textId="77777777" w:rsidTr="001709A7">
        <w:trPr>
          <w:trHeight w:val="70"/>
          <w:jc w:val="center"/>
        </w:trPr>
        <w:tc>
          <w:tcPr>
            <w:tcW w:w="421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D8D3FF"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可接受的误受风险</w:t>
            </w:r>
          </w:p>
        </w:tc>
        <w:tc>
          <w:tcPr>
            <w:tcW w:w="42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49BDB2"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反向变动</w:t>
            </w:r>
          </w:p>
        </w:tc>
      </w:tr>
      <w:tr w:rsidR="001709A7" w14:paraId="2EBB02ED" w14:textId="77777777" w:rsidTr="001709A7">
        <w:trPr>
          <w:trHeight w:val="70"/>
          <w:jc w:val="center"/>
        </w:trPr>
        <w:tc>
          <w:tcPr>
            <w:tcW w:w="421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050297"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可容忍错报</w:t>
            </w:r>
          </w:p>
        </w:tc>
        <w:tc>
          <w:tcPr>
            <w:tcW w:w="42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4121D1"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反向变动</w:t>
            </w:r>
          </w:p>
        </w:tc>
      </w:tr>
      <w:tr w:rsidR="001709A7" w14:paraId="3FAFF108" w14:textId="77777777" w:rsidTr="001709A7">
        <w:trPr>
          <w:trHeight w:val="70"/>
          <w:jc w:val="center"/>
        </w:trPr>
        <w:tc>
          <w:tcPr>
            <w:tcW w:w="421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6C1A2F"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预计总体错报</w:t>
            </w:r>
          </w:p>
        </w:tc>
        <w:tc>
          <w:tcPr>
            <w:tcW w:w="42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355FFA"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同向变动</w:t>
            </w:r>
          </w:p>
        </w:tc>
      </w:tr>
      <w:tr w:rsidR="001709A7" w14:paraId="5F1E3562" w14:textId="77777777" w:rsidTr="001709A7">
        <w:trPr>
          <w:trHeight w:val="70"/>
          <w:jc w:val="center"/>
        </w:trPr>
        <w:tc>
          <w:tcPr>
            <w:tcW w:w="421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BE995F"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总体规模</w:t>
            </w:r>
          </w:p>
        </w:tc>
        <w:tc>
          <w:tcPr>
            <w:tcW w:w="42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A0EA6B5"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影响很小</w:t>
            </w:r>
          </w:p>
        </w:tc>
      </w:tr>
      <w:tr w:rsidR="001709A7" w14:paraId="5A8B404C" w14:textId="77777777" w:rsidTr="001709A7">
        <w:trPr>
          <w:trHeight w:val="70"/>
          <w:jc w:val="center"/>
        </w:trPr>
        <w:tc>
          <w:tcPr>
            <w:tcW w:w="421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4F2E352"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总体的变异性</w:t>
            </w:r>
          </w:p>
        </w:tc>
        <w:tc>
          <w:tcPr>
            <w:tcW w:w="42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0777CA"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同向变动</w:t>
            </w:r>
          </w:p>
        </w:tc>
      </w:tr>
    </w:tbl>
    <w:p w14:paraId="2B2E7B21" w14:textId="77777777" w:rsidR="001709A7" w:rsidRDefault="001709A7" w:rsidP="001709A7">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31365A76" w14:textId="77777777" w:rsidR="001709A7" w:rsidRDefault="001709A7" w:rsidP="001709A7">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单项选择题【2018年真题】</w:t>
      </w:r>
    </w:p>
    <w:p w14:paraId="0D39208F" w14:textId="77777777" w:rsidR="001709A7" w:rsidRDefault="001709A7" w:rsidP="001709A7">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 xml:space="preserve">下列有关细节测试的样本规模的说法中，错误的是（　　)。 </w:t>
      </w:r>
    </w:p>
    <w:p w14:paraId="63A2D08F" w14:textId="77777777" w:rsidR="001709A7" w:rsidRDefault="001709A7" w:rsidP="001709A7">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A.总体的变异性与样本规模同向变动</w:t>
      </w:r>
    </w:p>
    <w:p w14:paraId="7827EA24" w14:textId="77777777" w:rsidR="001709A7" w:rsidRDefault="001709A7" w:rsidP="001709A7">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B.可容忍错报与样本规模反向变动</w:t>
      </w:r>
    </w:p>
    <w:p w14:paraId="2E4E725F" w14:textId="77777777" w:rsidR="001709A7" w:rsidRDefault="001709A7" w:rsidP="001709A7">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C.总体规模对样本规模的影响很小</w:t>
      </w:r>
    </w:p>
    <w:p w14:paraId="128673C4" w14:textId="77777777" w:rsidR="001709A7" w:rsidRDefault="001709A7" w:rsidP="001709A7">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D.可接受的误受风险与样本规模同向变动</w:t>
      </w:r>
    </w:p>
    <w:p w14:paraId="4B13E418" w14:textId="77777777" w:rsidR="001709A7" w:rsidRDefault="001709A7" w:rsidP="001709A7">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[答案]D</w:t>
      </w:r>
    </w:p>
    <w:p w14:paraId="552247E8" w14:textId="77777777" w:rsidR="001709A7" w:rsidRDefault="001709A7" w:rsidP="001709A7">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[点评]可接受的误拒风险与样本规模反向变动。</w:t>
      </w:r>
    </w:p>
    <w:p w14:paraId="1F2D6B4C" w14:textId="77777777" w:rsidR="001709A7" w:rsidRDefault="001709A7" w:rsidP="001709A7">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单项选择题【2017年真题】</w:t>
      </w:r>
    </w:p>
    <w:p w14:paraId="2C79F82F" w14:textId="77777777" w:rsidR="001709A7" w:rsidRDefault="001709A7" w:rsidP="001709A7">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下列有关细节测试的样本规模说法中，错误的是(　　) 。</w:t>
      </w:r>
    </w:p>
    <w:p w14:paraId="5E32F80B" w14:textId="77777777" w:rsidR="001709A7" w:rsidRDefault="001709A7" w:rsidP="001709A7">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A.可接受的误拒风险与样本规模同向变动</w:t>
      </w:r>
    </w:p>
    <w:p w14:paraId="64629715" w14:textId="77777777" w:rsidR="001709A7" w:rsidRDefault="001709A7" w:rsidP="001709A7">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B.可容忍错报与样本规模反向变动</w:t>
      </w:r>
    </w:p>
    <w:p w14:paraId="354AFFB5" w14:textId="77777777" w:rsidR="001709A7" w:rsidRDefault="001709A7" w:rsidP="001709A7">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C.总体项目的变异性越低，通常样本规模越小</w:t>
      </w:r>
    </w:p>
    <w:p w14:paraId="19409EFE" w14:textId="77777777" w:rsidR="001709A7" w:rsidRDefault="001709A7" w:rsidP="001709A7">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D.可接受的误受风险与样本规模反向变动</w:t>
      </w:r>
    </w:p>
    <w:p w14:paraId="5F2040C0" w14:textId="77777777" w:rsidR="001709A7" w:rsidRDefault="001709A7" w:rsidP="001709A7">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w:t>
      </w:r>
    </w:p>
    <w:p w14:paraId="7360F4B7" w14:textId="77777777" w:rsidR="001709A7" w:rsidRDefault="001709A7" w:rsidP="001709A7">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[点评]可接受的误受风险与样本规模反向变动，选项D错误。</w:t>
      </w:r>
    </w:p>
    <w:p w14:paraId="6999110E" w14:textId="77777777" w:rsidR="001709A7" w:rsidRDefault="001709A7" w:rsidP="001709A7">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2.确定样本量</w:t>
      </w:r>
    </w:p>
    <w:tbl>
      <w:tblPr>
        <w:tblW w:w="8772" w:type="dxa"/>
        <w:jc w:val="center"/>
        <w:tblCellMar>
          <w:left w:w="0" w:type="dxa"/>
          <w:right w:w="0" w:type="dxa"/>
        </w:tblCellMar>
        <w:tblLook w:val="04A0" w:firstRow="1" w:lastRow="0" w:firstColumn="1" w:lastColumn="0" w:noHBand="0" w:noVBand="1"/>
      </w:tblPr>
      <w:tblGrid>
        <w:gridCol w:w="1084"/>
        <w:gridCol w:w="1701"/>
        <w:gridCol w:w="5987"/>
      </w:tblGrid>
      <w:tr w:rsidR="001709A7" w14:paraId="7FEDD807" w14:textId="77777777" w:rsidTr="001709A7">
        <w:trPr>
          <w:trHeight w:val="376"/>
          <w:jc w:val="center"/>
        </w:trPr>
        <w:tc>
          <w:tcPr>
            <w:tcW w:w="278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303A9A"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情形</w:t>
            </w:r>
          </w:p>
        </w:tc>
        <w:tc>
          <w:tcPr>
            <w:tcW w:w="598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544EABB"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1709A7" w14:paraId="3C29FCB8" w14:textId="77777777" w:rsidTr="001709A7">
        <w:trPr>
          <w:trHeight w:val="70"/>
          <w:jc w:val="center"/>
        </w:trPr>
        <w:tc>
          <w:tcPr>
            <w:tcW w:w="108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858B69"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统计抽样</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42398D"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货币单元抽样</w:t>
            </w:r>
          </w:p>
        </w:tc>
        <w:tc>
          <w:tcPr>
            <w:tcW w:w="59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A69A1B"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注册会计师运用</w:t>
            </w:r>
            <w:r>
              <w:rPr>
                <w:rFonts w:cs="Calibri" w:hint="eastAsia"/>
                <w:b/>
                <w:bCs/>
                <w:color w:val="FF0000"/>
                <w:sz w:val="21"/>
                <w:szCs w:val="21"/>
              </w:rPr>
              <w:t>查表法</w:t>
            </w:r>
            <w:r>
              <w:rPr>
                <w:rFonts w:cs="Calibri" w:hint="eastAsia"/>
                <w:color w:val="333333"/>
                <w:sz w:val="21"/>
                <w:szCs w:val="21"/>
              </w:rPr>
              <w:t>确定货币单元抽样的样本量，主要影响因素包括：</w:t>
            </w:r>
          </w:p>
          <w:p w14:paraId="1572ED61"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（1）可接受的误受风险</w:t>
            </w:r>
          </w:p>
          <w:p w14:paraId="75096778"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（2）可容忍错报与总体账面金额之比</w:t>
            </w:r>
          </w:p>
          <w:p w14:paraId="04D36082" w14:textId="77777777" w:rsidR="001709A7" w:rsidRDefault="001709A7" w:rsidP="001709A7">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（3）预计总体错报与可容忍错报之比</w:t>
            </w:r>
          </w:p>
        </w:tc>
      </w:tr>
      <w:tr w:rsidR="001709A7" w14:paraId="044AD319" w14:textId="77777777" w:rsidTr="001709A7">
        <w:trPr>
          <w:trHeight w:val="70"/>
          <w:jc w:val="center"/>
        </w:trPr>
        <w:tc>
          <w:tcPr>
            <w:tcW w:w="0" w:type="auto"/>
            <w:vMerge/>
            <w:tcBorders>
              <w:top w:val="nil"/>
              <w:left w:val="single" w:sz="8" w:space="0" w:color="auto"/>
              <w:bottom w:val="single" w:sz="8" w:space="0" w:color="auto"/>
              <w:right w:val="single" w:sz="8" w:space="0" w:color="auto"/>
            </w:tcBorders>
            <w:vAlign w:val="center"/>
            <w:hideMark/>
          </w:tcPr>
          <w:p w14:paraId="31D1001A" w14:textId="77777777" w:rsidR="001709A7" w:rsidRDefault="001709A7" w:rsidP="001709A7">
            <w:pPr>
              <w:rPr>
                <w:rFonts w:eastAsia="微软雅黑" w:cs="Calibri"/>
                <w:color w:val="333333"/>
                <w:szCs w:val="21"/>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9FDB672"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传统变量抽样</w:t>
            </w:r>
          </w:p>
        </w:tc>
        <w:tc>
          <w:tcPr>
            <w:tcW w:w="59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4CF473"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注册会计师运用计算机程序确定样本规模</w:t>
            </w:r>
          </w:p>
        </w:tc>
      </w:tr>
      <w:tr w:rsidR="001709A7" w14:paraId="52627426" w14:textId="77777777" w:rsidTr="001709A7">
        <w:trPr>
          <w:trHeight w:val="70"/>
          <w:jc w:val="center"/>
        </w:trPr>
        <w:tc>
          <w:tcPr>
            <w:tcW w:w="278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5910819"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非统计抽样</w:t>
            </w:r>
          </w:p>
        </w:tc>
        <w:tc>
          <w:tcPr>
            <w:tcW w:w="59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7F092C0"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注册会计师运用职业判断和</w:t>
            </w:r>
            <w:r>
              <w:rPr>
                <w:rFonts w:cs="Calibri" w:hint="eastAsia"/>
                <w:b/>
                <w:bCs/>
                <w:color w:val="FF0000"/>
                <w:sz w:val="21"/>
                <w:szCs w:val="21"/>
              </w:rPr>
              <w:t>经验公式</w:t>
            </w:r>
            <w:r>
              <w:rPr>
                <w:rFonts w:cs="Calibri" w:hint="eastAsia"/>
                <w:color w:val="333333"/>
                <w:sz w:val="21"/>
                <w:szCs w:val="21"/>
              </w:rPr>
              <w:t>确定样本规模：</w:t>
            </w:r>
          </w:p>
          <w:p w14:paraId="133AD0A1"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样本规模=</w:t>
            </w:r>
            <w:r>
              <w:rPr>
                <w:rFonts w:ascii="Calibri" w:eastAsia="微软雅黑" w:hAnsi="Calibri" w:cs="Calibri"/>
                <w:color w:val="333333"/>
                <w:sz w:val="21"/>
                <w:szCs w:val="21"/>
              </w:rPr>
              <w:fldChar w:fldCharType="begin"/>
            </w:r>
            <w:r>
              <w:rPr>
                <w:rFonts w:ascii="Calibri" w:eastAsia="微软雅黑" w:hAnsi="Calibri" w:cs="Calibri"/>
                <w:color w:val="333333"/>
                <w:sz w:val="21"/>
                <w:szCs w:val="21"/>
              </w:rPr>
              <w:instrText xml:space="preserve"> INCLUDEPICTURE "http://webupload.admin.dongao.com/biz/handout/img/2019/20190513/20190513160441444003.png" \* MERGEFORMATINET </w:instrText>
            </w:r>
            <w:r>
              <w:rPr>
                <w:rFonts w:ascii="Calibri" w:eastAsia="微软雅黑" w:hAnsi="Calibri" w:cs="Calibri"/>
                <w:color w:val="333333"/>
                <w:sz w:val="21"/>
                <w:szCs w:val="21"/>
              </w:rPr>
              <w:fldChar w:fldCharType="separate"/>
            </w:r>
            <w:r>
              <w:rPr>
                <w:rFonts w:ascii="Calibri" w:eastAsia="微软雅黑" w:hAnsi="Calibri" w:cs="Calibri"/>
                <w:color w:val="333333"/>
                <w:sz w:val="21"/>
                <w:szCs w:val="21"/>
              </w:rPr>
              <w:pict>
                <v:shape id="_x0000_i1027" type="#_x0000_t75" style="width:60pt;height:31.5pt">
                  <v:imagedata r:id="rId11" r:href="rId12"/>
                </v:shape>
              </w:pict>
            </w:r>
            <w:r>
              <w:rPr>
                <w:rFonts w:ascii="Calibri" w:eastAsia="微软雅黑" w:hAnsi="Calibri" w:cs="Calibri"/>
                <w:color w:val="333333"/>
                <w:sz w:val="21"/>
                <w:szCs w:val="21"/>
              </w:rPr>
              <w:fldChar w:fldCharType="end"/>
            </w:r>
            <w:r>
              <w:rPr>
                <w:rFonts w:cs="Calibri" w:hint="eastAsia"/>
                <w:color w:val="333333"/>
                <w:sz w:val="21"/>
                <w:szCs w:val="21"/>
              </w:rPr>
              <w:t>×保证系数</w:t>
            </w:r>
          </w:p>
        </w:tc>
      </w:tr>
    </w:tbl>
    <w:p w14:paraId="260EB078" w14:textId="77777777" w:rsidR="001709A7" w:rsidRDefault="001709A7" w:rsidP="001709A7">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（三）选取样本并对其实施审计程序</w:t>
      </w:r>
    </w:p>
    <w:tbl>
      <w:tblPr>
        <w:tblW w:w="8772" w:type="dxa"/>
        <w:jc w:val="center"/>
        <w:tblCellMar>
          <w:left w:w="0" w:type="dxa"/>
          <w:right w:w="0" w:type="dxa"/>
        </w:tblCellMar>
        <w:tblLook w:val="04A0" w:firstRow="1" w:lastRow="0" w:firstColumn="1" w:lastColumn="0" w:noHBand="0" w:noVBand="1"/>
      </w:tblPr>
      <w:tblGrid>
        <w:gridCol w:w="1084"/>
        <w:gridCol w:w="1701"/>
        <w:gridCol w:w="5987"/>
      </w:tblGrid>
      <w:tr w:rsidR="001709A7" w14:paraId="32F6040E" w14:textId="77777777" w:rsidTr="001709A7">
        <w:trPr>
          <w:trHeight w:val="70"/>
          <w:jc w:val="center"/>
        </w:trPr>
        <w:tc>
          <w:tcPr>
            <w:tcW w:w="2785"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C94BD31" w14:textId="77777777" w:rsidR="001709A7" w:rsidRDefault="001709A7" w:rsidP="001709A7">
            <w:pPr>
              <w:rPr>
                <w:rFonts w:eastAsia="微软雅黑" w:cs="Calibri"/>
                <w:color w:val="3F3F3F"/>
                <w:szCs w:val="21"/>
              </w:rPr>
            </w:pPr>
          </w:p>
        </w:tc>
        <w:tc>
          <w:tcPr>
            <w:tcW w:w="598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12AD33A"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1709A7" w14:paraId="58D552F8" w14:textId="77777777" w:rsidTr="001709A7">
        <w:trPr>
          <w:trHeight w:val="70"/>
          <w:jc w:val="center"/>
        </w:trPr>
        <w:tc>
          <w:tcPr>
            <w:tcW w:w="1084"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065877"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选取样本</w:t>
            </w: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7C9CBB"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统计抽样</w:t>
            </w:r>
          </w:p>
        </w:tc>
        <w:tc>
          <w:tcPr>
            <w:tcW w:w="59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95810F"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（1）简单随机选样</w:t>
            </w:r>
          </w:p>
          <w:p w14:paraId="7A84EF18"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（2）系统选样</w:t>
            </w:r>
          </w:p>
        </w:tc>
      </w:tr>
      <w:tr w:rsidR="001709A7" w14:paraId="58C4E4BF" w14:textId="77777777" w:rsidTr="001709A7">
        <w:trPr>
          <w:trHeight w:val="319"/>
          <w:jc w:val="center"/>
        </w:trPr>
        <w:tc>
          <w:tcPr>
            <w:tcW w:w="0" w:type="auto"/>
            <w:vMerge/>
            <w:tcBorders>
              <w:top w:val="nil"/>
              <w:left w:val="single" w:sz="8" w:space="0" w:color="auto"/>
              <w:bottom w:val="single" w:sz="8" w:space="0" w:color="auto"/>
              <w:right w:val="single" w:sz="8" w:space="0" w:color="auto"/>
            </w:tcBorders>
            <w:vAlign w:val="center"/>
            <w:hideMark/>
          </w:tcPr>
          <w:p w14:paraId="0ADCD9A0" w14:textId="77777777" w:rsidR="001709A7" w:rsidRDefault="001709A7" w:rsidP="001709A7">
            <w:pPr>
              <w:rPr>
                <w:rFonts w:eastAsia="微软雅黑" w:cs="Calibri"/>
                <w:color w:val="333333"/>
                <w:szCs w:val="21"/>
              </w:rPr>
            </w:pPr>
          </w:p>
        </w:tc>
        <w:tc>
          <w:tcPr>
            <w:tcW w:w="170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958752"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非统计抽样</w:t>
            </w:r>
          </w:p>
        </w:tc>
        <w:tc>
          <w:tcPr>
            <w:tcW w:w="59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4753778"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（1）简单随机选样</w:t>
            </w:r>
          </w:p>
          <w:p w14:paraId="7FDDD8E5"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（2）系统选样</w:t>
            </w:r>
          </w:p>
          <w:p w14:paraId="7CD6D561"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（3）随意选样</w:t>
            </w:r>
          </w:p>
        </w:tc>
      </w:tr>
      <w:tr w:rsidR="001709A7" w14:paraId="63EFB249" w14:textId="77777777" w:rsidTr="001709A7">
        <w:trPr>
          <w:trHeight w:val="70"/>
          <w:jc w:val="center"/>
        </w:trPr>
        <w:tc>
          <w:tcPr>
            <w:tcW w:w="2785"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4884CA1" w14:textId="77777777" w:rsidR="001709A7" w:rsidRDefault="001709A7" w:rsidP="001709A7">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实施审计程序</w:t>
            </w:r>
          </w:p>
        </w:tc>
        <w:tc>
          <w:tcPr>
            <w:tcW w:w="59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F07CC7" w14:textId="77777777" w:rsidR="001709A7" w:rsidRDefault="001709A7" w:rsidP="001709A7">
            <w:pPr>
              <w:pStyle w:val="aa"/>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注册会计师应对选取的每一个样本实施适合于具体审计目标的审计程序。无法对选取的项目实施检查时，注册会计师应当考虑对这些未检查项目对样本评价结果的影响</w:t>
            </w:r>
          </w:p>
        </w:tc>
      </w:tr>
    </w:tbl>
    <w:p w14:paraId="7D978C1B" w14:textId="77777777" w:rsidR="001709A7" w:rsidRDefault="001709A7" w:rsidP="001709A7">
      <w:pPr>
        <w:shd w:val="clear" w:color="auto" w:fill="FFFFFF"/>
        <w:rPr>
          <w:rFonts w:ascii="微软雅黑" w:eastAsia="微软雅黑" w:hAnsi="微软雅黑" w:cs="宋体"/>
          <w:color w:val="3F3F3F"/>
          <w:szCs w:val="21"/>
        </w:rPr>
      </w:pPr>
    </w:p>
    <w:p w14:paraId="39E6F619" w14:textId="77777777" w:rsidR="00271D8C" w:rsidRPr="001709A7" w:rsidRDefault="00271D8C" w:rsidP="001709A7">
      <w:pPr>
        <w:rPr>
          <w:rFonts w:hint="eastAsia"/>
        </w:rPr>
      </w:pPr>
    </w:p>
    <w:sectPr w:rsidR="00271D8C" w:rsidRPr="001709A7" w:rsidSect="001F62DD">
      <w:headerReference w:type="default" r:id="rId13"/>
      <w:footerReference w:type="default" r:id="rId14"/>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D3C159" w14:textId="77777777" w:rsidR="00D12A9C" w:rsidRDefault="00D12A9C" w:rsidP="00CD53C5">
      <w:r>
        <w:separator/>
      </w:r>
    </w:p>
  </w:endnote>
  <w:endnote w:type="continuationSeparator" w:id="0">
    <w:p w14:paraId="7FD66EF4" w14:textId="77777777" w:rsidR="00D12A9C" w:rsidRDefault="00D12A9C"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0DBE7B53" w14:textId="77777777" w:rsidTr="007B0BFD">
      <w:trPr>
        <w:trHeight w:val="274"/>
      </w:trPr>
      <w:tc>
        <w:tcPr>
          <w:tcW w:w="2050" w:type="dxa"/>
          <w:shd w:val="clear" w:color="auto" w:fill="auto"/>
          <w:vAlign w:val="center"/>
        </w:tcPr>
        <w:p w14:paraId="4DBE1348"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8" type="#_x0000_t75" style="width:90.75pt;height:26.25pt;visibility:visible">
                <v:imagedata r:id="rId1" o:title=""/>
              </v:shape>
            </w:pict>
          </w:r>
        </w:p>
      </w:tc>
      <w:tc>
        <w:tcPr>
          <w:tcW w:w="3742" w:type="dxa"/>
          <w:shd w:val="clear" w:color="auto" w:fill="auto"/>
          <w:vAlign w:val="center"/>
        </w:tcPr>
        <w:p w14:paraId="0FF6A2D3"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03D14130"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5F8DCB0F"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7BF485" w14:textId="77777777" w:rsidR="00D12A9C" w:rsidRDefault="00D12A9C" w:rsidP="00CD53C5">
      <w:r>
        <w:separator/>
      </w:r>
    </w:p>
  </w:footnote>
  <w:footnote w:type="continuationSeparator" w:id="0">
    <w:p w14:paraId="15BC6BD2" w14:textId="77777777" w:rsidR="00D12A9C" w:rsidRDefault="00D12A9C"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57F8EDD4" w14:textId="77777777" w:rsidTr="007B0BFD">
      <w:trPr>
        <w:trHeight w:val="501"/>
      </w:trPr>
      <w:tc>
        <w:tcPr>
          <w:tcW w:w="4272" w:type="dxa"/>
          <w:shd w:val="clear" w:color="auto" w:fill="auto"/>
          <w:vAlign w:val="center"/>
        </w:tcPr>
        <w:p w14:paraId="1A3D45E8" w14:textId="77777777" w:rsidR="001545C6" w:rsidRPr="001F62DD" w:rsidRDefault="001709A7"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3BAF87C9" w14:textId="77777777" w:rsidR="001545C6" w:rsidRPr="004D61E7" w:rsidRDefault="001709A7"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第四章</w:t>
          </w:r>
          <w:r>
            <w:rPr>
              <w:rFonts w:ascii="微软雅黑" w:eastAsia="微软雅黑" w:hAnsi="微软雅黑"/>
              <w:sz w:val="24"/>
              <w:szCs w:val="24"/>
            </w:rPr>
            <w:t>+审计抽样方法</w:t>
          </w:r>
        </w:p>
      </w:tc>
    </w:tr>
  </w:tbl>
  <w:p w14:paraId="03C8C69F"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709A7"/>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6D60C5"/>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2A9C"/>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20712DF"/>
  <w15:docId w15:val="{F86B22EC-BF1D-4636-A7DE-9FF078F75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420059615">
      <w:bodyDiv w:val="1"/>
      <w:marLeft w:val="0"/>
      <w:marRight w:val="0"/>
      <w:marTop w:val="0"/>
      <w:marBottom w:val="0"/>
      <w:divBdr>
        <w:top w:val="none" w:sz="0" w:space="0" w:color="auto"/>
        <w:left w:val="none" w:sz="0" w:space="0" w:color="auto"/>
        <w:bottom w:val="none" w:sz="0" w:space="0" w:color="auto"/>
        <w:right w:val="none" w:sz="0" w:space="0" w:color="auto"/>
      </w:divBdr>
      <w:divsChild>
        <w:div w:id="2039500277">
          <w:marLeft w:val="0"/>
          <w:marRight w:val="0"/>
          <w:marTop w:val="0"/>
          <w:marBottom w:val="0"/>
          <w:divBdr>
            <w:top w:val="none" w:sz="0" w:space="0" w:color="auto"/>
            <w:left w:val="none" w:sz="0" w:space="0" w:color="auto"/>
            <w:bottom w:val="none" w:sz="0" w:space="0" w:color="auto"/>
            <w:right w:val="none" w:sz="0" w:space="0" w:color="auto"/>
          </w:divBdr>
          <w:divsChild>
            <w:div w:id="302396148">
              <w:marLeft w:val="0"/>
              <w:marRight w:val="0"/>
              <w:marTop w:val="0"/>
              <w:marBottom w:val="0"/>
              <w:divBdr>
                <w:top w:val="none" w:sz="0" w:space="0" w:color="auto"/>
                <w:left w:val="none" w:sz="0" w:space="0" w:color="auto"/>
                <w:bottom w:val="none" w:sz="0" w:space="0" w:color="auto"/>
                <w:right w:val="none" w:sz="0" w:space="0" w:color="auto"/>
              </w:divBdr>
            </w:div>
            <w:div w:id="370687382">
              <w:marLeft w:val="0"/>
              <w:marRight w:val="0"/>
              <w:marTop w:val="0"/>
              <w:marBottom w:val="0"/>
              <w:divBdr>
                <w:top w:val="none" w:sz="0" w:space="0" w:color="auto"/>
                <w:left w:val="none" w:sz="0" w:space="0" w:color="auto"/>
                <w:bottom w:val="none" w:sz="0" w:space="0" w:color="auto"/>
                <w:right w:val="none" w:sz="0" w:space="0" w:color="auto"/>
              </w:divBdr>
            </w:div>
            <w:div w:id="466092333">
              <w:marLeft w:val="0"/>
              <w:marRight w:val="0"/>
              <w:marTop w:val="0"/>
              <w:marBottom w:val="0"/>
              <w:divBdr>
                <w:top w:val="none" w:sz="0" w:space="0" w:color="auto"/>
                <w:left w:val="none" w:sz="0" w:space="0" w:color="auto"/>
                <w:bottom w:val="none" w:sz="0" w:space="0" w:color="auto"/>
                <w:right w:val="none" w:sz="0" w:space="0" w:color="auto"/>
              </w:divBdr>
            </w:div>
            <w:div w:id="466514410">
              <w:marLeft w:val="0"/>
              <w:marRight w:val="0"/>
              <w:marTop w:val="0"/>
              <w:marBottom w:val="0"/>
              <w:divBdr>
                <w:top w:val="none" w:sz="0" w:space="0" w:color="auto"/>
                <w:left w:val="none" w:sz="0" w:space="0" w:color="auto"/>
                <w:bottom w:val="none" w:sz="0" w:space="0" w:color="auto"/>
                <w:right w:val="none" w:sz="0" w:space="0" w:color="auto"/>
              </w:divBdr>
            </w:div>
            <w:div w:id="770467711">
              <w:marLeft w:val="0"/>
              <w:marRight w:val="0"/>
              <w:marTop w:val="0"/>
              <w:marBottom w:val="0"/>
              <w:divBdr>
                <w:top w:val="none" w:sz="0" w:space="0" w:color="auto"/>
                <w:left w:val="none" w:sz="0" w:space="0" w:color="auto"/>
                <w:bottom w:val="none" w:sz="0" w:space="0" w:color="auto"/>
                <w:right w:val="none" w:sz="0" w:space="0" w:color="auto"/>
              </w:divBdr>
            </w:div>
            <w:div w:id="965625951">
              <w:marLeft w:val="0"/>
              <w:marRight w:val="0"/>
              <w:marTop w:val="0"/>
              <w:marBottom w:val="0"/>
              <w:divBdr>
                <w:top w:val="none" w:sz="0" w:space="0" w:color="auto"/>
                <w:left w:val="none" w:sz="0" w:space="0" w:color="auto"/>
                <w:bottom w:val="none" w:sz="0" w:space="0" w:color="auto"/>
                <w:right w:val="none" w:sz="0" w:space="0" w:color="auto"/>
              </w:divBdr>
            </w:div>
            <w:div w:id="980039144">
              <w:marLeft w:val="0"/>
              <w:marRight w:val="0"/>
              <w:marTop w:val="0"/>
              <w:marBottom w:val="0"/>
              <w:divBdr>
                <w:top w:val="none" w:sz="0" w:space="0" w:color="auto"/>
                <w:left w:val="none" w:sz="0" w:space="0" w:color="auto"/>
                <w:bottom w:val="none" w:sz="0" w:space="0" w:color="auto"/>
                <w:right w:val="none" w:sz="0" w:space="0" w:color="auto"/>
              </w:divBdr>
            </w:div>
            <w:div w:id="1171332194">
              <w:marLeft w:val="0"/>
              <w:marRight w:val="0"/>
              <w:marTop w:val="0"/>
              <w:marBottom w:val="0"/>
              <w:divBdr>
                <w:top w:val="none" w:sz="0" w:space="0" w:color="auto"/>
                <w:left w:val="none" w:sz="0" w:space="0" w:color="auto"/>
                <w:bottom w:val="none" w:sz="0" w:space="0" w:color="auto"/>
                <w:right w:val="none" w:sz="0" w:space="0" w:color="auto"/>
              </w:divBdr>
            </w:div>
            <w:div w:id="1195074478">
              <w:marLeft w:val="0"/>
              <w:marRight w:val="0"/>
              <w:marTop w:val="0"/>
              <w:marBottom w:val="0"/>
              <w:divBdr>
                <w:top w:val="none" w:sz="0" w:space="0" w:color="auto"/>
                <w:left w:val="none" w:sz="0" w:space="0" w:color="auto"/>
                <w:bottom w:val="none" w:sz="0" w:space="0" w:color="auto"/>
                <w:right w:val="none" w:sz="0" w:space="0" w:color="auto"/>
              </w:divBdr>
            </w:div>
            <w:div w:id="1264265404">
              <w:marLeft w:val="0"/>
              <w:marRight w:val="0"/>
              <w:marTop w:val="0"/>
              <w:marBottom w:val="0"/>
              <w:divBdr>
                <w:top w:val="none" w:sz="0" w:space="0" w:color="auto"/>
                <w:left w:val="none" w:sz="0" w:space="0" w:color="auto"/>
                <w:bottom w:val="none" w:sz="0" w:space="0" w:color="auto"/>
                <w:right w:val="none" w:sz="0" w:space="0" w:color="auto"/>
              </w:divBdr>
            </w:div>
            <w:div w:id="1402092944">
              <w:marLeft w:val="0"/>
              <w:marRight w:val="0"/>
              <w:marTop w:val="0"/>
              <w:marBottom w:val="0"/>
              <w:divBdr>
                <w:top w:val="none" w:sz="0" w:space="0" w:color="auto"/>
                <w:left w:val="none" w:sz="0" w:space="0" w:color="auto"/>
                <w:bottom w:val="none" w:sz="0" w:space="0" w:color="auto"/>
                <w:right w:val="none" w:sz="0" w:space="0" w:color="auto"/>
              </w:divBdr>
            </w:div>
            <w:div w:id="1522813088">
              <w:marLeft w:val="0"/>
              <w:marRight w:val="0"/>
              <w:marTop w:val="0"/>
              <w:marBottom w:val="0"/>
              <w:divBdr>
                <w:top w:val="none" w:sz="0" w:space="0" w:color="auto"/>
                <w:left w:val="none" w:sz="0" w:space="0" w:color="auto"/>
                <w:bottom w:val="none" w:sz="0" w:space="0" w:color="auto"/>
                <w:right w:val="none" w:sz="0" w:space="0" w:color="auto"/>
              </w:divBdr>
            </w:div>
            <w:div w:id="1731877585">
              <w:marLeft w:val="0"/>
              <w:marRight w:val="0"/>
              <w:marTop w:val="0"/>
              <w:marBottom w:val="0"/>
              <w:divBdr>
                <w:top w:val="none" w:sz="0" w:space="0" w:color="auto"/>
                <w:left w:val="none" w:sz="0" w:space="0" w:color="auto"/>
                <w:bottom w:val="none" w:sz="0" w:space="0" w:color="auto"/>
                <w:right w:val="none" w:sz="0" w:space="0" w:color="auto"/>
              </w:divBdr>
            </w:div>
            <w:div w:id="19292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513/20190513160441272001.p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513/20190513160441444003.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webupload.admin.dongao.com/biz/handout/img/2019/20190513/20190513160441459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13589-5885-40A9-866A-A78DF094F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2779</Characters>
  <Application>Microsoft Office Word</Application>
  <DocSecurity>0</DocSecurity>
  <Lines>23</Lines>
  <Paragraphs>6</Paragraphs>
  <ScaleCrop>false</ScaleCrop>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