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F69FD" w14:textId="77777777" w:rsidR="00C536C5" w:rsidRDefault="00C536C5" w:rsidP="00C536C5">
      <w:pPr>
        <w:pStyle w:val="aa"/>
        <w:shd w:val="clear" w:color="auto" w:fill="FFFFFF"/>
        <w:spacing w:before="240" w:beforeAutospacing="0" w:after="24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第一编·第四章·审计抽样方法</w:t>
      </w:r>
    </w:p>
    <w:p w14:paraId="0B71F75D" w14:textId="77777777" w:rsidR="00C536C5" w:rsidRDefault="00C536C5" w:rsidP="00C536C5">
      <w:pPr>
        <w:pStyle w:val="aa"/>
        <w:shd w:val="clear" w:color="auto" w:fill="FFFFFF"/>
        <w:spacing w:before="240" w:beforeAutospacing="0" w:after="24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E2B665B" w14:textId="77777777" w:rsidR="00C536C5" w:rsidRDefault="00C536C5" w:rsidP="00C536C5">
      <w:pPr>
        <w:pStyle w:val="aa"/>
        <w:shd w:val="clear" w:color="auto" w:fill="FFFFFF"/>
        <w:spacing w:before="240" w:beforeAutospacing="0" w:after="240" w:afterAutospacing="0"/>
        <w:jc w:val="center"/>
        <w:rPr>
          <w:rFonts w:ascii="Calibri" w:eastAsia="微软雅黑" w:hAnsi="Calibri" w:cs="Calibri"/>
          <w:color w:val="3F3F3F"/>
          <w:sz w:val="21"/>
          <w:szCs w:val="21"/>
        </w:rPr>
      </w:pPr>
      <w:r>
        <w:rPr>
          <w:rFonts w:cs="Calibri" w:hint="eastAsia"/>
          <w:b/>
          <w:bCs/>
          <w:color w:val="3F3F3F"/>
          <w:sz w:val="28"/>
          <w:szCs w:val="28"/>
        </w:rPr>
        <w:t>第三节　审计抽样在细节测试中的运用</w:t>
      </w:r>
    </w:p>
    <w:p w14:paraId="5202740B" w14:textId="77777777" w:rsidR="00C536C5" w:rsidRDefault="00C536C5" w:rsidP="00C536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三、评价样本结果阶段</w:t>
      </w:r>
    </w:p>
    <w:p w14:paraId="432AB2AC" w14:textId="77777777" w:rsidR="00C536C5" w:rsidRDefault="00C536C5" w:rsidP="00C536C5">
      <w:pPr>
        <w:pStyle w:val="aa"/>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"http://webupload.admin.dongao.com/biz/handout/img/2019/20190515/20190515104822366001.jpg"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48.75pt">
            <v:imagedata r:id="rId7" r:href="rId8"/>
          </v:shape>
        </w:pict>
      </w:r>
      <w:r>
        <w:rPr>
          <w:rFonts w:cs="Calibri"/>
          <w:color w:val="3F3F3F"/>
          <w:sz w:val="21"/>
          <w:szCs w:val="21"/>
        </w:rPr>
        <w:fldChar w:fldCharType="end"/>
      </w:r>
    </w:p>
    <w:p w14:paraId="581540CE"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1.推断总体的错报</w:t>
      </w:r>
    </w:p>
    <w:p w14:paraId="42641440"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（1）如果注册会计师在设计样本时将进行抽样的项目分为几层，则要在</w:t>
      </w:r>
      <w:r>
        <w:rPr>
          <w:rFonts w:cs="Calibri" w:hint="eastAsia"/>
          <w:b/>
          <w:bCs/>
          <w:color w:val="FF0000"/>
          <w:sz w:val="21"/>
          <w:szCs w:val="21"/>
        </w:rPr>
        <w:t>每层分别推断错报</w:t>
      </w:r>
      <w:r>
        <w:rPr>
          <w:rFonts w:cs="Calibri" w:hint="eastAsia"/>
          <w:color w:val="3F3F3F"/>
          <w:sz w:val="21"/>
          <w:szCs w:val="21"/>
        </w:rPr>
        <w:t>，然后将各层推断的金额加总，计算估计的总体错报。注册会计师还要将在进行百分之百检查的个别重大项目中发现的所有错报与推断的错报金额</w:t>
      </w:r>
      <w:r>
        <w:rPr>
          <w:rFonts w:cs="Calibri" w:hint="eastAsia"/>
          <w:b/>
          <w:bCs/>
          <w:color w:val="FF0000"/>
          <w:sz w:val="21"/>
          <w:szCs w:val="21"/>
        </w:rPr>
        <w:t>汇总</w:t>
      </w:r>
      <w:r>
        <w:rPr>
          <w:rFonts w:cs="Calibri" w:hint="eastAsia"/>
          <w:color w:val="3F3F3F"/>
          <w:sz w:val="21"/>
          <w:szCs w:val="21"/>
        </w:rPr>
        <w:t>。</w:t>
      </w:r>
    </w:p>
    <w:p w14:paraId="1469A6EE"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"http://webupload.admin.dongao.com/biz/handout/img/2019/20190515/20190515104822495002.png"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146.25pt">
            <v:imagedata r:id="rId9" r:href="rId10"/>
          </v:shape>
        </w:pict>
      </w:r>
      <w:r>
        <w:rPr>
          <w:rFonts w:cs="Calibri"/>
          <w:color w:val="3F3F3F"/>
          <w:sz w:val="21"/>
          <w:szCs w:val="21"/>
        </w:rPr>
        <w:fldChar w:fldCharType="end"/>
      </w:r>
    </w:p>
    <w:p w14:paraId="3435BD79"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（2）使用货币单元抽样时，需要注意</w:t>
      </w:r>
      <w:r>
        <w:rPr>
          <w:rFonts w:cs="Calibri" w:hint="eastAsia"/>
          <w:b/>
          <w:bCs/>
          <w:color w:val="FF0000"/>
          <w:sz w:val="21"/>
          <w:szCs w:val="21"/>
        </w:rPr>
        <w:t>基本原理</w:t>
      </w:r>
      <w:r>
        <w:rPr>
          <w:rFonts w:cs="Calibri" w:hint="eastAsia"/>
          <w:color w:val="3F3F3F"/>
          <w:sz w:val="21"/>
          <w:szCs w:val="21"/>
        </w:rPr>
        <w:t>，即每一个被选取的货币单元(逻辑单元)都代表了整个选样间隔中所有的货币单元。</w:t>
      </w:r>
    </w:p>
    <w:p w14:paraId="0CB2899A"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"http://webupload.admin.dongao.com/biz/handout/img/2019/20190515/20190515104822746003.png"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55pt">
            <v:imagedata r:id="rId11" r:href="rId12"/>
          </v:shape>
        </w:pict>
      </w:r>
      <w:r>
        <w:rPr>
          <w:rFonts w:ascii="Calibri" w:eastAsia="微软雅黑" w:hAnsi="Calibri" w:cs="Calibri"/>
          <w:color w:val="3F3F3F"/>
          <w:sz w:val="21"/>
          <w:szCs w:val="21"/>
        </w:rPr>
        <w:fldChar w:fldCharType="end"/>
      </w:r>
    </w:p>
    <w:p w14:paraId="385586BA"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441E66BC"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推断的总体错报=实际错报+推断错报</w:t>
      </w:r>
    </w:p>
    <w:tbl>
      <w:tblPr>
        <w:tblW w:w="7938" w:type="dxa"/>
        <w:jc w:val="center"/>
        <w:tblCellMar>
          <w:left w:w="0" w:type="dxa"/>
          <w:right w:w="0" w:type="dxa"/>
        </w:tblCellMar>
        <w:tblLook w:val="04A0" w:firstRow="1" w:lastRow="0" w:firstColumn="1" w:lastColumn="0" w:noHBand="0" w:noVBand="1"/>
      </w:tblPr>
      <w:tblGrid>
        <w:gridCol w:w="2355"/>
        <w:gridCol w:w="5583"/>
      </w:tblGrid>
      <w:tr w:rsidR="00C536C5" w14:paraId="756B76D3" w14:textId="77777777" w:rsidTr="00C536C5">
        <w:trPr>
          <w:trHeight w:val="340"/>
          <w:jc w:val="center"/>
        </w:trPr>
        <w:tc>
          <w:tcPr>
            <w:tcW w:w="23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5819F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55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E98A4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推断方法</w:t>
            </w:r>
          </w:p>
        </w:tc>
      </w:tr>
      <w:tr w:rsidR="00C536C5" w14:paraId="10D7CF7F" w14:textId="77777777" w:rsidTr="00C536C5">
        <w:trPr>
          <w:trHeight w:val="340"/>
          <w:jc w:val="center"/>
        </w:trPr>
        <w:tc>
          <w:tcPr>
            <w:tcW w:w="2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BA681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b/>
                <w:bCs/>
                <w:color w:val="FF0000"/>
                <w:sz w:val="21"/>
                <w:szCs w:val="21"/>
              </w:rPr>
              <w:t>大单元</w:t>
            </w:r>
            <w:r>
              <w:rPr>
                <w:rFonts w:cs="Calibri" w:hint="eastAsia"/>
                <w:color w:val="333333"/>
                <w:sz w:val="21"/>
                <w:szCs w:val="21"/>
              </w:rPr>
              <w:t>”</w:t>
            </w:r>
          </w:p>
          <w:p w14:paraId="28387335"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逻辑单元账面价值≥选样间隔</w:t>
            </w:r>
          </w:p>
        </w:tc>
        <w:tc>
          <w:tcPr>
            <w:tcW w:w="55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A86FD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推断的错报=逻辑单元的实际错报</w:t>
            </w:r>
          </w:p>
        </w:tc>
      </w:tr>
      <w:tr w:rsidR="00C536C5" w14:paraId="49DDDF84" w14:textId="77777777" w:rsidTr="00C536C5">
        <w:trPr>
          <w:trHeight w:val="340"/>
          <w:jc w:val="center"/>
        </w:trPr>
        <w:tc>
          <w:tcPr>
            <w:tcW w:w="2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3FF1A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b/>
                <w:bCs/>
                <w:color w:val="FF0000"/>
                <w:sz w:val="21"/>
                <w:szCs w:val="21"/>
              </w:rPr>
              <w:t>小单元</w:t>
            </w:r>
            <w:r>
              <w:rPr>
                <w:rFonts w:cs="Calibri" w:hint="eastAsia"/>
                <w:color w:val="333333"/>
                <w:sz w:val="21"/>
                <w:szCs w:val="21"/>
              </w:rPr>
              <w:t>”</w:t>
            </w:r>
          </w:p>
          <w:p w14:paraId="2A27A96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逻辑单元账面价值＜选样间隔</w:t>
            </w:r>
          </w:p>
        </w:tc>
        <w:tc>
          <w:tcPr>
            <w:tcW w:w="55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AC4A9"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a)逐项计算错报百分比</w:t>
            </w:r>
          </w:p>
          <w:p w14:paraId="227764FB"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错报百分比=</w:t>
            </w: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"http://webupload.admin.dongao.com/biz/handout/img/2019/20190515/20190515104822305004.png"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v:shape id="_x0000_i1028" type="#_x0000_t75" style="width:146.25pt;height:35.25pt">
                  <v:imagedata r:id="rId13" r:href="rId14"/>
                </v:shape>
              </w:pict>
            </w:r>
            <w:r>
              <w:rPr>
                <w:rFonts w:ascii="Calibri" w:eastAsia="微软雅黑" w:hAnsi="Calibri" w:cs="Calibri"/>
                <w:color w:val="333333"/>
                <w:sz w:val="21"/>
                <w:szCs w:val="21"/>
              </w:rPr>
              <w:fldChar w:fldCharType="end"/>
            </w:r>
          </w:p>
          <w:p w14:paraId="5969C600"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b)推断的错报=错报百分比×选样间隔</w:t>
            </w:r>
          </w:p>
        </w:tc>
      </w:tr>
    </w:tbl>
    <w:p w14:paraId="5FD4ABE9"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案例1</w:t>
      </w:r>
    </w:p>
    <w:p w14:paraId="7CD3E521"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使用货币单元抽样法时，注册会计师确定的选样间隔是3000元，在样本中发现了3个高估错报，列示如下表。计算注册会计师推断的错报金额。</w:t>
      </w:r>
    </w:p>
    <w:tbl>
      <w:tblPr>
        <w:tblW w:w="7938" w:type="dxa"/>
        <w:jc w:val="center"/>
        <w:tblCellMar>
          <w:left w:w="0" w:type="dxa"/>
          <w:right w:w="0" w:type="dxa"/>
        </w:tblCellMar>
        <w:tblLook w:val="04A0" w:firstRow="1" w:lastRow="0" w:firstColumn="1" w:lastColumn="0" w:noHBand="0" w:noVBand="1"/>
      </w:tblPr>
      <w:tblGrid>
        <w:gridCol w:w="1656"/>
        <w:gridCol w:w="3189"/>
        <w:gridCol w:w="3093"/>
      </w:tblGrid>
      <w:tr w:rsidR="00C536C5" w14:paraId="292A6D0D" w14:textId="77777777" w:rsidTr="00C536C5">
        <w:trPr>
          <w:trHeight w:val="340"/>
          <w:jc w:val="center"/>
        </w:trPr>
        <w:tc>
          <w:tcPr>
            <w:tcW w:w="1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0A1AD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32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6B5CED3" w14:textId="77777777" w:rsidR="00C536C5" w:rsidRDefault="00C536C5" w:rsidP="00C536C5">
            <w:pPr>
              <w:pStyle w:val="aa"/>
              <w:spacing w:before="0" w:beforeAutospacing="0" w:after="0" w:afterAutospacing="0"/>
              <w:ind w:firstLine="422"/>
              <w:jc w:val="center"/>
              <w:rPr>
                <w:rFonts w:ascii="Calibri" w:eastAsia="微软雅黑" w:hAnsi="Calibri" w:cs="Calibri"/>
                <w:color w:val="333333"/>
                <w:sz w:val="21"/>
                <w:szCs w:val="21"/>
              </w:rPr>
            </w:pPr>
            <w:r>
              <w:rPr>
                <w:rFonts w:cs="Calibri" w:hint="eastAsia"/>
                <w:b/>
                <w:bCs/>
                <w:color w:val="333333"/>
                <w:sz w:val="21"/>
                <w:szCs w:val="21"/>
              </w:rPr>
              <w:t>账面金额/元</w:t>
            </w:r>
          </w:p>
        </w:tc>
        <w:tc>
          <w:tcPr>
            <w:tcW w:w="31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CC717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审定金额/元</w:t>
            </w:r>
          </w:p>
        </w:tc>
      </w:tr>
      <w:tr w:rsidR="00C536C5" w14:paraId="695534F5" w14:textId="77777777" w:rsidTr="00C536C5">
        <w:trPr>
          <w:trHeight w:val="340"/>
          <w:jc w:val="center"/>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A65EB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样本1</w:t>
            </w:r>
          </w:p>
        </w:tc>
        <w:tc>
          <w:tcPr>
            <w:tcW w:w="32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8D82C1" w14:textId="77777777" w:rsidR="00C536C5" w:rsidRDefault="00C536C5" w:rsidP="00C536C5">
            <w:pPr>
              <w:pStyle w:val="aa"/>
              <w:spacing w:before="0" w:beforeAutospacing="0" w:after="0" w:afterAutospacing="0"/>
              <w:ind w:firstLine="420"/>
              <w:jc w:val="center"/>
              <w:rPr>
                <w:rFonts w:ascii="Calibri" w:eastAsia="微软雅黑" w:hAnsi="Calibri" w:cs="Calibri"/>
                <w:color w:val="333333"/>
                <w:sz w:val="21"/>
                <w:szCs w:val="21"/>
              </w:rPr>
            </w:pPr>
            <w:r>
              <w:rPr>
                <w:rFonts w:cs="Calibri" w:hint="eastAsia"/>
                <w:color w:val="333333"/>
                <w:sz w:val="21"/>
                <w:szCs w:val="21"/>
              </w:rPr>
              <w:t>100</w:t>
            </w:r>
          </w:p>
        </w:tc>
        <w:tc>
          <w:tcPr>
            <w:tcW w:w="3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DF6E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r>
      <w:tr w:rsidR="00C536C5" w14:paraId="615B7A37" w14:textId="77777777" w:rsidTr="00C536C5">
        <w:trPr>
          <w:trHeight w:val="340"/>
          <w:jc w:val="center"/>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DD9AB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样本2</w:t>
            </w:r>
          </w:p>
        </w:tc>
        <w:tc>
          <w:tcPr>
            <w:tcW w:w="32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83F2D5" w14:textId="77777777" w:rsidR="00C536C5" w:rsidRDefault="00C536C5" w:rsidP="00C536C5">
            <w:pPr>
              <w:pStyle w:val="aa"/>
              <w:spacing w:before="0" w:beforeAutospacing="0" w:after="0" w:afterAutospacing="0"/>
              <w:ind w:firstLine="420"/>
              <w:jc w:val="center"/>
              <w:rPr>
                <w:rFonts w:ascii="Calibri" w:eastAsia="微软雅黑" w:hAnsi="Calibri" w:cs="Calibri"/>
                <w:color w:val="333333"/>
                <w:sz w:val="21"/>
                <w:szCs w:val="21"/>
              </w:rPr>
            </w:pPr>
            <w:r>
              <w:rPr>
                <w:rFonts w:cs="Calibri" w:hint="eastAsia"/>
                <w:color w:val="333333"/>
                <w:sz w:val="21"/>
                <w:szCs w:val="21"/>
              </w:rPr>
              <w:t>200</w:t>
            </w:r>
          </w:p>
        </w:tc>
        <w:tc>
          <w:tcPr>
            <w:tcW w:w="3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7A54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w:t>
            </w:r>
          </w:p>
        </w:tc>
      </w:tr>
      <w:tr w:rsidR="00C536C5" w14:paraId="2D15894B" w14:textId="77777777" w:rsidTr="00C536C5">
        <w:trPr>
          <w:trHeight w:val="340"/>
          <w:jc w:val="center"/>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6C746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样本3</w:t>
            </w:r>
          </w:p>
        </w:tc>
        <w:tc>
          <w:tcPr>
            <w:tcW w:w="32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B9BCBB" w14:textId="77777777" w:rsidR="00C536C5" w:rsidRDefault="00C536C5" w:rsidP="00C536C5">
            <w:pPr>
              <w:pStyle w:val="aa"/>
              <w:spacing w:before="0" w:beforeAutospacing="0" w:after="0" w:afterAutospacing="0"/>
              <w:ind w:firstLine="420"/>
              <w:jc w:val="center"/>
              <w:rPr>
                <w:rFonts w:ascii="Calibri" w:eastAsia="微软雅黑" w:hAnsi="Calibri" w:cs="Calibri"/>
                <w:color w:val="333333"/>
                <w:sz w:val="21"/>
                <w:szCs w:val="21"/>
              </w:rPr>
            </w:pPr>
            <w:r>
              <w:rPr>
                <w:rFonts w:cs="Calibri" w:hint="eastAsia"/>
                <w:color w:val="333333"/>
                <w:sz w:val="21"/>
                <w:szCs w:val="21"/>
              </w:rPr>
              <w:t>5000</w:t>
            </w:r>
          </w:p>
        </w:tc>
        <w:tc>
          <w:tcPr>
            <w:tcW w:w="3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89FF5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4000</w:t>
            </w:r>
          </w:p>
        </w:tc>
      </w:tr>
    </w:tbl>
    <w:p w14:paraId="2E40D02C"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【案例解析】</w:t>
      </w:r>
    </w:p>
    <w:tbl>
      <w:tblPr>
        <w:tblW w:w="7938" w:type="dxa"/>
        <w:jc w:val="center"/>
        <w:tblCellMar>
          <w:left w:w="0" w:type="dxa"/>
          <w:right w:w="0" w:type="dxa"/>
        </w:tblCellMar>
        <w:tblLook w:val="04A0" w:firstRow="1" w:lastRow="0" w:firstColumn="1" w:lastColumn="0" w:noHBand="0" w:noVBand="1"/>
      </w:tblPr>
      <w:tblGrid>
        <w:gridCol w:w="856"/>
        <w:gridCol w:w="913"/>
        <w:gridCol w:w="913"/>
        <w:gridCol w:w="942"/>
        <w:gridCol w:w="1795"/>
        <w:gridCol w:w="2519"/>
      </w:tblGrid>
      <w:tr w:rsidR="00C536C5" w14:paraId="6FB12C07" w14:textId="77777777" w:rsidTr="00C536C5">
        <w:trPr>
          <w:trHeight w:val="340"/>
          <w:jc w:val="center"/>
        </w:trPr>
        <w:tc>
          <w:tcPr>
            <w:tcW w:w="1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7EFE3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10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EBD38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账面</w:t>
            </w:r>
          </w:p>
          <w:p w14:paraId="4B1EE7C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金额/元</w:t>
            </w:r>
          </w:p>
        </w:tc>
        <w:tc>
          <w:tcPr>
            <w:tcW w:w="10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AF12F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审定</w:t>
            </w:r>
          </w:p>
          <w:p w14:paraId="06784F4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金额/元</w:t>
            </w:r>
          </w:p>
        </w:tc>
        <w:tc>
          <w:tcPr>
            <w:tcW w:w="11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0850DE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①判断</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737E4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②错报百分比</w:t>
            </w:r>
          </w:p>
        </w:tc>
        <w:tc>
          <w:tcPr>
            <w:tcW w:w="2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C16E4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③推断的错报</w:t>
            </w:r>
          </w:p>
        </w:tc>
      </w:tr>
      <w:tr w:rsidR="00C536C5" w14:paraId="7B5DF181" w14:textId="77777777" w:rsidTr="00C536C5">
        <w:trPr>
          <w:trHeight w:val="340"/>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F3014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样本1</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83E61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1DF0B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A894D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小于选样间隔</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61E4F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"http://webupload.admin.dongao.com/biz/handout/img/2019/20190515/20190515104822494005.png"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v:shape id="_x0000_i1029" type="#_x0000_t75" style="width:22.5pt;height:18pt">
                  <v:imagedata r:id="rId15" r:href="rId16"/>
                </v:shape>
              </w:pict>
            </w:r>
            <w:r>
              <w:rPr>
                <w:rFonts w:ascii="Calibri" w:eastAsia="微软雅黑" w:hAnsi="Calibri" w:cs="Calibri"/>
                <w:color w:val="333333"/>
                <w:sz w:val="21"/>
                <w:szCs w:val="21"/>
              </w:rPr>
              <w:fldChar w:fldCharType="end"/>
            </w:r>
            <w:r>
              <w:rPr>
                <w:rFonts w:cs="Calibri" w:hint="eastAsia"/>
                <w:color w:val="333333"/>
                <w:sz w:val="21"/>
                <w:szCs w:val="21"/>
              </w:rPr>
              <w:t>=100%</w:t>
            </w:r>
          </w:p>
        </w:tc>
        <w:tc>
          <w:tcPr>
            <w:tcW w:w="2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9A167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3000×100%=3000</w:t>
            </w:r>
          </w:p>
        </w:tc>
      </w:tr>
      <w:tr w:rsidR="00C536C5" w14:paraId="025C2CD1" w14:textId="77777777" w:rsidTr="00C536C5">
        <w:trPr>
          <w:trHeight w:val="340"/>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06ED3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样本2</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C7C49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200</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CD3AE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A9C2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小于选样间隔</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250FA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"http://webupload.admin.dongao.com/biz/handout/img/2019/20190515/20190515104822665006.png"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v:shape id="_x0000_i1030" type="#_x0000_t75" style="width:31.5pt;height:18pt">
                  <v:imagedata r:id="rId17" r:href="rId18"/>
                </v:shape>
              </w:pict>
            </w:r>
            <w:r>
              <w:rPr>
                <w:rFonts w:ascii="Calibri" w:eastAsia="微软雅黑" w:hAnsi="Calibri" w:cs="Calibri"/>
                <w:color w:val="333333"/>
                <w:sz w:val="21"/>
                <w:szCs w:val="21"/>
              </w:rPr>
              <w:fldChar w:fldCharType="end"/>
            </w:r>
            <w:r>
              <w:rPr>
                <w:rFonts w:cs="Calibri" w:hint="eastAsia"/>
                <w:color w:val="333333"/>
                <w:sz w:val="21"/>
                <w:szCs w:val="21"/>
              </w:rPr>
              <w:t>=25%</w:t>
            </w:r>
          </w:p>
        </w:tc>
        <w:tc>
          <w:tcPr>
            <w:tcW w:w="2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D58BA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3000×25%=750</w:t>
            </w:r>
          </w:p>
        </w:tc>
      </w:tr>
      <w:tr w:rsidR="00C536C5" w14:paraId="279138A8" w14:textId="77777777" w:rsidTr="00C536C5">
        <w:trPr>
          <w:trHeight w:val="340"/>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2FED8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样本3</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B8E05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5000</w:t>
            </w:r>
          </w:p>
        </w:tc>
        <w:tc>
          <w:tcPr>
            <w:tcW w:w="10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842BB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4000</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E2D2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大于选样间隔</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67F07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无需计算</w:t>
            </w:r>
          </w:p>
        </w:tc>
        <w:tc>
          <w:tcPr>
            <w:tcW w:w="2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7FD16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5000-4000=1000</w:t>
            </w:r>
          </w:p>
        </w:tc>
      </w:tr>
    </w:tbl>
    <w:p w14:paraId="09374F83"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注册会计师推断的错报=3000+750+1000=4750元。</w:t>
      </w:r>
    </w:p>
    <w:p w14:paraId="29F21D32"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2.考虑抽样风险</w:t>
      </w:r>
    </w:p>
    <w:p w14:paraId="4856E161"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在细节测试中，推断的错报是注册会计师对总体错报作出的最佳估计，但注册会计师要适当考虑抽样风险，以评价样本结果。</w:t>
      </w:r>
    </w:p>
    <w:p w14:paraId="48111463"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（1）非统计抽样</w:t>
      </w:r>
    </w:p>
    <w:p w14:paraId="5248051D"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在非统计抽样中，注册会计师运用职业判断和经验考虑抽样风险。</w:t>
      </w:r>
    </w:p>
    <w:tbl>
      <w:tblPr>
        <w:tblW w:w="7938" w:type="dxa"/>
        <w:jc w:val="center"/>
        <w:tblCellMar>
          <w:left w:w="0" w:type="dxa"/>
          <w:right w:w="0" w:type="dxa"/>
        </w:tblCellMar>
        <w:tblLook w:val="04A0" w:firstRow="1" w:lastRow="0" w:firstColumn="1" w:lastColumn="0" w:noHBand="0" w:noVBand="1"/>
      </w:tblPr>
      <w:tblGrid>
        <w:gridCol w:w="1232"/>
        <w:gridCol w:w="1213"/>
        <w:gridCol w:w="5493"/>
      </w:tblGrid>
      <w:tr w:rsidR="00C536C5" w14:paraId="3CB44D77" w14:textId="77777777" w:rsidTr="00C536C5">
        <w:trPr>
          <w:trHeight w:val="340"/>
          <w:jc w:val="center"/>
        </w:trPr>
        <w:tc>
          <w:tcPr>
            <w:tcW w:w="244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F8F9A3" w14:textId="77777777" w:rsidR="00C536C5" w:rsidRDefault="00C536C5" w:rsidP="00C536C5">
            <w:pPr>
              <w:rPr>
                <w:rFonts w:eastAsia="微软雅黑" w:cs="Calibri"/>
                <w:color w:val="3F3F3F"/>
                <w:szCs w:val="21"/>
              </w:rPr>
            </w:pPr>
          </w:p>
        </w:tc>
        <w:tc>
          <w:tcPr>
            <w:tcW w:w="5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8D9C5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关键要点</w:t>
            </w:r>
          </w:p>
        </w:tc>
      </w:tr>
      <w:tr w:rsidR="00C536C5" w14:paraId="769FEF93" w14:textId="77777777" w:rsidTr="00C536C5">
        <w:trPr>
          <w:trHeight w:val="340"/>
          <w:jc w:val="center"/>
        </w:trPr>
        <w:tc>
          <w:tcPr>
            <w:tcW w:w="123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0C923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判断总体是否</w:t>
            </w:r>
          </w:p>
          <w:p w14:paraId="395131F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w:t>
            </w:r>
          </w:p>
        </w:tc>
        <w:tc>
          <w:tcPr>
            <w:tcW w:w="1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F7051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可以接受</w:t>
            </w:r>
          </w:p>
        </w:tc>
        <w:tc>
          <w:tcPr>
            <w:tcW w:w="54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8AD87C"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远远低于</w:t>
            </w:r>
            <w:r>
              <w:rPr>
                <w:rFonts w:cs="Calibri" w:hint="eastAsia"/>
                <w:color w:val="333333"/>
                <w:sz w:val="21"/>
                <w:szCs w:val="21"/>
              </w:rPr>
              <w:t>：推断的总体错报&lt;&lt;可容忍错报</w:t>
            </w:r>
          </w:p>
        </w:tc>
      </w:tr>
      <w:tr w:rsidR="00C536C5" w14:paraId="74C74BEA" w14:textId="77777777" w:rsidTr="00C536C5">
        <w:trPr>
          <w:trHeight w:val="340"/>
          <w:jc w:val="center"/>
        </w:trPr>
        <w:tc>
          <w:tcPr>
            <w:tcW w:w="0" w:type="auto"/>
            <w:vMerge/>
            <w:tcBorders>
              <w:top w:val="nil"/>
              <w:left w:val="single" w:sz="8" w:space="0" w:color="auto"/>
              <w:bottom w:val="single" w:sz="8" w:space="0" w:color="auto"/>
              <w:right w:val="single" w:sz="8" w:space="0" w:color="auto"/>
            </w:tcBorders>
            <w:vAlign w:val="center"/>
            <w:hideMark/>
          </w:tcPr>
          <w:p w14:paraId="70B6D535" w14:textId="77777777" w:rsidR="00C536C5" w:rsidRDefault="00C536C5" w:rsidP="00C536C5">
            <w:pPr>
              <w:rPr>
                <w:rFonts w:eastAsia="微软雅黑" w:cs="Calibri"/>
                <w:color w:val="333333"/>
                <w:szCs w:val="21"/>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1E475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不能接受</w:t>
            </w:r>
          </w:p>
        </w:tc>
        <w:tc>
          <w:tcPr>
            <w:tcW w:w="54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4B76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大于或接近</w:t>
            </w:r>
            <w:r>
              <w:rPr>
                <w:rFonts w:cs="Calibri" w:hint="eastAsia"/>
                <w:color w:val="333333"/>
                <w:sz w:val="21"/>
                <w:szCs w:val="21"/>
              </w:rPr>
              <w:t>：推断的总体错报＞/≈可容忍错报</w:t>
            </w:r>
          </w:p>
          <w:p w14:paraId="571C53C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等于</w:t>
            </w:r>
            <w:r>
              <w:rPr>
                <w:rFonts w:cs="Calibri" w:hint="eastAsia"/>
                <w:color w:val="333333"/>
                <w:sz w:val="21"/>
                <w:szCs w:val="21"/>
              </w:rPr>
              <w:t>：推断的总体错报＝可容忍错报</w:t>
            </w:r>
          </w:p>
        </w:tc>
      </w:tr>
      <w:tr w:rsidR="00C536C5" w14:paraId="3432560F" w14:textId="77777777" w:rsidTr="00C536C5">
        <w:trPr>
          <w:trHeight w:val="340"/>
          <w:jc w:val="center"/>
        </w:trPr>
        <w:tc>
          <w:tcPr>
            <w:tcW w:w="0" w:type="auto"/>
            <w:vMerge/>
            <w:tcBorders>
              <w:top w:val="nil"/>
              <w:left w:val="single" w:sz="8" w:space="0" w:color="auto"/>
              <w:bottom w:val="single" w:sz="8" w:space="0" w:color="auto"/>
              <w:right w:val="single" w:sz="8" w:space="0" w:color="auto"/>
            </w:tcBorders>
            <w:vAlign w:val="center"/>
            <w:hideMark/>
          </w:tcPr>
          <w:p w14:paraId="1CB8408D" w14:textId="77777777" w:rsidR="00C536C5" w:rsidRDefault="00C536C5" w:rsidP="00C536C5">
            <w:pPr>
              <w:rPr>
                <w:rFonts w:eastAsia="微软雅黑" w:cs="Calibri"/>
                <w:color w:val="333333"/>
                <w:szCs w:val="21"/>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1347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考虑是否接受</w:t>
            </w:r>
          </w:p>
        </w:tc>
        <w:tc>
          <w:tcPr>
            <w:tcW w:w="54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6B1DD"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差距不大不小</w:t>
            </w:r>
            <w:r>
              <w:rPr>
                <w:rFonts w:cs="Calibri" w:hint="eastAsia"/>
                <w:color w:val="333333"/>
                <w:sz w:val="21"/>
                <w:szCs w:val="21"/>
              </w:rPr>
              <w:t>：推断的总体错报→可容忍错报</w:t>
            </w:r>
          </w:p>
        </w:tc>
      </w:tr>
    </w:tbl>
    <w:p w14:paraId="0A1C5113"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（2）统计抽样(货币单元抽样)</w:t>
      </w:r>
    </w:p>
    <w:p w14:paraId="7B5EEE49"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a)计算总体错报上限</w:t>
      </w:r>
    </w:p>
    <w:p w14:paraId="03E8630E"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注册会计师需要考虑抽样风险的影响，计算</w:t>
      </w:r>
      <w:r>
        <w:rPr>
          <w:rFonts w:cs="Calibri" w:hint="eastAsia"/>
          <w:b/>
          <w:bCs/>
          <w:color w:val="FF0000"/>
          <w:sz w:val="21"/>
          <w:szCs w:val="21"/>
        </w:rPr>
        <w:t>总体错报的上限</w:t>
      </w:r>
      <w:r>
        <w:rPr>
          <w:rFonts w:cs="Calibri" w:hint="eastAsia"/>
          <w:color w:val="3F3F3F"/>
          <w:sz w:val="21"/>
          <w:szCs w:val="21"/>
        </w:rPr>
        <w:t>。</w:t>
      </w:r>
    </w:p>
    <w:p w14:paraId="052CBF5F" w14:textId="77777777" w:rsidR="00C536C5" w:rsidRDefault="00C536C5" w:rsidP="00C536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总体错报上限=①+②+③</w:t>
      </w:r>
    </w:p>
    <w:p w14:paraId="20B6443B"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"http://webupload.admin.dongao.com/biz/handout/img/2019/20190515/20190515104822634007.jpg" \* MERGEFORMATINET </w:instrText>
      </w:r>
      <w:r>
        <w:rPr>
          <w:rFonts w:cs="Calibri"/>
          <w:color w:val="3F3F3F"/>
          <w:sz w:val="21"/>
          <w:szCs w:val="21"/>
        </w:rPr>
        <w:fldChar w:fldCharType="separate"/>
      </w:r>
      <w:r>
        <w:rPr>
          <w:rFonts w:cs="Calibri"/>
          <w:color w:val="3F3F3F"/>
          <w:sz w:val="21"/>
          <w:szCs w:val="21"/>
        </w:rPr>
        <w:pict>
          <v:shape id="_x0000_i1031" type="#_x0000_t75" style="width:420pt;height:114.75pt">
            <v:imagedata r:id="rId19" r:href="rId20"/>
          </v:shape>
        </w:pict>
      </w:r>
      <w:r>
        <w:rPr>
          <w:rFonts w:cs="Calibri"/>
          <w:color w:val="3F3F3F"/>
          <w:sz w:val="21"/>
          <w:szCs w:val="21"/>
        </w:rPr>
        <w:fldChar w:fldCharType="end"/>
      </w:r>
    </w:p>
    <w:p w14:paraId="0B643F10"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w:t>
      </w:r>
    </w:p>
    <w:p w14:paraId="1FD4020F"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①=基本精确度=保证系数×选样间隔</w:t>
      </w:r>
    </w:p>
    <w:p w14:paraId="235FCA99"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②=事实错报=逻辑单元的实际错报</w:t>
      </w:r>
    </w:p>
    <w:p w14:paraId="2CEC1E8F"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③=推断错报×保证系数的增量</w:t>
      </w:r>
    </w:p>
    <w:p w14:paraId="795D18A8"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b)判断总体是否可接受</w:t>
      </w:r>
    </w:p>
    <w:tbl>
      <w:tblPr>
        <w:tblW w:w="7938" w:type="dxa"/>
        <w:jc w:val="center"/>
        <w:tblCellMar>
          <w:left w:w="0" w:type="dxa"/>
          <w:right w:w="0" w:type="dxa"/>
        </w:tblCellMar>
        <w:tblLook w:val="04A0" w:firstRow="1" w:lastRow="0" w:firstColumn="1" w:lastColumn="0" w:noHBand="0" w:noVBand="1"/>
      </w:tblPr>
      <w:tblGrid>
        <w:gridCol w:w="1291"/>
        <w:gridCol w:w="1580"/>
        <w:gridCol w:w="5067"/>
      </w:tblGrid>
      <w:tr w:rsidR="00C536C5" w14:paraId="1432975E" w14:textId="77777777" w:rsidTr="00C536C5">
        <w:trPr>
          <w:trHeight w:val="340"/>
          <w:jc w:val="center"/>
        </w:trPr>
        <w:tc>
          <w:tcPr>
            <w:tcW w:w="287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87D487" w14:textId="77777777" w:rsidR="00C536C5" w:rsidRDefault="00C536C5" w:rsidP="00C536C5">
            <w:pPr>
              <w:rPr>
                <w:rFonts w:eastAsia="微软雅黑" w:cs="Calibri"/>
                <w:color w:val="3F3F3F"/>
                <w:szCs w:val="21"/>
              </w:rPr>
            </w:pPr>
          </w:p>
        </w:tc>
        <w:tc>
          <w:tcPr>
            <w:tcW w:w="50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CF0FD5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关键要点</w:t>
            </w:r>
          </w:p>
        </w:tc>
      </w:tr>
      <w:tr w:rsidR="00C536C5" w14:paraId="1F71C8AA" w14:textId="77777777" w:rsidTr="00C536C5">
        <w:trPr>
          <w:trHeight w:val="340"/>
          <w:jc w:val="center"/>
        </w:trPr>
        <w:tc>
          <w:tcPr>
            <w:tcW w:w="129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E5B88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判断总体是否可接受</w:t>
            </w:r>
          </w:p>
        </w:tc>
        <w:tc>
          <w:tcPr>
            <w:tcW w:w="15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5FD65"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可以接受</w:t>
            </w:r>
          </w:p>
        </w:tc>
        <w:tc>
          <w:tcPr>
            <w:tcW w:w="50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36F56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小于</w:t>
            </w:r>
            <w:r>
              <w:rPr>
                <w:rFonts w:cs="Calibri" w:hint="eastAsia"/>
                <w:color w:val="333333"/>
                <w:sz w:val="21"/>
                <w:szCs w:val="21"/>
              </w:rPr>
              <w:t>：总体错报的上限&lt;可容忍错报</w:t>
            </w:r>
          </w:p>
        </w:tc>
      </w:tr>
      <w:tr w:rsidR="00C536C5" w14:paraId="27DDBC14" w14:textId="77777777" w:rsidTr="00C536C5">
        <w:trPr>
          <w:trHeight w:val="340"/>
          <w:jc w:val="center"/>
        </w:trPr>
        <w:tc>
          <w:tcPr>
            <w:tcW w:w="0" w:type="auto"/>
            <w:vMerge/>
            <w:tcBorders>
              <w:top w:val="nil"/>
              <w:left w:val="single" w:sz="8" w:space="0" w:color="auto"/>
              <w:bottom w:val="single" w:sz="8" w:space="0" w:color="auto"/>
              <w:right w:val="single" w:sz="8" w:space="0" w:color="auto"/>
            </w:tcBorders>
            <w:vAlign w:val="center"/>
            <w:hideMark/>
          </w:tcPr>
          <w:p w14:paraId="6B2BDD79" w14:textId="77777777" w:rsidR="00C536C5" w:rsidRDefault="00C536C5" w:rsidP="00C536C5">
            <w:pPr>
              <w:rPr>
                <w:rFonts w:eastAsia="微软雅黑" w:cs="Calibri"/>
                <w:color w:val="333333"/>
                <w:szCs w:val="21"/>
              </w:rPr>
            </w:pPr>
          </w:p>
        </w:tc>
        <w:tc>
          <w:tcPr>
            <w:tcW w:w="15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DC623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不能接受</w:t>
            </w:r>
          </w:p>
        </w:tc>
        <w:tc>
          <w:tcPr>
            <w:tcW w:w="50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1C4F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大于</w:t>
            </w:r>
            <w:r>
              <w:rPr>
                <w:rFonts w:cs="Calibri" w:hint="eastAsia"/>
                <w:color w:val="333333"/>
                <w:sz w:val="21"/>
                <w:szCs w:val="21"/>
              </w:rPr>
              <w:t>：总体错报的上限＞可容忍错报</w:t>
            </w:r>
          </w:p>
        </w:tc>
      </w:tr>
    </w:tbl>
    <w:p w14:paraId="0085136D"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3.考虑错报的性质和原因</w:t>
      </w:r>
    </w:p>
    <w:p w14:paraId="0C46ED01"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除了评价错报的金额和频率以及抽样风险之外，注册会计师还</w:t>
      </w:r>
      <w:r>
        <w:rPr>
          <w:rFonts w:cs="Calibri" w:hint="eastAsia"/>
          <w:b/>
          <w:bCs/>
          <w:color w:val="FF0000"/>
          <w:sz w:val="21"/>
          <w:szCs w:val="21"/>
        </w:rPr>
        <w:t>应当考虑</w:t>
      </w:r>
      <w:r>
        <w:rPr>
          <w:rFonts w:cs="Calibri" w:hint="eastAsia"/>
          <w:color w:val="3F3F3F"/>
          <w:sz w:val="21"/>
          <w:szCs w:val="21"/>
        </w:rPr>
        <w:t>：</w:t>
      </w:r>
    </w:p>
    <w:p w14:paraId="17FEFFE1"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（1）错报的性质和原因；</w:t>
      </w:r>
    </w:p>
    <w:p w14:paraId="2CAB28C7"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（2）错报与审计工作其他阶段之间可能存在的关系。</w:t>
      </w:r>
    </w:p>
    <w:p w14:paraId="3D4827CF"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4.得出总体结论</w:t>
      </w:r>
    </w:p>
    <w:p w14:paraId="142BF34D"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（1）如果样本结果不支持总体账面金额，且注册会计师认为账面金额可能存在错报，注册会计师通常会建议被审计单位对错报进行调查，并在必要时调整账面记录。</w:t>
      </w:r>
    </w:p>
    <w:p w14:paraId="75218A84"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（2）依据被审计单位已更正的错报对推断的总体错报额进行调整后，注册会计师应当将</w:t>
      </w:r>
      <w:r>
        <w:rPr>
          <w:rFonts w:cs="Calibri" w:hint="eastAsia"/>
          <w:b/>
          <w:bCs/>
          <w:color w:val="FF0000"/>
          <w:sz w:val="21"/>
          <w:szCs w:val="21"/>
        </w:rPr>
        <w:t>剩余的推断错报</w:t>
      </w:r>
      <w:r>
        <w:rPr>
          <w:rFonts w:cs="Calibri" w:hint="eastAsia"/>
          <w:color w:val="3F3F3F"/>
          <w:sz w:val="21"/>
          <w:szCs w:val="21"/>
        </w:rPr>
        <w:t>与其他交易或账户余额中的错报总额累计起来，以评价财务报表整体是否存在重大错报。</w:t>
      </w:r>
    </w:p>
    <w:p w14:paraId="22CBD6FA"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（3）无论样本结果是否表明错报总额超过了可容忍错报，注册会计师都</w:t>
      </w:r>
      <w:r>
        <w:rPr>
          <w:rFonts w:cs="Calibri" w:hint="eastAsia"/>
          <w:b/>
          <w:bCs/>
          <w:color w:val="FF0000"/>
          <w:sz w:val="21"/>
          <w:szCs w:val="21"/>
        </w:rPr>
        <w:t>应当要求</w:t>
      </w:r>
      <w:r>
        <w:rPr>
          <w:rFonts w:cs="Calibri" w:hint="eastAsia"/>
          <w:color w:val="3F3F3F"/>
          <w:sz w:val="21"/>
          <w:szCs w:val="21"/>
        </w:rPr>
        <w:t>被审计单位的管理层记录已发现的事实错报(</w:t>
      </w:r>
      <w:r>
        <w:rPr>
          <w:rFonts w:cs="Calibri" w:hint="eastAsia"/>
          <w:b/>
          <w:bCs/>
          <w:color w:val="FF0000"/>
          <w:sz w:val="21"/>
          <w:szCs w:val="21"/>
        </w:rPr>
        <w:t>除非</w:t>
      </w:r>
      <w:r>
        <w:rPr>
          <w:rFonts w:cs="Calibri" w:hint="eastAsia"/>
          <w:color w:val="3F3F3F"/>
          <w:sz w:val="21"/>
          <w:szCs w:val="21"/>
        </w:rPr>
        <w:t>低于明显微小错报临界值)。</w:t>
      </w:r>
    </w:p>
    <w:p w14:paraId="0102F364"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案例2</w:t>
      </w:r>
    </w:p>
    <w:p w14:paraId="693FEA24"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准备使用货币单元抽样法，通过函证测试XYZ公司20×5年12月31日应收账款余额的存在认定。20×5年12月31日，XYZ公司应收账款账户共有602个，其中：借方账户有600个，账面金额为2300000元；贷方账户有2个，账面金额为3000元。</w:t>
      </w:r>
    </w:p>
    <w:p w14:paraId="5406445D"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"http://webupload.admin.dongao.com/biz/handout/img/2019/20190515/20190515104822765008.png" \* MERGEFORMATINET </w:instrText>
      </w:r>
      <w:r>
        <w:rPr>
          <w:rFonts w:cs="Calibri"/>
          <w:color w:val="3F3F3F"/>
          <w:sz w:val="21"/>
          <w:szCs w:val="21"/>
        </w:rPr>
        <w:fldChar w:fldCharType="separate"/>
      </w:r>
      <w:r>
        <w:rPr>
          <w:rFonts w:cs="Calibri"/>
          <w:color w:val="3F3F3F"/>
          <w:sz w:val="21"/>
          <w:szCs w:val="21"/>
        </w:rPr>
        <w:pict>
          <v:shape id="_x0000_i1032" type="#_x0000_t75" style="width:420pt;height:158.25pt">
            <v:imagedata r:id="rId21" r:href="rId22"/>
          </v:shape>
        </w:pict>
      </w:r>
      <w:r>
        <w:rPr>
          <w:rFonts w:cs="Calibri"/>
          <w:color w:val="3F3F3F"/>
          <w:sz w:val="21"/>
          <w:szCs w:val="21"/>
        </w:rPr>
        <w:fldChar w:fldCharType="end"/>
      </w:r>
    </w:p>
    <w:p w14:paraId="0F798E90"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"http://webupload.admin.dongao.com/biz/handout/img/2019/20190515/20190515104823502009.png"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3" type="#_x0000_t75" style="width:294.75pt;height:135pt">
            <v:imagedata r:id="rId23" r:href="rId24"/>
          </v:shape>
        </w:pict>
      </w:r>
      <w:r>
        <w:rPr>
          <w:rFonts w:ascii="Calibri" w:eastAsia="微软雅黑" w:hAnsi="Calibri" w:cs="Calibri"/>
          <w:color w:val="3F3F3F"/>
          <w:sz w:val="21"/>
          <w:szCs w:val="21"/>
        </w:rPr>
        <w:fldChar w:fldCharType="end"/>
      </w:r>
    </w:p>
    <w:p w14:paraId="455ED792"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【案例解析】</w:t>
      </w:r>
    </w:p>
    <w:tbl>
      <w:tblPr>
        <w:tblW w:w="7938" w:type="dxa"/>
        <w:jc w:val="center"/>
        <w:tblCellMar>
          <w:left w:w="0" w:type="dxa"/>
          <w:right w:w="0" w:type="dxa"/>
        </w:tblCellMar>
        <w:tblLook w:val="04A0" w:firstRow="1" w:lastRow="0" w:firstColumn="1" w:lastColumn="0" w:noHBand="0" w:noVBand="1"/>
      </w:tblPr>
      <w:tblGrid>
        <w:gridCol w:w="861"/>
        <w:gridCol w:w="1171"/>
        <w:gridCol w:w="5906"/>
      </w:tblGrid>
      <w:tr w:rsidR="00C536C5" w14:paraId="561DD2FD" w14:textId="77777777" w:rsidTr="00C536C5">
        <w:trPr>
          <w:trHeight w:val="340"/>
          <w:jc w:val="center"/>
        </w:trPr>
        <w:tc>
          <w:tcPr>
            <w:tcW w:w="8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CAC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12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1F07D8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步骤</w:t>
            </w:r>
          </w:p>
        </w:tc>
        <w:tc>
          <w:tcPr>
            <w:tcW w:w="58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0D5FB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C536C5" w14:paraId="3C9464A0"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3406C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F4CE71"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确定测试目标</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0B032"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应收账款余额的存在认定</w:t>
            </w:r>
          </w:p>
        </w:tc>
      </w:tr>
      <w:tr w:rsidR="00C536C5" w14:paraId="3A4B2D45"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E52EB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3DB4C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定义</w:t>
            </w:r>
          </w:p>
          <w:p w14:paraId="1C4C82F8"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总体</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492DAC"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（1）单独测试2个贷方账户</w:t>
            </w:r>
          </w:p>
          <w:p w14:paraId="186A0790"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（2）另有6个借方账户被视为单个重大项目(单个账户的账面金额大于25000元，账面金额共计300000元)</w:t>
            </w:r>
          </w:p>
          <w:p w14:paraId="36B0DE41"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（3）剩下的594个应收账款借方账户就是注册会计师定义的总体，总体账面金额为2000000元</w:t>
            </w:r>
          </w:p>
        </w:tc>
      </w:tr>
      <w:tr w:rsidR="00C536C5" w14:paraId="2E484E92"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1478B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691892"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定义抽样单元</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E06325"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每个货币单元</w:t>
            </w:r>
          </w:p>
        </w:tc>
      </w:tr>
      <w:tr w:rsidR="00C536C5" w14:paraId="5136F8D5"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FAFF7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8776B"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确定样本规模和确定样本量</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9F3E6"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（1）可接受的误受风险为10%</w:t>
            </w:r>
          </w:p>
          <w:p w14:paraId="368EA8F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（2）可容忍的错报为40000元</w:t>
            </w:r>
          </w:p>
          <w:p w14:paraId="19F46FC9"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（3）预计的总体错报为8000元</w:t>
            </w:r>
          </w:p>
          <w:p w14:paraId="51712F0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（4）可容忍的错报与总体账面金额之比为2%</w:t>
            </w:r>
          </w:p>
          <w:p w14:paraId="7E255A61"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（5）预计总体错报与可容忍错报之比为20%</w:t>
            </w:r>
          </w:p>
          <w:p w14:paraId="7A0948B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（6）查表得到样本量为171</w:t>
            </w:r>
          </w:p>
        </w:tc>
      </w:tr>
      <w:tr w:rsidR="00C536C5" w14:paraId="1A2A6EF3"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F4DC5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B50092"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选取样本并实施审计程序</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E39F28"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（1）注册会计师使用系统选样</w:t>
            </w:r>
          </w:p>
          <w:p w14:paraId="495D8B4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（2）选样间隔=2000000÷171≈11695元</w:t>
            </w:r>
          </w:p>
          <w:p w14:paraId="24B4647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（3）注册会计师对171个账户(上述6个单个重大项目和2个贷方账户已单独测试，未发现错报) 逐一实施函证程序</w:t>
            </w:r>
          </w:p>
          <w:p w14:paraId="377E8B2F"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（4）收到了155个询证函回函</w:t>
            </w:r>
          </w:p>
          <w:p w14:paraId="0CAE6A2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（5）对没有收到回函的16个账户实施了替代程序，能够合理保证这些账户不存在错报</w:t>
            </w:r>
          </w:p>
        </w:tc>
      </w:tr>
      <w:tr w:rsidR="00C536C5" w14:paraId="59A86645"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EF168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400000"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推断总体的错报及考虑抽样风险</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4CDA5D"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在收到回函的155个账户中，有4个存在高估，列表如下：(单位：元)</w:t>
            </w:r>
          </w:p>
          <w:tbl>
            <w:tblPr>
              <w:tblW w:w="5670" w:type="dxa"/>
              <w:jc w:val="center"/>
              <w:tblCellMar>
                <w:left w:w="0" w:type="dxa"/>
                <w:right w:w="0" w:type="dxa"/>
              </w:tblCellMar>
              <w:tblLook w:val="04A0" w:firstRow="1" w:lastRow="0" w:firstColumn="1" w:lastColumn="0" w:noHBand="0" w:noVBand="1"/>
            </w:tblPr>
            <w:tblGrid>
              <w:gridCol w:w="469"/>
              <w:gridCol w:w="966"/>
              <w:gridCol w:w="856"/>
              <w:gridCol w:w="741"/>
              <w:gridCol w:w="926"/>
              <w:gridCol w:w="856"/>
              <w:gridCol w:w="856"/>
            </w:tblGrid>
            <w:tr w:rsidR="00C536C5" w14:paraId="0FCBADE1" w14:textId="77777777">
              <w:trPr>
                <w:trHeight w:val="340"/>
                <w:jc w:val="center"/>
              </w:trPr>
              <w:tc>
                <w:tcPr>
                  <w:tcW w:w="4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61FDD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账户</w:t>
                  </w:r>
                </w:p>
              </w:tc>
              <w:tc>
                <w:tcPr>
                  <w:tcW w:w="9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5536E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账面</w:t>
                  </w:r>
                </w:p>
              </w:tc>
              <w:tc>
                <w:tcPr>
                  <w:tcW w:w="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28A63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审定</w:t>
                  </w:r>
                </w:p>
              </w:tc>
              <w:tc>
                <w:tcPr>
                  <w:tcW w:w="7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7D8BD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错报</w:t>
                  </w:r>
                </w:p>
              </w:tc>
              <w:tc>
                <w:tcPr>
                  <w:tcW w:w="9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69598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百分比</w:t>
                  </w:r>
                </w:p>
              </w:tc>
              <w:tc>
                <w:tcPr>
                  <w:tcW w:w="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9CFF1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选样</w:t>
                  </w:r>
                </w:p>
                <w:p w14:paraId="0CF1F34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间隔</w:t>
                  </w:r>
                </w:p>
              </w:tc>
              <w:tc>
                <w:tcPr>
                  <w:tcW w:w="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90F15A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推断</w:t>
                  </w:r>
                </w:p>
                <w:p w14:paraId="12BDA0B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错报</w:t>
                  </w:r>
                </w:p>
              </w:tc>
            </w:tr>
            <w:tr w:rsidR="00C536C5" w14:paraId="5E5A8EEB" w14:textId="77777777">
              <w:trPr>
                <w:trHeight w:val="340"/>
                <w:jc w:val="center"/>
              </w:trPr>
              <w:tc>
                <w:tcPr>
                  <w:tcW w:w="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DA4DF5"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A1</w:t>
                  </w:r>
                </w:p>
              </w:tc>
              <w:tc>
                <w:tcPr>
                  <w:tcW w:w="9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ED72D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B7CD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190</w:t>
                  </w: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D1430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w:t>
                  </w:r>
                </w:p>
              </w:tc>
              <w:tc>
                <w:tcPr>
                  <w:tcW w:w="9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057E9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D579C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11695</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CF5B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585</w:t>
                  </w:r>
                </w:p>
              </w:tc>
            </w:tr>
            <w:tr w:rsidR="00C536C5" w14:paraId="3C5B1C6E" w14:textId="77777777">
              <w:trPr>
                <w:trHeight w:val="340"/>
                <w:jc w:val="center"/>
              </w:trPr>
              <w:tc>
                <w:tcPr>
                  <w:tcW w:w="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29C4B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A2</w:t>
                  </w:r>
                </w:p>
              </w:tc>
              <w:tc>
                <w:tcPr>
                  <w:tcW w:w="9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D215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A4AD3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951F8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10000</w:t>
                  </w:r>
                </w:p>
              </w:tc>
              <w:tc>
                <w:tcPr>
                  <w:tcW w:w="9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E8032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CE633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11695</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0D93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11695</w:t>
                  </w:r>
                </w:p>
              </w:tc>
            </w:tr>
            <w:tr w:rsidR="00C536C5" w14:paraId="6EE0D64B" w14:textId="77777777">
              <w:trPr>
                <w:trHeight w:val="340"/>
                <w:jc w:val="center"/>
              </w:trPr>
              <w:tc>
                <w:tcPr>
                  <w:tcW w:w="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5E7A0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A3</w:t>
                  </w:r>
                </w:p>
              </w:tc>
              <w:tc>
                <w:tcPr>
                  <w:tcW w:w="9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B749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4CB3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2700</w:t>
                  </w: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4578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w:t>
                  </w:r>
                </w:p>
              </w:tc>
              <w:tc>
                <w:tcPr>
                  <w:tcW w:w="9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7E43B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F77D8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11695</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7353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1170</w:t>
                  </w:r>
                </w:p>
              </w:tc>
            </w:tr>
            <w:tr w:rsidR="00C536C5" w14:paraId="53931CAD" w14:textId="77777777">
              <w:trPr>
                <w:trHeight w:val="340"/>
                <w:jc w:val="center"/>
              </w:trPr>
              <w:tc>
                <w:tcPr>
                  <w:tcW w:w="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89E33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A4</w:t>
                  </w:r>
                </w:p>
              </w:tc>
              <w:tc>
                <w:tcPr>
                  <w:tcW w:w="9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FC63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16000</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C4467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15000</w:t>
                  </w: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D0CB5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w:t>
                  </w:r>
                </w:p>
              </w:tc>
              <w:tc>
                <w:tcPr>
                  <w:tcW w:w="9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16206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不适用</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E5C7B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不适用</w:t>
                  </w:r>
                </w:p>
              </w:tc>
              <w:tc>
                <w:tcPr>
                  <w:tcW w:w="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A949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w:t>
                  </w:r>
                </w:p>
              </w:tc>
            </w:tr>
          </w:tbl>
          <w:p w14:paraId="4DBFFF0D" w14:textId="77777777" w:rsidR="00C536C5" w:rsidRDefault="00C536C5" w:rsidP="00C536C5">
            <w:pPr>
              <w:jc w:val="center"/>
              <w:rPr>
                <w:rFonts w:ascii="微软雅黑" w:eastAsia="微软雅黑" w:hAnsi="微软雅黑" w:cs="宋体"/>
                <w:color w:val="333333"/>
                <w:szCs w:val="21"/>
              </w:rPr>
            </w:pPr>
          </w:p>
        </w:tc>
      </w:tr>
      <w:tr w:rsidR="00C536C5" w14:paraId="775D2CC4"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68490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62A7F"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考虑抽样风险</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91045"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（1）基本精确度=保证系数×选样间隔=2.31×11695=27015元</w:t>
            </w:r>
          </w:p>
          <w:p w14:paraId="1BD20182"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（2）大单元事实错报=1000元</w:t>
            </w:r>
          </w:p>
          <w:p w14:paraId="629094EB"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（3）小单元各账户推断错报按金额降序排列，列表如下：</w:t>
            </w:r>
          </w:p>
          <w:tbl>
            <w:tblPr>
              <w:tblW w:w="5670" w:type="dxa"/>
              <w:jc w:val="center"/>
              <w:tblCellMar>
                <w:left w:w="0" w:type="dxa"/>
                <w:right w:w="0" w:type="dxa"/>
              </w:tblCellMar>
              <w:tblLook w:val="04A0" w:firstRow="1" w:lastRow="0" w:firstColumn="1" w:lastColumn="0" w:noHBand="0" w:noVBand="1"/>
            </w:tblPr>
            <w:tblGrid>
              <w:gridCol w:w="427"/>
              <w:gridCol w:w="1122"/>
              <w:gridCol w:w="1532"/>
              <w:gridCol w:w="2589"/>
            </w:tblGrid>
            <w:tr w:rsidR="00C536C5" w14:paraId="353FA023" w14:textId="77777777">
              <w:trPr>
                <w:trHeight w:val="340"/>
                <w:jc w:val="center"/>
              </w:trPr>
              <w:tc>
                <w:tcPr>
                  <w:tcW w:w="3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ADDA2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账户</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9701C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推断错报</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B2B1F0E"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保证系数增量</w:t>
                  </w:r>
                </w:p>
              </w:tc>
              <w:tc>
                <w:tcPr>
                  <w:tcW w:w="26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53430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推断错报×保证系数增量</w:t>
                  </w:r>
                </w:p>
              </w:tc>
            </w:tr>
            <w:tr w:rsidR="00C536C5" w14:paraId="7314377E" w14:textId="77777777">
              <w:trPr>
                <w:trHeight w:val="340"/>
                <w:jc w:val="center"/>
              </w:trPr>
              <w:tc>
                <w:tcPr>
                  <w:tcW w:w="3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EF3FD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7044B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11695</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08E9C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1.58</w:t>
                  </w:r>
                </w:p>
              </w:tc>
              <w:tc>
                <w:tcPr>
                  <w:tcW w:w="2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FCAA0B"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18478</w:t>
                  </w:r>
                </w:p>
              </w:tc>
            </w:tr>
            <w:tr w:rsidR="00C536C5" w14:paraId="55CA0CBE" w14:textId="77777777">
              <w:trPr>
                <w:trHeight w:val="340"/>
                <w:jc w:val="center"/>
              </w:trPr>
              <w:tc>
                <w:tcPr>
                  <w:tcW w:w="3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A1D24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A3</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0C26F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1170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4078C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1.44</w:t>
                  </w:r>
                </w:p>
              </w:tc>
              <w:tc>
                <w:tcPr>
                  <w:tcW w:w="2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70F7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1685</w:t>
                  </w:r>
                </w:p>
              </w:tc>
            </w:tr>
            <w:tr w:rsidR="00C536C5" w14:paraId="7AEC46B6" w14:textId="77777777">
              <w:trPr>
                <w:trHeight w:val="340"/>
                <w:jc w:val="center"/>
              </w:trPr>
              <w:tc>
                <w:tcPr>
                  <w:tcW w:w="3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57C92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CD189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585</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34310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1.36</w:t>
                  </w:r>
                </w:p>
              </w:tc>
              <w:tc>
                <w:tcPr>
                  <w:tcW w:w="2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49451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796</w:t>
                  </w:r>
                </w:p>
              </w:tc>
            </w:tr>
            <w:tr w:rsidR="00C536C5" w14:paraId="3067E07D" w14:textId="77777777">
              <w:trPr>
                <w:trHeight w:val="340"/>
                <w:jc w:val="center"/>
              </w:trPr>
              <w:tc>
                <w:tcPr>
                  <w:tcW w:w="3023"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61BFA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小计</w:t>
                  </w:r>
                </w:p>
              </w:tc>
              <w:tc>
                <w:tcPr>
                  <w:tcW w:w="2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018C1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20959</w:t>
                  </w:r>
                </w:p>
              </w:tc>
            </w:tr>
          </w:tbl>
          <w:p w14:paraId="1C1BF39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（4）总体错报上限=27015+1000+20959=48974元</w:t>
            </w:r>
          </w:p>
        </w:tc>
      </w:tr>
      <w:tr w:rsidR="00C536C5" w14:paraId="1255AB35"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8B428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42178"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考虑错报的性质和原因</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04A5B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注册会计师对其作了进一步调查，确定只是记账疏忽导致，不涉及舞弊等因素</w:t>
            </w:r>
          </w:p>
        </w:tc>
      </w:tr>
      <w:tr w:rsidR="00C536C5" w14:paraId="2157227E" w14:textId="77777777" w:rsidTr="00C536C5">
        <w:trPr>
          <w:trHeight w:val="340"/>
          <w:jc w:val="center"/>
        </w:trPr>
        <w:tc>
          <w:tcPr>
            <w:tcW w:w="8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95C84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w:t>
            </w:r>
          </w:p>
        </w:tc>
        <w:tc>
          <w:tcPr>
            <w:tcW w:w="12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206B8"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得出总体结论</w:t>
            </w:r>
          </w:p>
        </w:tc>
        <w:tc>
          <w:tcPr>
            <w:tcW w:w="58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8851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由于总体错报上限48974元大于可容忍错报40000元，注册会计师得出结论，样本结果不支持应收账款账面金额。注册会计师进一步建议被审计单位对错报进行调查，并在必要时调整账面记录</w:t>
            </w:r>
          </w:p>
        </w:tc>
      </w:tr>
    </w:tbl>
    <w:p w14:paraId="26D312C4"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案例3</w:t>
      </w:r>
    </w:p>
    <w:p w14:paraId="0A83BEA0" w14:textId="77777777" w:rsidR="00C536C5" w:rsidRDefault="00C536C5" w:rsidP="00C536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假设注册会计师准备使用非统计抽样方法，通过函证测试ABC公司20×6年12月31日应收账款余额的存在认定。20×6年12月31日，ABC公司应收账款账户共有935个，其中：借方账户有905个，账面金额为4250000元;贷方账户有30个，账面金额为5000元。</w:t>
      </w:r>
    </w:p>
    <w:p w14:paraId="7B34B64B"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"http://webupload.admin.dongao.com/biz/handout/img/2019/20190515/20190515104823470010.png" \* MERGEFORMATINET </w:instrText>
      </w:r>
      <w:r>
        <w:rPr>
          <w:rFonts w:cs="Calibri"/>
          <w:color w:val="3F3F3F"/>
          <w:sz w:val="21"/>
          <w:szCs w:val="21"/>
        </w:rPr>
        <w:fldChar w:fldCharType="separate"/>
      </w:r>
      <w:r>
        <w:rPr>
          <w:rFonts w:cs="Calibri"/>
          <w:color w:val="3F3F3F"/>
          <w:sz w:val="21"/>
          <w:szCs w:val="21"/>
        </w:rPr>
        <w:pict>
          <v:shape id="_x0000_i1034" type="#_x0000_t75" style="width:420pt;height:189pt">
            <v:imagedata r:id="rId25" r:href="rId26"/>
          </v:shape>
        </w:pict>
      </w:r>
      <w:r>
        <w:rPr>
          <w:rFonts w:cs="Calibri"/>
          <w:color w:val="3F3F3F"/>
          <w:sz w:val="21"/>
          <w:szCs w:val="21"/>
        </w:rPr>
        <w:fldChar w:fldCharType="end"/>
      </w:r>
    </w:p>
    <w:p w14:paraId="304267F6"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"http://webupload.admin.dongao.com/biz/handout/img/2019/20190515/20190515104823249011.png"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5" type="#_x0000_t75" style="width:420pt;height:230.25pt">
            <v:imagedata r:id="rId27" r:href="rId28"/>
          </v:shape>
        </w:pict>
      </w:r>
      <w:r>
        <w:rPr>
          <w:rFonts w:ascii="Calibri" w:eastAsia="微软雅黑" w:hAnsi="Calibri" w:cs="Calibri"/>
          <w:color w:val="3F3F3F"/>
          <w:sz w:val="21"/>
          <w:szCs w:val="21"/>
        </w:rPr>
        <w:fldChar w:fldCharType="end"/>
      </w:r>
    </w:p>
    <w:p w14:paraId="7E9B2700" w14:textId="77777777" w:rsidR="00C536C5" w:rsidRDefault="00C536C5" w:rsidP="00C536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【案例解析】</w:t>
      </w:r>
    </w:p>
    <w:tbl>
      <w:tblPr>
        <w:tblW w:w="7938" w:type="dxa"/>
        <w:jc w:val="center"/>
        <w:tblCellMar>
          <w:left w:w="0" w:type="dxa"/>
          <w:right w:w="0" w:type="dxa"/>
        </w:tblCellMar>
        <w:tblLook w:val="04A0" w:firstRow="1" w:lastRow="0" w:firstColumn="1" w:lastColumn="0" w:noHBand="0" w:noVBand="1"/>
      </w:tblPr>
      <w:tblGrid>
        <w:gridCol w:w="566"/>
        <w:gridCol w:w="899"/>
        <w:gridCol w:w="6473"/>
      </w:tblGrid>
      <w:tr w:rsidR="00C536C5" w14:paraId="45A13A5D" w14:textId="77777777" w:rsidTr="00C536C5">
        <w:trPr>
          <w:trHeight w:val="340"/>
          <w:jc w:val="center"/>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3414A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9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60902A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步骤</w:t>
            </w:r>
          </w:p>
        </w:tc>
        <w:tc>
          <w:tcPr>
            <w:tcW w:w="64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B71B5C"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C536C5" w14:paraId="0DB8EF90"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8E67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BF3F0C"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确定测试目标</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28FF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应收账款余额的存在认定</w:t>
            </w:r>
          </w:p>
        </w:tc>
      </w:tr>
      <w:tr w:rsidR="00C536C5" w14:paraId="63DEF6AB"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CB271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A6F3D9"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定义总体</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E58D8B"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（1）单独测试30个贷方账户</w:t>
            </w:r>
          </w:p>
          <w:p w14:paraId="6273F2CC"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（2）另有5个借方账户被视为单个重大项目(单个账户的账面金额大于50000元，账面金额共计500000元) ，实施100%检查</w:t>
            </w:r>
          </w:p>
          <w:p w14:paraId="15366C21"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 剩下的900个应收账款借方账户就是注册会计师定义的总体，总体账面金额为3750000元</w:t>
            </w:r>
          </w:p>
        </w:tc>
      </w:tr>
      <w:tr w:rsidR="00C536C5" w14:paraId="3C2F5747"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A9DF4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E87D5E"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定义抽样单元</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E444E"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每个应收账款明细账账户</w:t>
            </w:r>
          </w:p>
        </w:tc>
      </w:tr>
      <w:tr w:rsidR="00C536C5" w14:paraId="118EF68F"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340AD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90E85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确定样本规模和确定样本量</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2D6256"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（1）考虑总体的变异性：将总体分成两层，第一层包含250个账户(单个账户的账面金额大于或等于5000元) ，账面金额共计2500000元；第二层包含650个账户(单个账户的账面金额小于5000元) ，账面金额共计1250000元</w:t>
            </w:r>
          </w:p>
          <w:p w14:paraId="0C22613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（2）可接受的误受风险为10%</w:t>
            </w:r>
          </w:p>
          <w:p w14:paraId="1DF7A0FE"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（3）可容忍的错报为150000元</w:t>
            </w:r>
          </w:p>
          <w:p w14:paraId="3FE80458"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（4）预计的总体错报为30000元</w:t>
            </w:r>
          </w:p>
          <w:p w14:paraId="42FB762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（5）查表得到样本量为86</w:t>
            </w:r>
          </w:p>
          <w:p w14:paraId="43F10D10"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（6）注册会计师运用职业判断和经验，认为这个样本规模是适当的，不需要调整</w:t>
            </w:r>
          </w:p>
        </w:tc>
      </w:tr>
      <w:tr w:rsidR="00C536C5" w14:paraId="594EFC3A"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9573F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8E7E0E"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选取样本并实施审计程序</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86C92F"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（1）注册会计师根据各层账面金额在总体账面金额中的占比大致分配样本，从第一层选取58个项目，从第二层选取28个项目</w:t>
            </w:r>
          </w:p>
          <w:p w14:paraId="52E0F1B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（2）注册会计师对91个账户(86个样本加上5个单个重大项目) 逐一实施函证程序，收到了80个询证函回函</w:t>
            </w:r>
          </w:p>
          <w:p w14:paraId="1AA57A3B"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（3）注册会计师对没有收到回函的11个账户实施了替代程序，认为能够合理保证这些账户不存在错报</w:t>
            </w:r>
          </w:p>
        </w:tc>
      </w:tr>
      <w:tr w:rsidR="00C536C5" w14:paraId="2592B9E6" w14:textId="77777777" w:rsidTr="00C536C5">
        <w:trPr>
          <w:trHeight w:val="340"/>
          <w:jc w:val="center"/>
        </w:trPr>
        <w:tc>
          <w:tcPr>
            <w:tcW w:w="5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2F324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90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7EB1D"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推断总体的错报及考虑抽样风险</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F388E9"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（1）在收到回函的80个账户中，有4个存在高估，列表如下：(单位：元)</w:t>
            </w:r>
          </w:p>
          <w:tbl>
            <w:tblPr>
              <w:tblW w:w="6237" w:type="dxa"/>
              <w:tblCellMar>
                <w:left w:w="0" w:type="dxa"/>
                <w:right w:w="0" w:type="dxa"/>
              </w:tblCellMar>
              <w:tblLook w:val="04A0" w:firstRow="1" w:lastRow="0" w:firstColumn="1" w:lastColumn="0" w:noHBand="0" w:noVBand="1"/>
            </w:tblPr>
            <w:tblGrid>
              <w:gridCol w:w="982"/>
              <w:gridCol w:w="1378"/>
              <w:gridCol w:w="1378"/>
              <w:gridCol w:w="1378"/>
              <w:gridCol w:w="1121"/>
            </w:tblGrid>
            <w:tr w:rsidR="00C536C5" w14:paraId="5900D38D" w14:textId="77777777">
              <w:trPr>
                <w:trHeight w:val="340"/>
              </w:trPr>
              <w:tc>
                <w:tcPr>
                  <w:tcW w:w="1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D8102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账户</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F0D39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总体</w:t>
                  </w:r>
                </w:p>
                <w:p w14:paraId="60F2AB9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账面金额</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AC98F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样本</w:t>
                  </w:r>
                </w:p>
                <w:p w14:paraId="70760E6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账面金额</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C13863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样本</w:t>
                  </w:r>
                </w:p>
                <w:p w14:paraId="1410F57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审定金额</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608C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样本</w:t>
                  </w:r>
                </w:p>
                <w:p w14:paraId="21ABDB1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错报金额</w:t>
                  </w:r>
                </w:p>
              </w:tc>
            </w:tr>
            <w:tr w:rsidR="00C536C5" w14:paraId="1A463407" w14:textId="77777777">
              <w:trPr>
                <w:trHeight w:val="340"/>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C0AC0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单个重大账户</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94604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500000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E9EE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500000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62910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499000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62B1A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w:t>
                  </w:r>
                </w:p>
              </w:tc>
            </w:tr>
            <w:tr w:rsidR="00C536C5" w14:paraId="523E6761" w14:textId="77777777">
              <w:trPr>
                <w:trHeight w:val="340"/>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46BAA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第一层</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733E6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2500000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EF0C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739000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D7F4E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738700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DC4B3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w:t>
                  </w:r>
                </w:p>
              </w:tc>
            </w:tr>
            <w:tr w:rsidR="00C536C5" w14:paraId="11EA7D30" w14:textId="77777777">
              <w:trPr>
                <w:trHeight w:val="340"/>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10CB6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第二层</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572B9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1250000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303A8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62500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419AB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62350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866BF"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w:t>
                  </w:r>
                </w:p>
              </w:tc>
            </w:tr>
            <w:tr w:rsidR="00C536C5" w14:paraId="092B186B" w14:textId="77777777">
              <w:trPr>
                <w:trHeight w:val="340"/>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D15F1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合计</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391E1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4250000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4334A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1301500</w:t>
                  </w:r>
                </w:p>
              </w:tc>
              <w:tc>
                <w:tcPr>
                  <w:tcW w:w="15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72F7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1300050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F5222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1450</w:t>
                  </w:r>
                </w:p>
              </w:tc>
            </w:tr>
          </w:tbl>
          <w:p w14:paraId="55547ED6" w14:textId="77777777" w:rsidR="00C536C5" w:rsidRDefault="00C536C5" w:rsidP="00C536C5">
            <w:pPr>
              <w:rPr>
                <w:rFonts w:ascii="微软雅黑" w:eastAsia="微软雅黑" w:hAnsi="微软雅黑" w:cs="宋体"/>
                <w:color w:val="333333"/>
                <w:szCs w:val="21"/>
              </w:rPr>
            </w:pPr>
          </w:p>
        </w:tc>
      </w:tr>
      <w:tr w:rsidR="00C536C5" w14:paraId="4F644EAC" w14:textId="77777777" w:rsidTr="00C536C5">
        <w:trPr>
          <w:trHeight w:val="340"/>
          <w:jc w:val="center"/>
        </w:trPr>
        <w:tc>
          <w:tcPr>
            <w:tcW w:w="0" w:type="auto"/>
            <w:vMerge/>
            <w:tcBorders>
              <w:top w:val="nil"/>
              <w:left w:val="single" w:sz="8" w:space="0" w:color="auto"/>
              <w:bottom w:val="single" w:sz="8" w:space="0" w:color="auto"/>
              <w:right w:val="single" w:sz="8" w:space="0" w:color="auto"/>
            </w:tcBorders>
            <w:vAlign w:val="center"/>
            <w:hideMark/>
          </w:tcPr>
          <w:p w14:paraId="08F28473" w14:textId="77777777" w:rsidR="00C536C5" w:rsidRDefault="00C536C5" w:rsidP="00C536C5">
            <w:pPr>
              <w:rPr>
                <w:rFonts w:eastAsia="微软雅黑" w:cs="Calibri"/>
                <w:color w:val="333333"/>
                <w:szCs w:val="21"/>
              </w:rPr>
            </w:pPr>
          </w:p>
        </w:tc>
        <w:tc>
          <w:tcPr>
            <w:tcW w:w="0" w:type="auto"/>
            <w:vMerge/>
            <w:tcBorders>
              <w:top w:val="nil"/>
              <w:left w:val="nil"/>
              <w:bottom w:val="single" w:sz="8" w:space="0" w:color="auto"/>
              <w:right w:val="single" w:sz="8" w:space="0" w:color="auto"/>
            </w:tcBorders>
            <w:vAlign w:val="center"/>
            <w:hideMark/>
          </w:tcPr>
          <w:p w14:paraId="5ACFE5B9" w14:textId="77777777" w:rsidR="00C536C5" w:rsidRDefault="00C536C5" w:rsidP="00C536C5">
            <w:pPr>
              <w:rPr>
                <w:rFonts w:eastAsia="微软雅黑" w:cs="Calibri"/>
                <w:color w:val="333333"/>
                <w:szCs w:val="21"/>
              </w:rPr>
            </w:pP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ACE20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（2）注册会计师运用职业判断和经验认为，错报金额与项目的金额而非数量紧密相关，因此选择比率法评价样本结果：</w:t>
            </w:r>
          </w:p>
          <w:tbl>
            <w:tblPr>
              <w:tblW w:w="6237" w:type="dxa"/>
              <w:jc w:val="center"/>
              <w:tblCellMar>
                <w:left w:w="0" w:type="dxa"/>
                <w:right w:w="0" w:type="dxa"/>
              </w:tblCellMar>
              <w:tblLook w:val="04A0" w:firstRow="1" w:lastRow="0" w:firstColumn="1" w:lastColumn="0" w:noHBand="0" w:noVBand="1"/>
            </w:tblPr>
            <w:tblGrid>
              <w:gridCol w:w="1940"/>
              <w:gridCol w:w="4297"/>
            </w:tblGrid>
            <w:tr w:rsidR="00C536C5" w14:paraId="63DD80AE" w14:textId="77777777">
              <w:trPr>
                <w:trHeight w:val="340"/>
                <w:jc w:val="center"/>
              </w:trPr>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679E4D" w14:textId="77777777" w:rsidR="00C536C5" w:rsidRDefault="00C536C5" w:rsidP="00C536C5">
                  <w:pPr>
                    <w:rPr>
                      <w:rFonts w:eastAsia="微软雅黑" w:cs="Calibri"/>
                      <w:color w:val="333333"/>
                      <w:szCs w:val="21"/>
                    </w:rPr>
                  </w:pPr>
                </w:p>
              </w:tc>
              <w:tc>
                <w:tcPr>
                  <w:tcW w:w="4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30CAB6"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推断错报金额</w:t>
                  </w:r>
                </w:p>
              </w:tc>
            </w:tr>
            <w:tr w:rsidR="00C536C5" w14:paraId="37E5D9F0" w14:textId="77777777">
              <w:trPr>
                <w:trHeight w:val="340"/>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E87E0"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第一层</w:t>
                  </w:r>
                </w:p>
              </w:tc>
              <w:tc>
                <w:tcPr>
                  <w:tcW w:w="4600" w:type="dxa"/>
                  <w:tcBorders>
                    <w:top w:val="nil"/>
                    <w:left w:val="nil"/>
                    <w:bottom w:val="single" w:sz="8" w:space="0" w:color="auto"/>
                    <w:right w:val="single" w:sz="8" w:space="0" w:color="auto"/>
                  </w:tcBorders>
                  <w:tcMar>
                    <w:top w:w="0" w:type="dxa"/>
                    <w:left w:w="108" w:type="dxa"/>
                    <w:bottom w:w="0" w:type="dxa"/>
                    <w:right w:w="108" w:type="dxa"/>
                  </w:tcMar>
                  <w:hideMark/>
                </w:tcPr>
                <w:p w14:paraId="33CF6F19"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1015=300÷739000×2500000</w:t>
                  </w:r>
                </w:p>
              </w:tc>
            </w:tr>
            <w:tr w:rsidR="00C536C5" w14:paraId="79F4068B" w14:textId="77777777">
              <w:trPr>
                <w:trHeight w:val="340"/>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6AD73"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第二层</w:t>
                  </w:r>
                </w:p>
              </w:tc>
              <w:tc>
                <w:tcPr>
                  <w:tcW w:w="4600" w:type="dxa"/>
                  <w:tcBorders>
                    <w:top w:val="nil"/>
                    <w:left w:val="nil"/>
                    <w:bottom w:val="single" w:sz="8" w:space="0" w:color="auto"/>
                    <w:right w:val="single" w:sz="8" w:space="0" w:color="auto"/>
                  </w:tcBorders>
                  <w:tcMar>
                    <w:top w:w="0" w:type="dxa"/>
                    <w:left w:w="108" w:type="dxa"/>
                    <w:bottom w:w="0" w:type="dxa"/>
                    <w:right w:w="108" w:type="dxa"/>
                  </w:tcMar>
                  <w:hideMark/>
                </w:tcPr>
                <w:p w14:paraId="3798BF6A"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3000=150÷62500×1250000</w:t>
                  </w:r>
                </w:p>
              </w:tc>
            </w:tr>
            <w:tr w:rsidR="00C536C5" w14:paraId="2F218D18" w14:textId="77777777">
              <w:trPr>
                <w:trHeight w:val="340"/>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ABF5D0" w14:textId="77777777" w:rsidR="00C536C5" w:rsidRDefault="00C536C5" w:rsidP="00C536C5">
                  <w:pPr>
                    <w:rPr>
                      <w:rFonts w:eastAsia="微软雅黑" w:cs="Calibri"/>
                      <w:color w:val="333333"/>
                      <w:szCs w:val="21"/>
                    </w:rPr>
                  </w:pPr>
                </w:p>
              </w:tc>
              <w:tc>
                <w:tcPr>
                  <w:tcW w:w="4600" w:type="dxa"/>
                  <w:tcBorders>
                    <w:top w:val="nil"/>
                    <w:left w:val="nil"/>
                    <w:bottom w:val="single" w:sz="8" w:space="0" w:color="auto"/>
                    <w:right w:val="single" w:sz="8" w:space="0" w:color="auto"/>
                  </w:tcBorders>
                  <w:tcMar>
                    <w:top w:w="0" w:type="dxa"/>
                    <w:left w:w="108" w:type="dxa"/>
                    <w:bottom w:w="0" w:type="dxa"/>
                    <w:right w:w="108" w:type="dxa"/>
                  </w:tcMar>
                  <w:hideMark/>
                </w:tcPr>
                <w:p w14:paraId="5D01F504"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事实错报</w:t>
                  </w:r>
                </w:p>
              </w:tc>
            </w:tr>
            <w:tr w:rsidR="00C536C5" w14:paraId="062BCC2F" w14:textId="77777777">
              <w:trPr>
                <w:trHeight w:val="340"/>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2EA81D"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单个重大项目</w:t>
                  </w:r>
                </w:p>
              </w:tc>
              <w:tc>
                <w:tcPr>
                  <w:tcW w:w="4600" w:type="dxa"/>
                  <w:tcBorders>
                    <w:top w:val="nil"/>
                    <w:left w:val="nil"/>
                    <w:bottom w:val="single" w:sz="8" w:space="0" w:color="auto"/>
                    <w:right w:val="single" w:sz="8" w:space="0" w:color="auto"/>
                  </w:tcBorders>
                  <w:tcMar>
                    <w:top w:w="0" w:type="dxa"/>
                    <w:left w:w="108" w:type="dxa"/>
                    <w:bottom w:w="0" w:type="dxa"/>
                    <w:right w:w="108" w:type="dxa"/>
                  </w:tcMar>
                  <w:hideMark/>
                </w:tcPr>
                <w:p w14:paraId="59F42492"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1000</w:t>
                  </w:r>
                </w:p>
              </w:tc>
            </w:tr>
            <w:tr w:rsidR="00C536C5" w14:paraId="475FC6B2" w14:textId="77777777">
              <w:trPr>
                <w:trHeight w:val="340"/>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44E411"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合计</w:t>
                  </w:r>
                </w:p>
              </w:tc>
              <w:tc>
                <w:tcPr>
                  <w:tcW w:w="4600" w:type="dxa"/>
                  <w:tcBorders>
                    <w:top w:val="nil"/>
                    <w:left w:val="nil"/>
                    <w:bottom w:val="single" w:sz="8" w:space="0" w:color="auto"/>
                    <w:right w:val="single" w:sz="8" w:space="0" w:color="auto"/>
                  </w:tcBorders>
                  <w:tcMar>
                    <w:top w:w="0" w:type="dxa"/>
                    <w:left w:w="108" w:type="dxa"/>
                    <w:bottom w:w="0" w:type="dxa"/>
                    <w:right w:w="108" w:type="dxa"/>
                  </w:tcMar>
                  <w:hideMark/>
                </w:tcPr>
                <w:p w14:paraId="42EE347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5015=1015+3000+1000</w:t>
                  </w:r>
                </w:p>
              </w:tc>
            </w:tr>
          </w:tbl>
          <w:p w14:paraId="4056721B" w14:textId="77777777" w:rsidR="00C536C5" w:rsidRDefault="00C536C5" w:rsidP="00C536C5">
            <w:pPr>
              <w:jc w:val="center"/>
              <w:rPr>
                <w:rFonts w:ascii="微软雅黑" w:eastAsia="微软雅黑" w:hAnsi="微软雅黑" w:cs="宋体"/>
                <w:color w:val="333333"/>
                <w:szCs w:val="21"/>
              </w:rPr>
            </w:pPr>
          </w:p>
        </w:tc>
      </w:tr>
      <w:tr w:rsidR="00C536C5" w14:paraId="4EDA2F6C"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2B06A8"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B43A1"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考虑错报的性质和原因</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4E6736"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注册会计师对其作了进一步调查，确定只是笔误导致，不涉及舞弊等因素</w:t>
            </w:r>
          </w:p>
        </w:tc>
      </w:tr>
      <w:tr w:rsidR="00C536C5" w14:paraId="11A896D3" w14:textId="77777777" w:rsidTr="00C536C5">
        <w:trPr>
          <w:trHeight w:val="340"/>
          <w:jc w:val="center"/>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5A33E7" w14:textId="77777777" w:rsidR="00C536C5" w:rsidRDefault="00C536C5" w:rsidP="00C536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w:t>
            </w:r>
          </w:p>
        </w:tc>
        <w:tc>
          <w:tcPr>
            <w:tcW w:w="9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85ED7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考虑抽样风险</w:t>
            </w:r>
          </w:p>
          <w:p w14:paraId="6AF32805"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得出总体结论</w:t>
            </w:r>
          </w:p>
        </w:tc>
        <w:tc>
          <w:tcPr>
            <w:tcW w:w="64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34074"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（1）管理层同意更正1450元的事实错报</w:t>
            </w:r>
          </w:p>
          <w:p w14:paraId="4DDC66B3"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（2）剩余的推断错报为5015-1450=3565元</w:t>
            </w:r>
          </w:p>
          <w:p w14:paraId="1B5CC296"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（3）剩余的推断错报远远低于可容忍错报</w:t>
            </w:r>
          </w:p>
          <w:p w14:paraId="50A1BB00"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（4）注册会计师认为总体实际错报金额超过可容忍错报的抽样风险很低</w:t>
            </w:r>
          </w:p>
          <w:p w14:paraId="678FC5EA" w14:textId="77777777" w:rsidR="00C536C5" w:rsidRDefault="00C536C5" w:rsidP="00C536C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（5）注册会计师得出结论，样本结果支持应收账款账面金额。不过，还应将剩余的推断错报与其他事实错报和推断错报汇总，以评价财务报表整体是否可能存在重大错报</w:t>
            </w:r>
          </w:p>
        </w:tc>
      </w:tr>
    </w:tbl>
    <w:p w14:paraId="0BAED6F3" w14:textId="77777777" w:rsidR="00C536C5" w:rsidRDefault="00C536C5" w:rsidP="00C536C5">
      <w:pPr>
        <w:pStyle w:val="aa"/>
        <w:shd w:val="clear" w:color="auto" w:fill="FFFFFF"/>
        <w:spacing w:before="240" w:beforeAutospacing="0" w:after="24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D78E7E4"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"http://webupload.admin.dongao.com/biz/handout/img/2019/20190515/20190515104823412012.png" \* MERGEFORMATINET </w:instrText>
      </w:r>
      <w:r>
        <w:rPr>
          <w:rFonts w:cs="Calibri"/>
          <w:color w:val="3F3F3F"/>
          <w:sz w:val="21"/>
          <w:szCs w:val="21"/>
        </w:rPr>
        <w:fldChar w:fldCharType="separate"/>
      </w:r>
      <w:r>
        <w:rPr>
          <w:rFonts w:cs="Calibri"/>
          <w:color w:val="3F3F3F"/>
          <w:sz w:val="21"/>
          <w:szCs w:val="21"/>
        </w:rPr>
        <w:pict>
          <v:shape id="_x0000_i1036" type="#_x0000_t75" style="width:420pt;height:245.25pt">
            <v:imagedata r:id="rId29" r:href="rId30"/>
          </v:shape>
        </w:pict>
      </w:r>
      <w:r>
        <w:rPr>
          <w:rFonts w:cs="Calibri"/>
          <w:color w:val="3F3F3F"/>
          <w:sz w:val="21"/>
          <w:szCs w:val="21"/>
        </w:rPr>
        <w:fldChar w:fldCharType="end"/>
      </w:r>
    </w:p>
    <w:p w14:paraId="3264F7D6" w14:textId="77777777" w:rsidR="00C536C5" w:rsidRDefault="00C536C5" w:rsidP="00C536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"http://webupload.admin.dongao.com/biz/handout/img/2019/20190515/20190515104823422013.png" \* MERGEFORMATINET </w:instrText>
      </w:r>
      <w:r>
        <w:rPr>
          <w:rFonts w:cs="Calibri"/>
          <w:color w:val="3F3F3F"/>
          <w:sz w:val="21"/>
          <w:szCs w:val="21"/>
        </w:rPr>
        <w:fldChar w:fldCharType="separate"/>
      </w:r>
      <w:r>
        <w:rPr>
          <w:rFonts w:cs="Calibri"/>
          <w:color w:val="3F3F3F"/>
          <w:sz w:val="21"/>
          <w:szCs w:val="21"/>
        </w:rPr>
        <w:pict>
          <v:shape id="_x0000_i1037" type="#_x0000_t75" style="width:420pt;height:187.5pt">
            <v:imagedata r:id="rId31" r:href="rId32"/>
          </v:shape>
        </w:pict>
      </w:r>
      <w:r>
        <w:rPr>
          <w:rFonts w:cs="Calibri"/>
          <w:color w:val="3F3F3F"/>
          <w:sz w:val="21"/>
          <w:szCs w:val="21"/>
        </w:rPr>
        <w:fldChar w:fldCharType="end"/>
      </w:r>
    </w:p>
    <w:p w14:paraId="668496B2" w14:textId="77777777" w:rsidR="00C536C5" w:rsidRDefault="00C536C5" w:rsidP="00C536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07960F39" w14:textId="77777777" w:rsidR="00C536C5" w:rsidRDefault="00C536C5" w:rsidP="00C536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22D2A80B" w14:textId="77777777" w:rsidR="00C536C5" w:rsidRDefault="00C536C5" w:rsidP="00C536C5">
      <w:pPr>
        <w:pStyle w:val="aa"/>
        <w:shd w:val="clear" w:color="auto" w:fill="FFFFFF"/>
        <w:spacing w:before="0" w:beforeAutospacing="0" w:after="0" w:afterAutospacing="0"/>
        <w:ind w:left="720"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阅读和温习本章第一节讲义；温习本章第二节、第三节的随堂案例。</w:t>
      </w:r>
    </w:p>
    <w:p w14:paraId="06857987" w14:textId="77777777" w:rsidR="00C536C5" w:rsidRDefault="00C536C5" w:rsidP="00C536C5">
      <w:pPr>
        <w:pStyle w:val="aa"/>
        <w:shd w:val="clear" w:color="auto" w:fill="FFFFFF"/>
        <w:spacing w:before="0" w:beforeAutospacing="0" w:after="0" w:afterAutospacing="0"/>
        <w:ind w:left="720"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收听“</w:t>
      </w:r>
      <w:r>
        <w:rPr>
          <w:rFonts w:cs="Calibri" w:hint="eastAsia"/>
          <w:b/>
          <w:bCs/>
          <w:color w:val="FF0000"/>
          <w:sz w:val="21"/>
          <w:szCs w:val="21"/>
        </w:rPr>
        <w:t>专题班</w:t>
      </w:r>
      <w:r>
        <w:rPr>
          <w:rFonts w:cs="Calibri" w:hint="eastAsia"/>
          <w:color w:val="3F3F3F"/>
          <w:sz w:val="21"/>
          <w:szCs w:val="21"/>
        </w:rPr>
        <w:t>”的“审计抽样”专题。</w:t>
      </w:r>
    </w:p>
    <w:p w14:paraId="4993E71D" w14:textId="77777777" w:rsidR="00C536C5" w:rsidRDefault="00C536C5" w:rsidP="00C536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4A1630C8" w14:textId="77777777" w:rsidR="00C536C5" w:rsidRDefault="00C536C5" w:rsidP="00C536C5">
      <w:pPr>
        <w:pStyle w:val="aa"/>
        <w:shd w:val="clear" w:color="auto" w:fill="FFFFFF"/>
        <w:spacing w:before="0" w:beforeAutospacing="0" w:after="0" w:afterAutospacing="0"/>
        <w:ind w:left="720"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复习“</w:t>
      </w:r>
      <w:r>
        <w:rPr>
          <w:rFonts w:cs="Calibri" w:hint="eastAsia"/>
          <w:b/>
          <w:bCs/>
          <w:color w:val="FF0000"/>
          <w:sz w:val="21"/>
          <w:szCs w:val="21"/>
        </w:rPr>
        <w:t>专题班</w:t>
      </w:r>
      <w:r>
        <w:rPr>
          <w:rFonts w:cs="Calibri" w:hint="eastAsia"/>
          <w:color w:val="3F3F3F"/>
          <w:sz w:val="21"/>
          <w:szCs w:val="21"/>
        </w:rPr>
        <w:t>”的“审计抽样”专题。</w:t>
      </w:r>
    </w:p>
    <w:p w14:paraId="505A3C0D" w14:textId="77777777" w:rsidR="00C536C5" w:rsidRDefault="00C536C5" w:rsidP="00C536C5">
      <w:pPr>
        <w:shd w:val="clear" w:color="auto" w:fill="FFFFFF"/>
        <w:rPr>
          <w:rFonts w:ascii="微软雅黑" w:eastAsia="微软雅黑" w:hAnsi="微软雅黑" w:cs="宋体"/>
          <w:color w:val="3F3F3F"/>
          <w:szCs w:val="21"/>
        </w:rPr>
      </w:pPr>
    </w:p>
    <w:p w14:paraId="30BE9EEF" w14:textId="77777777" w:rsidR="00271D8C" w:rsidRPr="00C536C5" w:rsidRDefault="00271D8C" w:rsidP="00C536C5">
      <w:pPr>
        <w:rPr>
          <w:rFonts w:hint="eastAsia"/>
        </w:rPr>
      </w:pPr>
    </w:p>
    <w:sectPr w:rsidR="00271D8C" w:rsidRPr="00C536C5" w:rsidSect="001F62DD">
      <w:headerReference w:type="default" r:id="rId33"/>
      <w:footerReference w:type="default" r:id="rId3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D295D" w14:textId="77777777" w:rsidR="00267834" w:rsidRDefault="00267834" w:rsidP="00CD53C5">
      <w:r>
        <w:separator/>
      </w:r>
    </w:p>
  </w:endnote>
  <w:endnote w:type="continuationSeparator" w:id="0">
    <w:p w14:paraId="6EDB8BAE" w14:textId="77777777" w:rsidR="00267834" w:rsidRDefault="00267834"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267AEA8" w14:textId="77777777" w:rsidTr="007B0BFD">
      <w:trPr>
        <w:trHeight w:val="274"/>
      </w:trPr>
      <w:tc>
        <w:tcPr>
          <w:tcW w:w="2050" w:type="dxa"/>
          <w:shd w:val="clear" w:color="auto" w:fill="auto"/>
          <w:vAlign w:val="center"/>
        </w:tcPr>
        <w:p w14:paraId="3E35EDD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8" type="#_x0000_t75" style="width:90.75pt;height:26.25pt;visibility:visible">
                <v:imagedata r:id="rId1" o:title=""/>
              </v:shape>
            </w:pict>
          </w:r>
        </w:p>
      </w:tc>
      <w:tc>
        <w:tcPr>
          <w:tcW w:w="3742" w:type="dxa"/>
          <w:shd w:val="clear" w:color="auto" w:fill="auto"/>
          <w:vAlign w:val="center"/>
        </w:tcPr>
        <w:p w14:paraId="35F2710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30E5FEAB"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EA40FE9"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3F2FF" w14:textId="77777777" w:rsidR="00267834" w:rsidRDefault="00267834" w:rsidP="00CD53C5">
      <w:r>
        <w:separator/>
      </w:r>
    </w:p>
  </w:footnote>
  <w:footnote w:type="continuationSeparator" w:id="0">
    <w:p w14:paraId="481D57A6" w14:textId="77777777" w:rsidR="00267834" w:rsidRDefault="00267834"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084B001" w14:textId="77777777" w:rsidTr="007B0BFD">
      <w:trPr>
        <w:trHeight w:val="501"/>
      </w:trPr>
      <w:tc>
        <w:tcPr>
          <w:tcW w:w="4272" w:type="dxa"/>
          <w:shd w:val="clear" w:color="auto" w:fill="auto"/>
          <w:vAlign w:val="center"/>
        </w:tcPr>
        <w:p w14:paraId="17EF3767" w14:textId="77777777" w:rsidR="001545C6" w:rsidRPr="001F62DD" w:rsidRDefault="00C536C5"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F2D1B7F" w14:textId="77777777" w:rsidR="001545C6" w:rsidRPr="004D61E7" w:rsidRDefault="00C536C5"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+审计抽样方法</w:t>
          </w:r>
        </w:p>
      </w:tc>
    </w:tr>
  </w:tbl>
  <w:p w14:paraId="4D60DA2C"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67834"/>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607A8"/>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536C5"/>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BFF0CB"/>
  <w15:docId w15:val="{CAC03558-F59C-4558-9C0C-101DDAED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310398655">
      <w:bodyDiv w:val="1"/>
      <w:marLeft w:val="0"/>
      <w:marRight w:val="0"/>
      <w:marTop w:val="0"/>
      <w:marBottom w:val="0"/>
      <w:divBdr>
        <w:top w:val="none" w:sz="0" w:space="0" w:color="auto"/>
        <w:left w:val="none" w:sz="0" w:space="0" w:color="auto"/>
        <w:bottom w:val="none" w:sz="0" w:space="0" w:color="auto"/>
        <w:right w:val="none" w:sz="0" w:space="0" w:color="auto"/>
      </w:divBdr>
      <w:divsChild>
        <w:div w:id="191765738">
          <w:marLeft w:val="0"/>
          <w:marRight w:val="0"/>
          <w:marTop w:val="0"/>
          <w:marBottom w:val="0"/>
          <w:divBdr>
            <w:top w:val="none" w:sz="0" w:space="0" w:color="auto"/>
            <w:left w:val="none" w:sz="0" w:space="0" w:color="auto"/>
            <w:bottom w:val="none" w:sz="0" w:space="0" w:color="auto"/>
            <w:right w:val="none" w:sz="0" w:space="0" w:color="auto"/>
          </w:divBdr>
          <w:divsChild>
            <w:div w:id="202988978">
              <w:marLeft w:val="0"/>
              <w:marRight w:val="0"/>
              <w:marTop w:val="0"/>
              <w:marBottom w:val="0"/>
              <w:divBdr>
                <w:top w:val="none" w:sz="0" w:space="0" w:color="auto"/>
                <w:left w:val="none" w:sz="0" w:space="0" w:color="auto"/>
                <w:bottom w:val="none" w:sz="0" w:space="0" w:color="auto"/>
                <w:right w:val="none" w:sz="0" w:space="0" w:color="auto"/>
              </w:divBdr>
            </w:div>
            <w:div w:id="239607257">
              <w:marLeft w:val="0"/>
              <w:marRight w:val="0"/>
              <w:marTop w:val="0"/>
              <w:marBottom w:val="0"/>
              <w:divBdr>
                <w:top w:val="none" w:sz="0" w:space="0" w:color="auto"/>
                <w:left w:val="none" w:sz="0" w:space="0" w:color="auto"/>
                <w:bottom w:val="none" w:sz="0" w:space="0" w:color="auto"/>
                <w:right w:val="none" w:sz="0" w:space="0" w:color="auto"/>
              </w:divBdr>
            </w:div>
            <w:div w:id="645549635">
              <w:marLeft w:val="0"/>
              <w:marRight w:val="0"/>
              <w:marTop w:val="0"/>
              <w:marBottom w:val="0"/>
              <w:divBdr>
                <w:top w:val="none" w:sz="0" w:space="0" w:color="auto"/>
                <w:left w:val="none" w:sz="0" w:space="0" w:color="auto"/>
                <w:bottom w:val="none" w:sz="0" w:space="0" w:color="auto"/>
                <w:right w:val="none" w:sz="0" w:space="0" w:color="auto"/>
              </w:divBdr>
            </w:div>
            <w:div w:id="791484692">
              <w:marLeft w:val="0"/>
              <w:marRight w:val="0"/>
              <w:marTop w:val="0"/>
              <w:marBottom w:val="0"/>
              <w:divBdr>
                <w:top w:val="none" w:sz="0" w:space="0" w:color="auto"/>
                <w:left w:val="none" w:sz="0" w:space="0" w:color="auto"/>
                <w:bottom w:val="none" w:sz="0" w:space="0" w:color="auto"/>
                <w:right w:val="none" w:sz="0" w:space="0" w:color="auto"/>
              </w:divBdr>
            </w:div>
            <w:div w:id="1473937066">
              <w:marLeft w:val="0"/>
              <w:marRight w:val="0"/>
              <w:marTop w:val="0"/>
              <w:marBottom w:val="0"/>
              <w:divBdr>
                <w:top w:val="none" w:sz="0" w:space="0" w:color="auto"/>
                <w:left w:val="none" w:sz="0" w:space="0" w:color="auto"/>
                <w:bottom w:val="none" w:sz="0" w:space="0" w:color="auto"/>
                <w:right w:val="none" w:sz="0" w:space="0" w:color="auto"/>
              </w:divBdr>
            </w:div>
            <w:div w:id="1950359072">
              <w:marLeft w:val="0"/>
              <w:marRight w:val="0"/>
              <w:marTop w:val="0"/>
              <w:marBottom w:val="0"/>
              <w:divBdr>
                <w:top w:val="none" w:sz="0" w:space="0" w:color="auto"/>
                <w:left w:val="none" w:sz="0" w:space="0" w:color="auto"/>
                <w:bottom w:val="none" w:sz="0" w:space="0" w:color="auto"/>
                <w:right w:val="none" w:sz="0" w:space="0" w:color="auto"/>
              </w:divBdr>
            </w:div>
            <w:div w:id="21300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990817123">
      <w:bodyDiv w:val="1"/>
      <w:marLeft w:val="0"/>
      <w:marRight w:val="0"/>
      <w:marTop w:val="0"/>
      <w:marBottom w:val="0"/>
      <w:divBdr>
        <w:top w:val="none" w:sz="0" w:space="0" w:color="auto"/>
        <w:left w:val="none" w:sz="0" w:space="0" w:color="auto"/>
        <w:bottom w:val="none" w:sz="0" w:space="0" w:color="auto"/>
        <w:right w:val="none" w:sz="0" w:space="0" w:color="auto"/>
      </w:divBdr>
      <w:divsChild>
        <w:div w:id="1062681697">
          <w:marLeft w:val="0"/>
          <w:marRight w:val="0"/>
          <w:marTop w:val="0"/>
          <w:marBottom w:val="0"/>
          <w:divBdr>
            <w:top w:val="none" w:sz="0" w:space="0" w:color="auto"/>
            <w:left w:val="none" w:sz="0" w:space="0" w:color="auto"/>
            <w:bottom w:val="none" w:sz="0" w:space="0" w:color="auto"/>
            <w:right w:val="none" w:sz="0" w:space="0" w:color="auto"/>
          </w:divBdr>
          <w:divsChild>
            <w:div w:id="12803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webupload.admin.dongao.com/biz/handout/img/2019/20190515/20190515104822665006.png" TargetMode="External"/><Relationship Id="rId26" Type="http://schemas.openxmlformats.org/officeDocument/2006/relationships/image" Target="http://webupload.admin.dongao.com/biz/handout/img/2019/20190515/20190515104823470010.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http://webupload.admin.dongao.com/biz/handout/img/2019/20190515/2019051510482274600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515/20190515104822494005.png" TargetMode="External"/><Relationship Id="rId20" Type="http://schemas.openxmlformats.org/officeDocument/2006/relationships/image" Target="http://webupload.admin.dongao.com/biz/handout/img/2019/20190515/20190515104822634007.jp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webupload.admin.dongao.com/biz/handout/img/2019/20190515/20190515104823502009.png" TargetMode="External"/><Relationship Id="rId32" Type="http://schemas.openxmlformats.org/officeDocument/2006/relationships/image" Target="http://webupload.admin.dongao.com/biz/handout/img/2019/20190515/20190515104823422013.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webupload.admin.dongao.com/biz/handout/img/2019/20190515/20190515104823249011.png" TargetMode="External"/><Relationship Id="rId36" Type="http://schemas.openxmlformats.org/officeDocument/2006/relationships/theme" Target="theme/theme1.xml"/><Relationship Id="rId10" Type="http://schemas.openxmlformats.org/officeDocument/2006/relationships/image" Target="http://webupload.admin.dongao.com/biz/handout/img/2019/20190515/20190515104822495002.png" TargetMode="External"/><Relationship Id="rId19" Type="http://schemas.openxmlformats.org/officeDocument/2006/relationships/image" Target="media/image7.jpe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15/20190515104822305004.png" TargetMode="External"/><Relationship Id="rId22" Type="http://schemas.openxmlformats.org/officeDocument/2006/relationships/image" Target="http://webupload.admin.dongao.com/biz/handout/img/2019/20190515/20190515104822765008.png" TargetMode="External"/><Relationship Id="rId27" Type="http://schemas.openxmlformats.org/officeDocument/2006/relationships/image" Target="media/image11.png"/><Relationship Id="rId30" Type="http://schemas.openxmlformats.org/officeDocument/2006/relationships/image" Target="http://webupload.admin.dongao.com/biz/handout/img/2019/20190515/20190515104823412012.png" TargetMode="External"/><Relationship Id="rId35" Type="http://schemas.openxmlformats.org/officeDocument/2006/relationships/fontTable" Target="fontTable.xml"/><Relationship Id="rId8" Type="http://schemas.openxmlformats.org/officeDocument/2006/relationships/image" Target="http://webupload.admin.dongao.com/biz/handout/img/2019/20190515/20190515104822366001.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A5E6-F89C-49ED-ABC3-3A58525D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