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E6DD3" w14:textId="77777777" w:rsidR="001659DC" w:rsidRDefault="001659DC" w:rsidP="001659D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第一编·第六章·审计工作底稿</w:t>
      </w:r>
    </w:p>
    <w:p w14:paraId="0BB7F373" w14:textId="77777777" w:rsidR="001659DC" w:rsidRDefault="001659DC" w:rsidP="001659DC">
      <w:pPr>
        <w:pStyle w:val="aa"/>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2B03344E" w14:textId="77777777" w:rsidR="001659DC" w:rsidRDefault="001659DC" w:rsidP="001659DC">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34FA70A6" w14:textId="77777777" w:rsidR="001659DC" w:rsidRDefault="001659DC" w:rsidP="001659DC">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06C061C1" w14:textId="77777777" w:rsidR="001659DC" w:rsidRDefault="001659DC" w:rsidP="001659DC">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8468" w:type="dxa"/>
        <w:jc w:val="center"/>
        <w:tblCellMar>
          <w:left w:w="0" w:type="dxa"/>
          <w:right w:w="0" w:type="dxa"/>
        </w:tblCellMar>
        <w:tblLook w:val="04A0" w:firstRow="1" w:lastRow="0" w:firstColumn="1" w:lastColumn="0" w:noHBand="0" w:noVBand="1"/>
      </w:tblPr>
      <w:tblGrid>
        <w:gridCol w:w="1534"/>
        <w:gridCol w:w="6934"/>
      </w:tblGrid>
      <w:tr w:rsidR="001659DC" w14:paraId="11F81F9E" w14:textId="77777777" w:rsidTr="001659DC">
        <w:trPr>
          <w:trHeight w:val="280"/>
          <w:jc w:val="center"/>
        </w:trPr>
        <w:tc>
          <w:tcPr>
            <w:tcW w:w="1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72ED9A"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9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11E12B"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3分/卷</w:t>
            </w:r>
          </w:p>
        </w:tc>
      </w:tr>
      <w:tr w:rsidR="001659DC" w14:paraId="730064B5" w14:textId="77777777" w:rsidTr="001659DC">
        <w:trPr>
          <w:trHeight w:val="280"/>
          <w:jc w:val="center"/>
        </w:trPr>
        <w:tc>
          <w:tcPr>
            <w:tcW w:w="1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E1A093"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9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DA1FBD"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多选题、简答题</w:t>
            </w:r>
          </w:p>
        </w:tc>
      </w:tr>
      <w:tr w:rsidR="001659DC" w14:paraId="77E40BB7" w14:textId="77777777" w:rsidTr="001659DC">
        <w:trPr>
          <w:trHeight w:val="280"/>
          <w:jc w:val="center"/>
        </w:trPr>
        <w:tc>
          <w:tcPr>
            <w:tcW w:w="1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2465CB"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9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620845"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实务性强</w:t>
            </w:r>
          </w:p>
        </w:tc>
      </w:tr>
      <w:tr w:rsidR="001659DC" w14:paraId="668AD5F1" w14:textId="77777777" w:rsidTr="001659DC">
        <w:trPr>
          <w:trHeight w:val="1771"/>
          <w:jc w:val="center"/>
        </w:trPr>
        <w:tc>
          <w:tcPr>
            <w:tcW w:w="1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A264B8"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9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FE966D" w14:textId="77777777" w:rsidR="001659DC" w:rsidRDefault="001659DC" w:rsidP="001659DC">
            <w:pPr>
              <w:pStyle w:val="aa"/>
              <w:tabs>
                <w:tab w:val="num" w:pos="720"/>
              </w:tabs>
              <w:spacing w:before="0" w:beforeAutospacing="0" w:after="0" w:afterAutospacing="0"/>
              <w:ind w:left="720" w:hanging="36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这一章节原理性内容较少、条文性内容较多，学习时要侧重记忆；此外，近三年真题中本章内容的考题灵活性逐渐提高，考生需要一定的训练</w:t>
            </w:r>
          </w:p>
          <w:p w14:paraId="03DD9431" w14:textId="77777777" w:rsidR="001659DC" w:rsidRDefault="001659DC" w:rsidP="001659DC">
            <w:pPr>
              <w:pStyle w:val="aa"/>
              <w:tabs>
                <w:tab w:val="num" w:pos="720"/>
              </w:tabs>
              <w:spacing w:before="0" w:beforeAutospacing="0" w:after="0" w:afterAutospacing="0"/>
              <w:ind w:left="720" w:hanging="36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本章考点突出，对于审计工作底稿的内容、修改和变动、归档期限等内容，考生需要精准识记</w:t>
            </w:r>
          </w:p>
        </w:tc>
      </w:tr>
    </w:tbl>
    <w:p w14:paraId="773E7CF4" w14:textId="77777777" w:rsidR="001659DC" w:rsidRDefault="001659DC" w:rsidP="001659D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334C86E4" w14:textId="77777777" w:rsidR="001659DC" w:rsidRDefault="001659DC" w:rsidP="001659D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审计工作底稿概述</w:t>
      </w:r>
    </w:p>
    <w:p w14:paraId="19DFA230"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一、审计工作底稿的基本概念</w:t>
      </w:r>
      <w:r>
        <w:rPr>
          <w:rFonts w:cs="Calibri" w:hint="eastAsia"/>
          <w:b/>
          <w:bCs/>
          <w:color w:val="FF0000"/>
          <w:sz w:val="21"/>
          <w:szCs w:val="21"/>
        </w:rPr>
        <w:t>（※※）</w:t>
      </w:r>
    </w:p>
    <w:p w14:paraId="335DB83F"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二、审计工作底稿的编制目的</w:t>
      </w:r>
      <w:r>
        <w:rPr>
          <w:rFonts w:cs="Calibri" w:hint="eastAsia"/>
          <w:b/>
          <w:bCs/>
          <w:color w:val="FF0000"/>
          <w:sz w:val="21"/>
          <w:szCs w:val="21"/>
        </w:rPr>
        <w:t>（※※）</w:t>
      </w:r>
    </w:p>
    <w:p w14:paraId="2D721431"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三、审计工作底稿的编制要求</w:t>
      </w:r>
      <w:r>
        <w:rPr>
          <w:rFonts w:cs="Calibri" w:hint="eastAsia"/>
          <w:b/>
          <w:bCs/>
          <w:color w:val="FF0000"/>
          <w:sz w:val="21"/>
          <w:szCs w:val="21"/>
        </w:rPr>
        <w:t>（※）</w:t>
      </w:r>
    </w:p>
    <w:p w14:paraId="0C7D6456"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四、审计工作底稿的管理</w:t>
      </w:r>
      <w:r>
        <w:rPr>
          <w:rFonts w:cs="Calibri" w:hint="eastAsia"/>
          <w:b/>
          <w:bCs/>
          <w:color w:val="FF0000"/>
          <w:sz w:val="21"/>
          <w:szCs w:val="21"/>
        </w:rPr>
        <w:t>（※※）</w:t>
      </w:r>
    </w:p>
    <w:p w14:paraId="417EE420" w14:textId="77777777" w:rsidR="001659DC" w:rsidRDefault="001659DC" w:rsidP="001659DC">
      <w:pPr>
        <w:pStyle w:val="aa"/>
        <w:shd w:val="clear" w:color="auto" w:fill="FFFFFF"/>
        <w:spacing w:before="0" w:beforeAutospacing="0" w:after="0" w:afterAutospacing="0"/>
        <w:ind w:firstLine="412"/>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3C0271E6"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一、审计工作底稿的基本概念</w:t>
      </w:r>
    </w:p>
    <w:p w14:paraId="44D848F7" w14:textId="77777777" w:rsidR="001659DC" w:rsidRDefault="001659DC" w:rsidP="001659D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"http://webupload.admin.dongao.com/biz/handout/img/2019/20190520/20190520154936829001.png"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05.75pt">
            <v:imagedata r:id="rId7" r:href="rId8"/>
          </v:shape>
        </w:pict>
      </w:r>
      <w:r>
        <w:rPr>
          <w:rFonts w:cs="Calibri"/>
          <w:color w:val="3F3F3F"/>
          <w:sz w:val="21"/>
          <w:szCs w:val="21"/>
        </w:rPr>
        <w:fldChar w:fldCharType="end"/>
      </w:r>
    </w:p>
    <w:tbl>
      <w:tblPr>
        <w:tblW w:w="8493" w:type="dxa"/>
        <w:jc w:val="center"/>
        <w:tblCellMar>
          <w:left w:w="0" w:type="dxa"/>
          <w:right w:w="0" w:type="dxa"/>
        </w:tblCellMar>
        <w:tblLook w:val="04A0" w:firstRow="1" w:lastRow="0" w:firstColumn="1" w:lastColumn="0" w:noHBand="0" w:noVBand="1"/>
      </w:tblPr>
      <w:tblGrid>
        <w:gridCol w:w="8493"/>
      </w:tblGrid>
      <w:tr w:rsidR="001659DC" w14:paraId="5517EE72" w14:textId="77777777" w:rsidTr="001659DC">
        <w:trPr>
          <w:trHeight w:val="509"/>
          <w:jc w:val="center"/>
        </w:trPr>
        <w:tc>
          <w:tcPr>
            <w:tcW w:w="84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73FF5A"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1.含义和用途</w:t>
            </w:r>
          </w:p>
        </w:tc>
      </w:tr>
      <w:tr w:rsidR="001659DC" w14:paraId="7263669F" w14:textId="77777777" w:rsidTr="001659DC">
        <w:trPr>
          <w:trHeight w:val="643"/>
          <w:jc w:val="center"/>
        </w:trPr>
        <w:tc>
          <w:tcPr>
            <w:tcW w:w="84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236196"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注册会计师对审计计划、审计程序、审计证据和审计结论的记录，是审计证据的载体；可用于质量控制复核、监督会计师事务所以及第三方检查等</w:t>
            </w:r>
          </w:p>
        </w:tc>
      </w:tr>
      <w:tr w:rsidR="001659DC" w14:paraId="36F0A3EF" w14:textId="77777777" w:rsidTr="001659DC">
        <w:trPr>
          <w:trHeight w:val="509"/>
          <w:jc w:val="center"/>
        </w:trPr>
        <w:tc>
          <w:tcPr>
            <w:tcW w:w="84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64C544"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2.存在形式</w:t>
            </w:r>
          </w:p>
        </w:tc>
      </w:tr>
      <w:tr w:rsidR="001659DC" w14:paraId="1E179FC4" w14:textId="77777777" w:rsidTr="001659DC">
        <w:trPr>
          <w:trHeight w:val="509"/>
          <w:jc w:val="center"/>
        </w:trPr>
        <w:tc>
          <w:tcPr>
            <w:tcW w:w="84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CDE6AF"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纸质、电子或其他介质</w:t>
            </w:r>
          </w:p>
        </w:tc>
      </w:tr>
    </w:tbl>
    <w:p w14:paraId="0B58F407" w14:textId="77777777" w:rsidR="001659DC" w:rsidRPr="001659DC" w:rsidRDefault="001659DC" w:rsidP="001659DC">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2168"/>
        <w:gridCol w:w="6337"/>
      </w:tblGrid>
      <w:tr w:rsidR="001659DC" w14:paraId="1C8D4E36" w14:textId="77777777" w:rsidTr="001659DC">
        <w:trPr>
          <w:trHeight w:val="184"/>
          <w:jc w:val="center"/>
        </w:trPr>
        <w:tc>
          <w:tcPr>
            <w:tcW w:w="850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967181"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3.内容</w:t>
            </w:r>
          </w:p>
        </w:tc>
      </w:tr>
      <w:tr w:rsidR="001659DC" w14:paraId="6D717D75" w14:textId="77777777" w:rsidTr="001659DC">
        <w:trPr>
          <w:trHeight w:val="1843"/>
          <w:jc w:val="center"/>
        </w:trPr>
        <w:tc>
          <w:tcPr>
            <w:tcW w:w="21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FE3A44"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包括</w:t>
            </w:r>
          </w:p>
          <w:p w14:paraId="7B0E3BEF"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[正列举]</w:t>
            </w:r>
          </w:p>
        </w:tc>
        <w:tc>
          <w:tcPr>
            <w:tcW w:w="63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1E3C21"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（1）业务约定书</w:t>
            </w:r>
          </w:p>
          <w:p w14:paraId="5EF5A503"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（2）总体审计策略、具体审计计划</w:t>
            </w:r>
          </w:p>
          <w:p w14:paraId="10C85B01"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（3）分析表、核对表和问题备忘录</w:t>
            </w:r>
          </w:p>
          <w:p w14:paraId="7157F2F4"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（4）重大事项的往来函件</w:t>
            </w:r>
          </w:p>
          <w:p w14:paraId="56106051"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（5）声明书</w:t>
            </w:r>
          </w:p>
          <w:p w14:paraId="4D4BEFFF"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（6）被审计单位文件记录的摘要或复印件</w:t>
            </w:r>
          </w:p>
          <w:p w14:paraId="7542EB0A"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（7）管理建议书</w:t>
            </w:r>
          </w:p>
          <w:p w14:paraId="233FE3EF"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（8）内部或外部会议记录</w:t>
            </w:r>
          </w:p>
          <w:p w14:paraId="651800B1"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（9）与其他人士的沟通文件</w:t>
            </w:r>
          </w:p>
          <w:p w14:paraId="64DF8155"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（10）错报汇总表</w:t>
            </w:r>
          </w:p>
        </w:tc>
      </w:tr>
      <w:tr w:rsidR="001659DC" w14:paraId="74610620" w14:textId="77777777" w:rsidTr="001659DC">
        <w:trPr>
          <w:trHeight w:val="443"/>
          <w:jc w:val="center"/>
        </w:trPr>
        <w:tc>
          <w:tcPr>
            <w:tcW w:w="85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E6DAB4"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3.内容</w:t>
            </w:r>
            <w:r>
              <w:rPr>
                <w:rFonts w:cs="Calibri" w:hint="eastAsia"/>
                <w:b/>
                <w:bCs/>
                <w:color w:val="FF0000"/>
                <w:sz w:val="21"/>
                <w:szCs w:val="21"/>
              </w:rPr>
              <w:t>【多选题/简答题必考点】</w:t>
            </w:r>
          </w:p>
        </w:tc>
      </w:tr>
      <w:tr w:rsidR="001659DC" w14:paraId="7C8B7122" w14:textId="77777777" w:rsidTr="001659DC">
        <w:trPr>
          <w:trHeight w:val="1272"/>
          <w:jc w:val="center"/>
        </w:trPr>
        <w:tc>
          <w:tcPr>
            <w:tcW w:w="21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34F88E"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不包括</w:t>
            </w:r>
          </w:p>
          <w:p w14:paraId="10302E0A" w14:textId="77777777" w:rsidR="001659DC" w:rsidRDefault="001659DC" w:rsidP="001659D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[反列举]</w:t>
            </w:r>
          </w:p>
        </w:tc>
        <w:tc>
          <w:tcPr>
            <w:tcW w:w="63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62EFEE"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草拟的</w:t>
            </w:r>
            <w:r>
              <w:rPr>
                <w:rFonts w:cs="Calibri" w:hint="eastAsia"/>
                <w:color w:val="333333"/>
                <w:sz w:val="21"/>
                <w:szCs w:val="21"/>
              </w:rPr>
              <w:t>：已被取代的审计工作底稿的草稿或财务报表的草稿</w:t>
            </w:r>
          </w:p>
          <w:p w14:paraId="259B3D14"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初级的</w:t>
            </w:r>
            <w:r>
              <w:rPr>
                <w:rFonts w:cs="Calibri" w:hint="eastAsia"/>
                <w:color w:val="333333"/>
                <w:sz w:val="21"/>
                <w:szCs w:val="21"/>
              </w:rPr>
              <w:t>：反映不全面或初步思考的记录</w:t>
            </w:r>
          </w:p>
          <w:p w14:paraId="4F82E3E8"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b/>
                <w:bCs/>
                <w:color w:val="FF0000"/>
                <w:sz w:val="21"/>
                <w:szCs w:val="21"/>
              </w:rPr>
              <w:t>错误的</w:t>
            </w:r>
            <w:r>
              <w:rPr>
                <w:rFonts w:cs="Calibri" w:hint="eastAsia"/>
                <w:color w:val="333333"/>
                <w:sz w:val="21"/>
                <w:szCs w:val="21"/>
              </w:rPr>
              <w:t>：存在印刷错误或其他错误而作废的文本</w:t>
            </w:r>
          </w:p>
          <w:p w14:paraId="6B6E2B99"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b/>
                <w:bCs/>
                <w:color w:val="FF0000"/>
                <w:sz w:val="21"/>
                <w:szCs w:val="21"/>
              </w:rPr>
              <w:t>重复的</w:t>
            </w:r>
            <w:r>
              <w:rPr>
                <w:rFonts w:cs="Calibri" w:hint="eastAsia"/>
                <w:color w:val="333333"/>
                <w:sz w:val="21"/>
                <w:szCs w:val="21"/>
              </w:rPr>
              <w:t>：重复的文件记录等</w:t>
            </w:r>
          </w:p>
        </w:tc>
      </w:tr>
    </w:tbl>
    <w:p w14:paraId="0C801C91" w14:textId="77777777" w:rsidR="001659DC" w:rsidRDefault="001659DC" w:rsidP="001659DC">
      <w:pPr>
        <w:pStyle w:val="aa"/>
        <w:shd w:val="clear" w:color="auto" w:fill="FFFFFF"/>
        <w:spacing w:before="0" w:beforeAutospacing="0" w:after="0" w:afterAutospacing="0"/>
        <w:ind w:firstLine="310"/>
        <w:jc w:val="both"/>
        <w:rPr>
          <w:rFonts w:ascii="Calibri" w:eastAsia="微软雅黑" w:hAnsi="Calibri" w:cs="Calibri"/>
          <w:color w:val="3F3F3F"/>
          <w:sz w:val="21"/>
          <w:szCs w:val="21"/>
        </w:rPr>
      </w:pPr>
      <w:r>
        <w:rPr>
          <w:rFonts w:cs="Calibri" w:hint="eastAsia"/>
          <w:b/>
          <w:bCs/>
          <w:color w:val="3F3F3F"/>
          <w:sz w:val="21"/>
          <w:szCs w:val="21"/>
        </w:rPr>
        <w:t>【小金敲黑板】</w:t>
      </w:r>
    </w:p>
    <w:p w14:paraId="29D499DA"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审计工作底稿包括或不包括的内容，是</w:t>
      </w:r>
      <w:r>
        <w:rPr>
          <w:rFonts w:cs="Calibri" w:hint="eastAsia"/>
          <w:b/>
          <w:bCs/>
          <w:color w:val="FF0000"/>
          <w:sz w:val="21"/>
          <w:szCs w:val="21"/>
        </w:rPr>
        <w:t>必考点</w:t>
      </w:r>
      <w:r>
        <w:rPr>
          <w:rFonts w:cs="Calibri" w:hint="eastAsia"/>
          <w:color w:val="3F3F3F"/>
          <w:sz w:val="21"/>
          <w:szCs w:val="21"/>
        </w:rPr>
        <w:t>，请同学们精准掌握正反列举的情形：</w:t>
      </w:r>
    </w:p>
    <w:p w14:paraId="5C1F1C5B"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a）包含→保留→不得随意删除；</w:t>
      </w:r>
    </w:p>
    <w:p w14:paraId="308FB8EF"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b）不包含→无须保留→应删除。</w:t>
      </w:r>
    </w:p>
    <w:p w14:paraId="14B6758E"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需要注意的是，对</w:t>
      </w:r>
      <w:r>
        <w:rPr>
          <w:rFonts w:cs="Calibri" w:hint="eastAsia"/>
          <w:b/>
          <w:bCs/>
          <w:color w:val="FF0000"/>
          <w:sz w:val="21"/>
          <w:szCs w:val="21"/>
        </w:rPr>
        <w:t>审计计划</w:t>
      </w:r>
      <w:r>
        <w:rPr>
          <w:rFonts w:cs="Calibri" w:hint="eastAsia"/>
          <w:color w:val="3F3F3F"/>
          <w:sz w:val="21"/>
          <w:szCs w:val="21"/>
        </w:rPr>
        <w:t>、</w:t>
      </w:r>
      <w:r>
        <w:rPr>
          <w:rFonts w:cs="Calibri" w:hint="eastAsia"/>
          <w:b/>
          <w:bCs/>
          <w:color w:val="FF0000"/>
          <w:sz w:val="21"/>
          <w:szCs w:val="21"/>
        </w:rPr>
        <w:t>重要性</w:t>
      </w:r>
      <w:r>
        <w:rPr>
          <w:rFonts w:cs="Calibri" w:hint="eastAsia"/>
          <w:color w:val="3F3F3F"/>
          <w:sz w:val="21"/>
          <w:szCs w:val="21"/>
        </w:rPr>
        <w:t>的更新和修改，需要保留，是</w:t>
      </w:r>
      <w:r>
        <w:rPr>
          <w:rFonts w:cs="Calibri" w:hint="eastAsia"/>
          <w:b/>
          <w:bCs/>
          <w:color w:val="FF0000"/>
          <w:sz w:val="21"/>
          <w:szCs w:val="21"/>
        </w:rPr>
        <w:t>易考易错点</w:t>
      </w:r>
      <w:r>
        <w:rPr>
          <w:rFonts w:cs="Calibri" w:hint="eastAsia"/>
          <w:color w:val="3F3F3F"/>
          <w:sz w:val="21"/>
          <w:szCs w:val="21"/>
        </w:rPr>
        <w:t>。</w:t>
      </w:r>
    </w:p>
    <w:p w14:paraId="36C87C10" w14:textId="77777777" w:rsidR="001659DC" w:rsidRDefault="001659DC" w:rsidP="001659DC">
      <w:pPr>
        <w:pStyle w:val="aa"/>
        <w:shd w:val="clear" w:color="auto" w:fill="FFFFFF"/>
        <w:spacing w:before="0" w:beforeAutospacing="0" w:after="0" w:afterAutospacing="0"/>
        <w:ind w:firstLine="42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"http://webupload.admin.dongao.com/biz/handout/img/2019/20190520/20190520154936255002.png"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255pt">
            <v:imagedata r:id="rId9" r:href="rId10"/>
          </v:shape>
        </w:pict>
      </w:r>
      <w:r>
        <w:rPr>
          <w:rFonts w:cs="Calibri"/>
          <w:color w:val="3F3F3F"/>
          <w:sz w:val="21"/>
          <w:szCs w:val="21"/>
        </w:rPr>
        <w:fldChar w:fldCharType="end"/>
      </w:r>
    </w:p>
    <w:p w14:paraId="444C437C"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CC5C570"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单项选择题【2011年真题】</w:t>
      </w:r>
    </w:p>
    <w:p w14:paraId="0A3427EB"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在编制审计工作底稿时，下列各项中，注册会计师通常认为不必形成最终审计工作底稿的是（　　）。</w:t>
      </w:r>
    </w:p>
    <w:p w14:paraId="0DEC07C4"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A.注册会计师与甲公司管理层对重大事项进行讨论的结果</w:t>
      </w:r>
    </w:p>
    <w:p w14:paraId="32F28FD1"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B.注册会计师不能实现相关审计标准规定的目标的情形</w:t>
      </w:r>
    </w:p>
    <w:p w14:paraId="1E8425CF"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C.注册会计师识别出的信息与针对重大事项得出的最终结论不一致的情形</w:t>
      </w:r>
    </w:p>
    <w:p w14:paraId="4EAB4AB8"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D.注册会计师取得的已被取代的财务报表草稿</w:t>
      </w:r>
    </w:p>
    <w:p w14:paraId="1C5E4A7D"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685C687C"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审计工作底稿通常不包括：（1）已被取代的审计工作底稿的草稿或财务报表的草稿；（2）反映不全面或初步思考的记录；（3）存在印刷错误或其他错误而作废的文本；（4）重复的文件记录等。本题是经久不衰的考点。</w:t>
      </w:r>
    </w:p>
    <w:p w14:paraId="3C215D66"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6708F1A9"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在编制审计工作底稿时，注册会计师通常需要将其纳入审计工作底稿的有（　　）。</w:t>
      </w:r>
    </w:p>
    <w:p w14:paraId="5D2BD7E7"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A.针对保持客户关系而实施质量控制程序的记录</w:t>
      </w:r>
    </w:p>
    <w:p w14:paraId="7606AE41"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B.海外律师通过电子邮件对有关未决诉讼的回复</w:t>
      </w:r>
    </w:p>
    <w:p w14:paraId="7957DEAF"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C.被审计单位本年度有关股利分配的决议复印件</w:t>
      </w:r>
    </w:p>
    <w:p w14:paraId="3B06CF25"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D.被审计单位聘请外部机构做出的商誉减值测试初稿</w:t>
      </w:r>
    </w:p>
    <w:p w14:paraId="0F4583C1"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78DC3743"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[点评]选项D中，审计工作底稿通常不包括反映不全面或初步思考的记录，外部机构做出的商誉减值测试</w:t>
      </w:r>
      <w:r>
        <w:rPr>
          <w:rFonts w:cs="Calibri" w:hint="eastAsia"/>
          <w:b/>
          <w:bCs/>
          <w:color w:val="FF0000"/>
          <w:sz w:val="21"/>
          <w:szCs w:val="21"/>
        </w:rPr>
        <w:t>初稿</w:t>
      </w:r>
      <w:r>
        <w:rPr>
          <w:rFonts w:cs="Calibri" w:hint="eastAsia"/>
          <w:color w:val="3F3F3F"/>
          <w:sz w:val="21"/>
          <w:szCs w:val="21"/>
        </w:rPr>
        <w:t>无需纳入审计工作底稿。本题具有一定的</w:t>
      </w:r>
      <w:r>
        <w:rPr>
          <w:rFonts w:cs="Calibri" w:hint="eastAsia"/>
          <w:b/>
          <w:bCs/>
          <w:color w:val="FF0000"/>
          <w:sz w:val="21"/>
          <w:szCs w:val="21"/>
        </w:rPr>
        <w:t>灵活性</w:t>
      </w:r>
      <w:r>
        <w:rPr>
          <w:rFonts w:cs="Calibri" w:hint="eastAsia"/>
          <w:color w:val="3F3F3F"/>
          <w:sz w:val="21"/>
          <w:szCs w:val="21"/>
        </w:rPr>
        <w:t>，符合当下考试的命题风格，同学们要逐步适应。</w:t>
      </w:r>
    </w:p>
    <w:p w14:paraId="3340EF5D"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二、审计工作底稿的编制目的</w:t>
      </w:r>
      <w:r>
        <w:rPr>
          <w:rFonts w:cs="Calibri" w:hint="eastAsia"/>
          <w:b/>
          <w:bCs/>
          <w:color w:val="FF0000"/>
          <w:sz w:val="21"/>
          <w:szCs w:val="21"/>
        </w:rPr>
        <w:t>【多选题考点】</w:t>
      </w:r>
    </w:p>
    <w:tbl>
      <w:tblPr>
        <w:tblW w:w="8505" w:type="dxa"/>
        <w:jc w:val="center"/>
        <w:tblCellMar>
          <w:left w:w="0" w:type="dxa"/>
          <w:right w:w="0" w:type="dxa"/>
        </w:tblCellMar>
        <w:tblLook w:val="04A0" w:firstRow="1" w:lastRow="0" w:firstColumn="1" w:lastColumn="0" w:noHBand="0" w:noVBand="1"/>
      </w:tblPr>
      <w:tblGrid>
        <w:gridCol w:w="8505"/>
      </w:tblGrid>
      <w:tr w:rsidR="001659DC" w14:paraId="6D46F63E" w14:textId="77777777" w:rsidTr="001659DC">
        <w:trPr>
          <w:trHeight w:val="299"/>
          <w:jc w:val="center"/>
        </w:trPr>
        <w:tc>
          <w:tcPr>
            <w:tcW w:w="85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2B9D86"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1.基本目的</w:t>
            </w:r>
          </w:p>
        </w:tc>
      </w:tr>
      <w:tr w:rsidR="001659DC" w14:paraId="7080859E" w14:textId="77777777" w:rsidTr="001659DC">
        <w:trPr>
          <w:trHeight w:val="765"/>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19D30"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（1）提供充分、适当的记录，作为出具审计</w:t>
            </w:r>
            <w:r>
              <w:rPr>
                <w:rFonts w:cs="Calibri" w:hint="eastAsia"/>
                <w:b/>
                <w:bCs/>
                <w:color w:val="FF0000"/>
                <w:sz w:val="21"/>
                <w:szCs w:val="21"/>
              </w:rPr>
              <w:t>报告的基础</w:t>
            </w:r>
          </w:p>
          <w:p w14:paraId="79D80D3B"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（2）提供</w:t>
            </w:r>
            <w:r>
              <w:rPr>
                <w:rFonts w:cs="Calibri" w:hint="eastAsia"/>
                <w:b/>
                <w:bCs/>
                <w:color w:val="FF0000"/>
                <w:sz w:val="21"/>
                <w:szCs w:val="21"/>
              </w:rPr>
              <w:t>证据</w:t>
            </w:r>
            <w:r>
              <w:rPr>
                <w:rFonts w:cs="Calibri" w:hint="eastAsia"/>
                <w:color w:val="333333"/>
                <w:sz w:val="21"/>
                <w:szCs w:val="21"/>
              </w:rPr>
              <w:t>，证明已按照审计准则和法律法规的规定计划和执行了审计工作</w:t>
            </w:r>
          </w:p>
        </w:tc>
      </w:tr>
      <w:tr w:rsidR="001659DC" w14:paraId="5BBCA600" w14:textId="77777777" w:rsidTr="001659DC">
        <w:trPr>
          <w:trHeight w:val="280"/>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9301E7"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2.其他目的</w:t>
            </w:r>
          </w:p>
        </w:tc>
      </w:tr>
      <w:tr w:rsidR="001659DC" w14:paraId="48B9633D" w14:textId="77777777" w:rsidTr="001659DC">
        <w:trPr>
          <w:trHeight w:val="1795"/>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3938D8"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（1）有助于计划和执行审计工作</w:t>
            </w:r>
          </w:p>
          <w:p w14:paraId="0146B76D"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（2）有助于履行指导、监督与复核的责任</w:t>
            </w:r>
          </w:p>
          <w:p w14:paraId="10F774F1"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（3）便于项目组说明其执行审计工作的情况</w:t>
            </w:r>
          </w:p>
          <w:p w14:paraId="004DF8B4"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（4）保留对未来审计工作持续产生重大影响的事项的记录</w:t>
            </w:r>
          </w:p>
          <w:p w14:paraId="4A4AC461"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（5）便于实施质量控制复核与检查</w:t>
            </w:r>
          </w:p>
          <w:p w14:paraId="315C9B2A"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（6）便于监管机构和注册会计师协会实施执业质量检查</w:t>
            </w:r>
          </w:p>
        </w:tc>
      </w:tr>
    </w:tbl>
    <w:p w14:paraId="0B20F1DB"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9EB181B"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多项选择题【2016年真题】</w:t>
      </w:r>
    </w:p>
    <w:p w14:paraId="1B088A78"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下列各项中，属于注册会计师编制审计工作底稿的目的的有（　　）。</w:t>
      </w:r>
    </w:p>
    <w:p w14:paraId="31B4DC16"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A.有助于项目组计划和执行审计工作</w:t>
      </w:r>
    </w:p>
    <w:p w14:paraId="026BFE34"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B.保留对未来审计工作持续产生重大影响的事项的记录</w:t>
      </w:r>
    </w:p>
    <w:p w14:paraId="0403CBF0"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C.便于后任注册会计师的查阅</w:t>
      </w:r>
    </w:p>
    <w:p w14:paraId="20B36EC3"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D.便于监管机构对会计师事务所实施执业质量检查</w:t>
      </w:r>
    </w:p>
    <w:p w14:paraId="1EACFEA2"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[答案]ABD</w:t>
      </w:r>
    </w:p>
    <w:p w14:paraId="6DB1423C"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[点评]编制审计工作底稿的目的，不包括便于后任注册会计师的查阅。</w:t>
      </w:r>
    </w:p>
    <w:p w14:paraId="4446F4E4"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三、审计工作底稿的编制要求</w:t>
      </w:r>
    </w:p>
    <w:tbl>
      <w:tblPr>
        <w:tblW w:w="8543" w:type="dxa"/>
        <w:jc w:val="center"/>
        <w:tblCellMar>
          <w:left w:w="0" w:type="dxa"/>
          <w:right w:w="0" w:type="dxa"/>
        </w:tblCellMar>
        <w:tblLook w:val="04A0" w:firstRow="1" w:lastRow="0" w:firstColumn="1" w:lastColumn="0" w:noHBand="0" w:noVBand="1"/>
      </w:tblPr>
      <w:tblGrid>
        <w:gridCol w:w="8543"/>
      </w:tblGrid>
      <w:tr w:rsidR="001659DC" w14:paraId="7E3C8A58" w14:textId="77777777" w:rsidTr="001659DC">
        <w:trPr>
          <w:trHeight w:val="320"/>
          <w:jc w:val="center"/>
        </w:trPr>
        <w:tc>
          <w:tcPr>
            <w:tcW w:w="85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2D9F13"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1.基本要求</w:t>
            </w:r>
            <w:r>
              <w:rPr>
                <w:rFonts w:cs="Calibri" w:hint="eastAsia"/>
                <w:b/>
                <w:bCs/>
                <w:color w:val="FF0000"/>
                <w:sz w:val="21"/>
                <w:szCs w:val="21"/>
              </w:rPr>
              <w:t>【多选题考点】</w:t>
            </w:r>
          </w:p>
        </w:tc>
      </w:tr>
      <w:tr w:rsidR="001659DC" w14:paraId="2B9EC602" w14:textId="77777777" w:rsidTr="001659DC">
        <w:trPr>
          <w:trHeight w:val="1396"/>
          <w:jc w:val="center"/>
        </w:trPr>
        <w:tc>
          <w:tcPr>
            <w:tcW w:w="85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944847"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应当使</w:t>
            </w:r>
            <w:r>
              <w:rPr>
                <w:rFonts w:cs="Calibri" w:hint="eastAsia"/>
                <w:b/>
                <w:bCs/>
                <w:color w:val="FF0000"/>
                <w:sz w:val="21"/>
                <w:szCs w:val="21"/>
              </w:rPr>
              <w:t>未曾接触</w:t>
            </w:r>
            <w:r>
              <w:rPr>
                <w:rFonts w:cs="Calibri" w:hint="eastAsia"/>
                <w:color w:val="333333"/>
                <w:sz w:val="21"/>
                <w:szCs w:val="21"/>
              </w:rPr>
              <w:t>该项审计工作的有经验的专业人士清楚地了解：</w:t>
            </w:r>
          </w:p>
          <w:p w14:paraId="1AA5C4CE"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程序</w:t>
            </w:r>
            <w:r>
              <w:rPr>
                <w:rFonts w:cs="Calibri" w:hint="eastAsia"/>
                <w:color w:val="333333"/>
                <w:sz w:val="21"/>
                <w:szCs w:val="21"/>
              </w:rPr>
              <w:t>：按照规定实施的审计程序的性质、时间安排和范围</w:t>
            </w:r>
          </w:p>
          <w:p w14:paraId="647BD3CC"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证据</w:t>
            </w:r>
            <w:r>
              <w:rPr>
                <w:rFonts w:cs="Calibri" w:hint="eastAsia"/>
                <w:color w:val="333333"/>
                <w:sz w:val="21"/>
                <w:szCs w:val="21"/>
              </w:rPr>
              <w:t>：实施审计程序的结果和获取的审计证据</w:t>
            </w:r>
          </w:p>
          <w:p w14:paraId="7D792574"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b/>
                <w:bCs/>
                <w:color w:val="FF0000"/>
                <w:sz w:val="21"/>
                <w:szCs w:val="21"/>
              </w:rPr>
              <w:t>结论</w:t>
            </w:r>
            <w:r>
              <w:rPr>
                <w:rFonts w:cs="Calibri" w:hint="eastAsia"/>
                <w:color w:val="333333"/>
                <w:sz w:val="21"/>
                <w:szCs w:val="21"/>
              </w:rPr>
              <w:t>：遇到的重大事项和得出的结论，以及作出的重大职业判断</w:t>
            </w:r>
          </w:p>
        </w:tc>
      </w:tr>
      <w:tr w:rsidR="001659DC" w14:paraId="1145B44E" w14:textId="77777777" w:rsidTr="001659DC">
        <w:trPr>
          <w:trHeight w:val="294"/>
          <w:jc w:val="center"/>
        </w:trPr>
        <w:tc>
          <w:tcPr>
            <w:tcW w:w="85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1EFFBD"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2.有经验的专业人士</w:t>
            </w:r>
            <w:r>
              <w:rPr>
                <w:rFonts w:cs="Calibri" w:hint="eastAsia"/>
                <w:b/>
                <w:bCs/>
                <w:color w:val="FF0000"/>
                <w:sz w:val="21"/>
                <w:szCs w:val="21"/>
              </w:rPr>
              <w:t>【多选题考点】</w:t>
            </w:r>
          </w:p>
        </w:tc>
      </w:tr>
      <w:tr w:rsidR="001659DC" w14:paraId="5B4FD3AD" w14:textId="77777777" w:rsidTr="001659DC">
        <w:trPr>
          <w:trHeight w:val="1766"/>
          <w:jc w:val="center"/>
        </w:trPr>
        <w:tc>
          <w:tcPr>
            <w:tcW w:w="85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22C21E"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指会计师事务所</w:t>
            </w:r>
            <w:r>
              <w:rPr>
                <w:rFonts w:cs="Calibri" w:hint="eastAsia"/>
                <w:b/>
                <w:bCs/>
                <w:color w:val="FF0000"/>
                <w:sz w:val="21"/>
                <w:szCs w:val="21"/>
              </w:rPr>
              <w:t>内部</w:t>
            </w:r>
            <w:r>
              <w:rPr>
                <w:rFonts w:cs="Calibri" w:hint="eastAsia"/>
                <w:color w:val="333333"/>
                <w:sz w:val="21"/>
                <w:szCs w:val="21"/>
              </w:rPr>
              <w:t>或</w:t>
            </w:r>
            <w:r>
              <w:rPr>
                <w:rFonts w:cs="Calibri" w:hint="eastAsia"/>
                <w:b/>
                <w:bCs/>
                <w:color w:val="FF0000"/>
                <w:sz w:val="21"/>
                <w:szCs w:val="21"/>
              </w:rPr>
              <w:t>外部</w:t>
            </w:r>
            <w:r>
              <w:rPr>
                <w:rFonts w:cs="Calibri" w:hint="eastAsia"/>
                <w:color w:val="333333"/>
                <w:sz w:val="21"/>
                <w:szCs w:val="21"/>
              </w:rPr>
              <w:t>的具有审计实务经验，并且对下列方面具有合理了解的人士：</w:t>
            </w:r>
          </w:p>
          <w:p w14:paraId="627DD210"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（1）审计过程</w:t>
            </w:r>
          </w:p>
          <w:p w14:paraId="0FF08F80"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（2）相关法律法规和审计准则的规定</w:t>
            </w:r>
          </w:p>
          <w:p w14:paraId="1ABDD341"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（3）被审计单位所处的经营环境</w:t>
            </w:r>
          </w:p>
          <w:p w14:paraId="7F5E2F77"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（4）与被审计单位所处行业相关的会计和审计问题</w:t>
            </w:r>
          </w:p>
        </w:tc>
      </w:tr>
    </w:tbl>
    <w:p w14:paraId="20787FF9" w14:textId="77777777" w:rsidR="001659DC" w:rsidRDefault="001659DC" w:rsidP="001659DC">
      <w:pPr>
        <w:pStyle w:val="aa"/>
        <w:shd w:val="clear" w:color="auto" w:fill="FFFFFF"/>
        <w:spacing w:before="0" w:beforeAutospacing="0" w:after="0" w:afterAutospacing="0"/>
        <w:ind w:firstLine="310"/>
        <w:jc w:val="both"/>
        <w:rPr>
          <w:rFonts w:ascii="Calibri" w:eastAsia="微软雅黑" w:hAnsi="Calibri" w:cs="Calibri"/>
          <w:color w:val="3F3F3F"/>
          <w:sz w:val="21"/>
          <w:szCs w:val="21"/>
        </w:rPr>
      </w:pPr>
      <w:r>
        <w:rPr>
          <w:rFonts w:cs="Calibri" w:hint="eastAsia"/>
          <w:b/>
          <w:bCs/>
          <w:color w:val="3F3F3F"/>
          <w:sz w:val="21"/>
          <w:szCs w:val="21"/>
        </w:rPr>
        <w:t>【小金敲黑板】</w:t>
      </w:r>
    </w:p>
    <w:p w14:paraId="49D22B0E"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同学们需要掌握编制要求的两个考点，可以按照以下的记忆方法理清关键点：</w:t>
      </w:r>
    </w:p>
    <w:p w14:paraId="1ECA8963"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a）基本要求针对的是审计</w:t>
      </w:r>
      <w:r>
        <w:rPr>
          <w:rFonts w:cs="Calibri" w:hint="eastAsia"/>
          <w:b/>
          <w:bCs/>
          <w:color w:val="FF0000"/>
          <w:sz w:val="21"/>
          <w:szCs w:val="21"/>
        </w:rPr>
        <w:t>程序</w:t>
      </w:r>
      <w:r>
        <w:rPr>
          <w:rFonts w:cs="Calibri" w:hint="eastAsia"/>
          <w:color w:val="3F3F3F"/>
          <w:sz w:val="21"/>
          <w:szCs w:val="21"/>
        </w:rPr>
        <w:t>、</w:t>
      </w:r>
      <w:r>
        <w:rPr>
          <w:rFonts w:cs="Calibri" w:hint="eastAsia"/>
          <w:b/>
          <w:bCs/>
          <w:color w:val="FF0000"/>
          <w:sz w:val="21"/>
          <w:szCs w:val="21"/>
        </w:rPr>
        <w:t>证据</w:t>
      </w:r>
      <w:r>
        <w:rPr>
          <w:rFonts w:cs="Calibri" w:hint="eastAsia"/>
          <w:color w:val="3F3F3F"/>
          <w:sz w:val="21"/>
          <w:szCs w:val="21"/>
        </w:rPr>
        <w:t>和</w:t>
      </w:r>
      <w:r>
        <w:rPr>
          <w:rFonts w:cs="Calibri" w:hint="eastAsia"/>
          <w:b/>
          <w:bCs/>
          <w:color w:val="FF0000"/>
          <w:sz w:val="21"/>
          <w:szCs w:val="21"/>
        </w:rPr>
        <w:t>结论</w:t>
      </w:r>
      <w:r>
        <w:rPr>
          <w:rFonts w:cs="Calibri" w:hint="eastAsia"/>
          <w:color w:val="3F3F3F"/>
          <w:sz w:val="21"/>
          <w:szCs w:val="21"/>
        </w:rPr>
        <w:t>；</w:t>
      </w:r>
    </w:p>
    <w:p w14:paraId="5B055183"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b）专业人士</w:t>
      </w:r>
      <w:r>
        <w:rPr>
          <w:rFonts w:cs="Calibri" w:hint="eastAsia"/>
          <w:b/>
          <w:bCs/>
          <w:color w:val="FF0000"/>
          <w:sz w:val="21"/>
          <w:szCs w:val="21"/>
        </w:rPr>
        <w:t>不仅仅</w:t>
      </w:r>
      <w:r>
        <w:rPr>
          <w:rFonts w:cs="Calibri" w:hint="eastAsia"/>
          <w:color w:val="3F3F3F"/>
          <w:sz w:val="21"/>
          <w:szCs w:val="21"/>
        </w:rPr>
        <w:t>指事务所内部人士，这是易错点；同时专业人士应当对</w:t>
      </w:r>
      <w:r>
        <w:rPr>
          <w:rFonts w:cs="Calibri" w:hint="eastAsia"/>
          <w:b/>
          <w:bCs/>
          <w:color w:val="FF0000"/>
          <w:sz w:val="21"/>
          <w:szCs w:val="21"/>
        </w:rPr>
        <w:t>“二专二行”</w:t>
      </w:r>
      <w:r>
        <w:rPr>
          <w:rFonts w:cs="Calibri" w:hint="eastAsia"/>
          <w:color w:val="3F3F3F"/>
          <w:sz w:val="21"/>
          <w:szCs w:val="21"/>
        </w:rPr>
        <w:t>有所了解。</w:t>
      </w:r>
    </w:p>
    <w:p w14:paraId="7614F16B" w14:textId="77777777" w:rsidR="001659DC" w:rsidRDefault="001659DC" w:rsidP="001659D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7030A0"/>
          <w:sz w:val="21"/>
          <w:szCs w:val="21"/>
        </w:rPr>
        <w:fldChar w:fldCharType="begin"/>
      </w:r>
      <w:r>
        <w:rPr>
          <w:rFonts w:cs="Calibri"/>
          <w:color w:val="7030A0"/>
          <w:sz w:val="21"/>
          <w:szCs w:val="21"/>
        </w:rPr>
        <w:instrText xml:space="preserve"> INCLUDEPICTURE "http://webupload.admin.dongao.com/biz/handout/img/2019/20190520/20190520154936190003.png" \* MERGEFORMATINET </w:instrText>
      </w:r>
      <w:r>
        <w:rPr>
          <w:rFonts w:cs="Calibri"/>
          <w:color w:val="7030A0"/>
          <w:sz w:val="21"/>
          <w:szCs w:val="21"/>
        </w:rPr>
        <w:fldChar w:fldCharType="separate"/>
      </w:r>
      <w:r>
        <w:rPr>
          <w:rFonts w:cs="Calibri"/>
          <w:color w:val="7030A0"/>
          <w:sz w:val="21"/>
          <w:szCs w:val="21"/>
        </w:rPr>
        <w:pict>
          <v:shape id="_x0000_i1027" type="#_x0000_t75" style="width:420pt;height:221.25pt">
            <v:imagedata r:id="rId11" r:href="rId12"/>
          </v:shape>
        </w:pict>
      </w:r>
      <w:r>
        <w:rPr>
          <w:rFonts w:cs="Calibri"/>
          <w:color w:val="7030A0"/>
          <w:sz w:val="21"/>
          <w:szCs w:val="21"/>
        </w:rPr>
        <w:fldChar w:fldCharType="end"/>
      </w:r>
    </w:p>
    <w:p w14:paraId="1C7E861E"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CEBE445"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多项选择题【2009年真题】</w:t>
      </w:r>
    </w:p>
    <w:p w14:paraId="40A10DD2"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编制的审计工作底稿应当使未曾接触该项审计工作的有经验的专业人士清楚了解审计程序、审计证据和重大审计结论。下列条件中，有经验的专业人士应当具备的有（　　）。</w:t>
      </w:r>
    </w:p>
    <w:p w14:paraId="7D9C1A8F"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A.了解相关法律法规和审计准则的规定</w:t>
      </w:r>
    </w:p>
    <w:p w14:paraId="68B3E804"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B.在会计师事务所长期从事审计工作</w:t>
      </w:r>
    </w:p>
    <w:p w14:paraId="58D8DC42"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C.了解与被审计单位所处行业相关的会计和审计问题</w:t>
      </w:r>
    </w:p>
    <w:p w14:paraId="1286C505"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D.了解注册会计师的审计过程</w:t>
      </w:r>
    </w:p>
    <w:p w14:paraId="5740F9A7"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[答案]ACD</w:t>
      </w:r>
    </w:p>
    <w:p w14:paraId="72B65548"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[点评]“有经验的专业人士”指事务所</w:t>
      </w:r>
      <w:r>
        <w:rPr>
          <w:rFonts w:cs="Calibri" w:hint="eastAsia"/>
          <w:b/>
          <w:bCs/>
          <w:color w:val="FF0000"/>
          <w:sz w:val="21"/>
          <w:szCs w:val="21"/>
        </w:rPr>
        <w:t>内部或外部</w:t>
      </w:r>
      <w:r>
        <w:rPr>
          <w:rFonts w:cs="Calibri" w:hint="eastAsia"/>
          <w:color w:val="3F3F3F"/>
          <w:sz w:val="21"/>
          <w:szCs w:val="21"/>
        </w:rPr>
        <w:t>的具有审计实务经验，并对以下方面具有合理了解的人士：（1）审计过程；（2）法律法规和审计准则的规定；（3）被审计单位所处的经营环境；（4）与被审计单位所处行业相关的会计和审计问题。</w:t>
      </w:r>
    </w:p>
    <w:p w14:paraId="57F28E49"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四、审计工作底稿的管理</w:t>
      </w:r>
    </w:p>
    <w:tbl>
      <w:tblPr>
        <w:tblW w:w="8518" w:type="dxa"/>
        <w:jc w:val="center"/>
        <w:tblCellMar>
          <w:left w:w="0" w:type="dxa"/>
          <w:right w:w="0" w:type="dxa"/>
        </w:tblCellMar>
        <w:tblLook w:val="04A0" w:firstRow="1" w:lastRow="0" w:firstColumn="1" w:lastColumn="0" w:noHBand="0" w:noVBand="1"/>
      </w:tblPr>
      <w:tblGrid>
        <w:gridCol w:w="8518"/>
      </w:tblGrid>
      <w:tr w:rsidR="001659DC" w14:paraId="0ECE6668" w14:textId="77777777" w:rsidTr="001659DC">
        <w:trPr>
          <w:trHeight w:val="274"/>
          <w:jc w:val="center"/>
        </w:trPr>
        <w:tc>
          <w:tcPr>
            <w:tcW w:w="8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496C5A"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1.保存</w:t>
            </w:r>
            <w:r>
              <w:rPr>
                <w:rFonts w:cs="Calibri" w:hint="eastAsia"/>
                <w:b/>
                <w:bCs/>
                <w:color w:val="FF0000"/>
                <w:sz w:val="21"/>
                <w:szCs w:val="21"/>
              </w:rPr>
              <w:t>【简答题考点】</w:t>
            </w:r>
          </w:p>
        </w:tc>
      </w:tr>
      <w:tr w:rsidR="001659DC" w14:paraId="416A1DD7" w14:textId="77777777" w:rsidTr="001659DC">
        <w:trPr>
          <w:trHeight w:val="1159"/>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3B4F9E"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电子或其他介质形式存在的底稿，应与其他纸质形式的审计工作底稿一并归档，并应能通过</w:t>
            </w:r>
            <w:r>
              <w:rPr>
                <w:rFonts w:cs="Calibri" w:hint="eastAsia"/>
                <w:b/>
                <w:bCs/>
                <w:color w:val="FF0000"/>
                <w:sz w:val="21"/>
                <w:szCs w:val="21"/>
              </w:rPr>
              <w:t>打印</w:t>
            </w:r>
            <w:r>
              <w:rPr>
                <w:rFonts w:cs="Calibri" w:hint="eastAsia"/>
                <w:color w:val="333333"/>
                <w:sz w:val="21"/>
                <w:szCs w:val="21"/>
              </w:rPr>
              <w:t>等方式，转换成纸质形式的审计工作底稿；同时，</w:t>
            </w:r>
            <w:r>
              <w:rPr>
                <w:rFonts w:cs="Calibri" w:hint="eastAsia"/>
                <w:b/>
                <w:bCs/>
                <w:color w:val="FF0000"/>
                <w:sz w:val="21"/>
                <w:szCs w:val="21"/>
              </w:rPr>
              <w:t>单独保存</w:t>
            </w:r>
            <w:r>
              <w:rPr>
                <w:rFonts w:cs="Calibri" w:hint="eastAsia"/>
                <w:color w:val="333333"/>
                <w:sz w:val="21"/>
                <w:szCs w:val="21"/>
              </w:rPr>
              <w:t>这些以电子或其他介质形式存在的审计工作底稿</w:t>
            </w:r>
          </w:p>
        </w:tc>
      </w:tr>
      <w:tr w:rsidR="001659DC" w14:paraId="017F8B36" w14:textId="77777777" w:rsidTr="001659DC">
        <w:trPr>
          <w:trHeight w:val="256"/>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0798D9"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2.控制</w:t>
            </w:r>
          </w:p>
        </w:tc>
      </w:tr>
      <w:tr w:rsidR="001659DC" w14:paraId="622343BB" w14:textId="77777777" w:rsidTr="001659DC">
        <w:trPr>
          <w:trHeight w:val="1654"/>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0C49F2"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（1）清晰地显示其</w:t>
            </w:r>
            <w:r>
              <w:rPr>
                <w:rFonts w:cs="Calibri" w:hint="eastAsia"/>
                <w:b/>
                <w:bCs/>
                <w:color w:val="FF0000"/>
                <w:sz w:val="21"/>
                <w:szCs w:val="21"/>
              </w:rPr>
              <w:t>生成</w:t>
            </w:r>
            <w:r>
              <w:rPr>
                <w:rFonts w:cs="Calibri" w:hint="eastAsia"/>
                <w:color w:val="333333"/>
                <w:sz w:val="21"/>
                <w:szCs w:val="21"/>
              </w:rPr>
              <w:t>、</w:t>
            </w:r>
            <w:r>
              <w:rPr>
                <w:rFonts w:cs="Calibri" w:hint="eastAsia"/>
                <w:b/>
                <w:bCs/>
                <w:color w:val="FF0000"/>
                <w:sz w:val="21"/>
                <w:szCs w:val="21"/>
              </w:rPr>
              <w:t>修改</w:t>
            </w:r>
            <w:r>
              <w:rPr>
                <w:rFonts w:cs="Calibri" w:hint="eastAsia"/>
                <w:color w:val="333333"/>
                <w:sz w:val="21"/>
                <w:szCs w:val="21"/>
              </w:rPr>
              <w:t>及</w:t>
            </w:r>
            <w:r>
              <w:rPr>
                <w:rFonts w:cs="Calibri" w:hint="eastAsia"/>
                <w:b/>
                <w:bCs/>
                <w:color w:val="FF0000"/>
                <w:sz w:val="21"/>
                <w:szCs w:val="21"/>
              </w:rPr>
              <w:t>复核</w:t>
            </w:r>
            <w:r>
              <w:rPr>
                <w:rFonts w:cs="Calibri" w:hint="eastAsia"/>
                <w:color w:val="333333"/>
                <w:sz w:val="21"/>
                <w:szCs w:val="21"/>
              </w:rPr>
              <w:t>的</w:t>
            </w:r>
            <w:r>
              <w:rPr>
                <w:rFonts w:cs="Calibri" w:hint="eastAsia"/>
                <w:b/>
                <w:bCs/>
                <w:color w:val="FF0000"/>
                <w:sz w:val="21"/>
                <w:szCs w:val="21"/>
              </w:rPr>
              <w:t>时间和人员</w:t>
            </w:r>
          </w:p>
          <w:p w14:paraId="137D8CA7"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（2）在审计业务的所有阶段，尤其是在项目组成员共享信息或通过互联网传递信息时，保护信息的完整性和安全性</w:t>
            </w:r>
          </w:p>
          <w:p w14:paraId="5289A970"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（3）防止</w:t>
            </w:r>
            <w:r>
              <w:rPr>
                <w:rFonts w:cs="Calibri" w:hint="eastAsia"/>
                <w:b/>
                <w:bCs/>
                <w:color w:val="FF0000"/>
                <w:sz w:val="21"/>
                <w:szCs w:val="21"/>
              </w:rPr>
              <w:t>未经授权</w:t>
            </w:r>
            <w:r>
              <w:rPr>
                <w:rFonts w:cs="Calibri" w:hint="eastAsia"/>
                <w:color w:val="333333"/>
                <w:sz w:val="21"/>
                <w:szCs w:val="21"/>
              </w:rPr>
              <w:t>改动审计工作底稿</w:t>
            </w:r>
          </w:p>
          <w:p w14:paraId="063609D1" w14:textId="77777777" w:rsidR="001659DC" w:rsidRDefault="001659DC" w:rsidP="001659D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b/>
                <w:bCs/>
                <w:color w:val="FF0000"/>
                <w:sz w:val="21"/>
                <w:szCs w:val="21"/>
              </w:rPr>
              <w:t>允许</w:t>
            </w:r>
            <w:r>
              <w:rPr>
                <w:rFonts w:cs="Calibri" w:hint="eastAsia"/>
                <w:color w:val="333333"/>
                <w:sz w:val="21"/>
                <w:szCs w:val="21"/>
              </w:rPr>
              <w:t>项目组和其他经授权的人员为</w:t>
            </w:r>
            <w:r>
              <w:rPr>
                <w:rFonts w:cs="Calibri" w:hint="eastAsia"/>
                <w:b/>
                <w:bCs/>
                <w:color w:val="FF0000"/>
                <w:sz w:val="21"/>
                <w:szCs w:val="21"/>
              </w:rPr>
              <w:t>适当</w:t>
            </w:r>
            <w:r>
              <w:rPr>
                <w:rFonts w:cs="Calibri" w:hint="eastAsia"/>
                <w:color w:val="333333"/>
                <w:sz w:val="21"/>
                <w:szCs w:val="21"/>
              </w:rPr>
              <w:t>履行职责而</w:t>
            </w:r>
            <w:r>
              <w:rPr>
                <w:rFonts w:cs="Calibri" w:hint="eastAsia"/>
                <w:b/>
                <w:bCs/>
                <w:color w:val="FF0000"/>
                <w:sz w:val="21"/>
                <w:szCs w:val="21"/>
              </w:rPr>
              <w:t>接触</w:t>
            </w:r>
            <w:r>
              <w:rPr>
                <w:rFonts w:cs="Calibri" w:hint="eastAsia"/>
                <w:color w:val="333333"/>
                <w:sz w:val="21"/>
                <w:szCs w:val="21"/>
              </w:rPr>
              <w:t>审计工作底稿</w:t>
            </w:r>
          </w:p>
        </w:tc>
      </w:tr>
    </w:tbl>
    <w:p w14:paraId="7DEA4E99"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0D6327A" w14:textId="77777777" w:rsidR="001659DC" w:rsidRDefault="001659DC" w:rsidP="001659DC">
      <w:pPr>
        <w:pStyle w:val="aa"/>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545B4591"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下列关于审计工作底稿的说法中，注册会计师认为正确的是（　　）。</w:t>
      </w:r>
    </w:p>
    <w:p w14:paraId="4C889DF2"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A.为保护信息的完整性和安全性，任何项目组以外的人员均不得接触审计工作底稿</w:t>
      </w:r>
    </w:p>
    <w:p w14:paraId="302037B0"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B.将电子介质的底稿打印归档后，电子形式可不必纳入审计工作底稿中</w:t>
      </w:r>
    </w:p>
    <w:p w14:paraId="5F052E8E"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C.编制审计工作底稿的要求是使得事务所内部有经验的专业人士清楚地了解审计程序、审计证据和重大审计结论</w:t>
      </w:r>
    </w:p>
    <w:p w14:paraId="64D7F2B2"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D.注册会计师可以根据具体业务的特点对会计师事务所制定的审计工作底稿模板进行修改</w:t>
      </w:r>
    </w:p>
    <w:p w14:paraId="4B869332"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04C9BAA9" w14:textId="77777777" w:rsidR="001659DC" w:rsidRDefault="001659DC" w:rsidP="001659D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[点评]选项A中，允许项目组和其他</w:t>
      </w:r>
      <w:r>
        <w:rPr>
          <w:rFonts w:cs="Calibri" w:hint="eastAsia"/>
          <w:b/>
          <w:bCs/>
          <w:color w:val="FF0000"/>
          <w:sz w:val="21"/>
          <w:szCs w:val="21"/>
        </w:rPr>
        <w:t>经授权的人员</w:t>
      </w:r>
      <w:r>
        <w:rPr>
          <w:rFonts w:cs="Calibri" w:hint="eastAsia"/>
          <w:color w:val="3F3F3F"/>
          <w:sz w:val="21"/>
          <w:szCs w:val="21"/>
        </w:rPr>
        <w:t>为适当履行职责而接触审计工作底稿；选项B中，电子等形式的底稿，可以通过打印转换成纸质底稿，并一起归档，同时</w:t>
      </w:r>
      <w:r>
        <w:rPr>
          <w:rFonts w:cs="Calibri" w:hint="eastAsia"/>
          <w:b/>
          <w:bCs/>
          <w:color w:val="FF0000"/>
          <w:sz w:val="21"/>
          <w:szCs w:val="21"/>
        </w:rPr>
        <w:t>单独保存</w:t>
      </w:r>
      <w:r>
        <w:rPr>
          <w:rFonts w:cs="Calibri" w:hint="eastAsia"/>
          <w:color w:val="3F3F3F"/>
          <w:sz w:val="21"/>
          <w:szCs w:val="21"/>
        </w:rPr>
        <w:t>这些电子或其他介质形式存在的审计工作底稿；选项C中，编制审计工作底稿的要求是使得事务所</w:t>
      </w:r>
      <w:r>
        <w:rPr>
          <w:rFonts w:cs="Calibri" w:hint="eastAsia"/>
          <w:b/>
          <w:bCs/>
          <w:color w:val="FF0000"/>
          <w:sz w:val="21"/>
          <w:szCs w:val="21"/>
        </w:rPr>
        <w:t>内部或外部</w:t>
      </w:r>
      <w:r>
        <w:rPr>
          <w:rFonts w:cs="Calibri" w:hint="eastAsia"/>
          <w:color w:val="3F3F3F"/>
          <w:sz w:val="21"/>
          <w:szCs w:val="21"/>
        </w:rPr>
        <w:t>有经验的专业人士清楚地了解审计程序、审计证据和重大审计结论。本题的每个选项均为重要观点，同学们要加以</w:t>
      </w:r>
      <w:r>
        <w:rPr>
          <w:rFonts w:cs="Calibri" w:hint="eastAsia"/>
          <w:b/>
          <w:bCs/>
          <w:color w:val="FF0000"/>
          <w:sz w:val="21"/>
          <w:szCs w:val="21"/>
        </w:rPr>
        <w:t>识记</w:t>
      </w:r>
      <w:r>
        <w:rPr>
          <w:rFonts w:cs="Calibri" w:hint="eastAsia"/>
          <w:color w:val="3F3F3F"/>
          <w:sz w:val="21"/>
          <w:szCs w:val="21"/>
        </w:rPr>
        <w:t>。</w:t>
      </w:r>
    </w:p>
    <w:p w14:paraId="4A0AA289" w14:textId="77777777" w:rsidR="001659DC" w:rsidRDefault="001659DC" w:rsidP="001659D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150A4401" w14:textId="77777777" w:rsidR="001659DC" w:rsidRDefault="001659DC" w:rsidP="001659D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"http://webupload.admin.dongao.com/biz/handout/img/2019/20190520/20190520154936732004.png" \* MERGEFORMATINET </w:instrText>
      </w:r>
      <w:r>
        <w:rPr>
          <w:rFonts w:cs="Calibri"/>
          <w:color w:val="3F3F3F"/>
          <w:sz w:val="21"/>
          <w:szCs w:val="21"/>
        </w:rPr>
        <w:fldChar w:fldCharType="separate"/>
      </w:r>
      <w:r>
        <w:rPr>
          <w:rFonts w:cs="Calibri"/>
          <w:color w:val="3F3F3F"/>
          <w:sz w:val="21"/>
          <w:szCs w:val="21"/>
        </w:rPr>
        <w:pict>
          <v:shape id="_x0000_i1028" type="#_x0000_t75" style="width:420pt;height:276pt">
            <v:imagedata r:id="rId13" r:href="rId14"/>
          </v:shape>
        </w:pict>
      </w:r>
      <w:r>
        <w:rPr>
          <w:rFonts w:cs="Calibri"/>
          <w:color w:val="3F3F3F"/>
          <w:sz w:val="21"/>
          <w:szCs w:val="21"/>
        </w:rPr>
        <w:fldChar w:fldCharType="end"/>
      </w:r>
    </w:p>
    <w:p w14:paraId="45DF92DC" w14:textId="77777777" w:rsidR="001659DC" w:rsidRDefault="001659DC" w:rsidP="001659DC">
      <w:pPr>
        <w:shd w:val="clear" w:color="auto" w:fill="FFFFFF"/>
        <w:rPr>
          <w:rFonts w:ascii="微软雅黑" w:eastAsia="微软雅黑" w:hAnsi="微软雅黑" w:cs="宋体"/>
          <w:color w:val="3F3F3F"/>
          <w:szCs w:val="21"/>
        </w:rPr>
      </w:pPr>
    </w:p>
    <w:p w14:paraId="2D11DA1D" w14:textId="77777777" w:rsidR="00271D8C" w:rsidRPr="001659DC" w:rsidRDefault="00271D8C" w:rsidP="001659DC">
      <w:pPr>
        <w:rPr>
          <w:rFonts w:hint="eastAsia"/>
        </w:rPr>
      </w:pPr>
    </w:p>
    <w:sectPr w:rsidR="00271D8C" w:rsidRPr="001659DC" w:rsidSect="001F62DD">
      <w:headerReference w:type="default" r:id="rId15"/>
      <w:footerReference w:type="default" r:id="rId1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7DC97" w14:textId="77777777" w:rsidR="002D419B" w:rsidRDefault="002D419B" w:rsidP="00CD53C5">
      <w:r>
        <w:separator/>
      </w:r>
    </w:p>
  </w:endnote>
  <w:endnote w:type="continuationSeparator" w:id="0">
    <w:p w14:paraId="385F8518" w14:textId="77777777" w:rsidR="002D419B" w:rsidRDefault="002D419B"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123DF4BE" w14:textId="77777777" w:rsidTr="007B0BFD">
      <w:trPr>
        <w:trHeight w:val="274"/>
      </w:trPr>
      <w:tc>
        <w:tcPr>
          <w:tcW w:w="2050" w:type="dxa"/>
          <w:shd w:val="clear" w:color="auto" w:fill="auto"/>
          <w:vAlign w:val="center"/>
        </w:tcPr>
        <w:p w14:paraId="048BCF0D"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9" type="#_x0000_t75" style="width:90.75pt;height:26.25pt;visibility:visible">
                <v:imagedata r:id="rId1" o:title=""/>
              </v:shape>
            </w:pict>
          </w:r>
        </w:p>
      </w:tc>
      <w:tc>
        <w:tcPr>
          <w:tcW w:w="3742" w:type="dxa"/>
          <w:shd w:val="clear" w:color="auto" w:fill="auto"/>
          <w:vAlign w:val="center"/>
        </w:tcPr>
        <w:p w14:paraId="0292E44B"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584CB80F"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6DE2C69B"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95C5C" w14:textId="77777777" w:rsidR="002D419B" w:rsidRDefault="002D419B" w:rsidP="00CD53C5">
      <w:r>
        <w:separator/>
      </w:r>
    </w:p>
  </w:footnote>
  <w:footnote w:type="continuationSeparator" w:id="0">
    <w:p w14:paraId="2860F9F3" w14:textId="77777777" w:rsidR="002D419B" w:rsidRDefault="002D419B"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3D2E628E" w14:textId="77777777" w:rsidTr="007B0BFD">
      <w:trPr>
        <w:trHeight w:val="501"/>
      </w:trPr>
      <w:tc>
        <w:tcPr>
          <w:tcW w:w="4272" w:type="dxa"/>
          <w:shd w:val="clear" w:color="auto" w:fill="auto"/>
          <w:vAlign w:val="center"/>
        </w:tcPr>
        <w:p w14:paraId="640FD86E" w14:textId="77777777" w:rsidR="001545C6" w:rsidRPr="001F62DD" w:rsidRDefault="001659DC"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4EEEE0AE" w14:textId="77777777" w:rsidR="001545C6" w:rsidRPr="004D61E7" w:rsidRDefault="001659DC"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第六章</w:t>
          </w:r>
          <w:r>
            <w:rPr>
              <w:rFonts w:ascii="微软雅黑" w:eastAsia="微软雅黑" w:hAnsi="微软雅黑"/>
              <w:sz w:val="24"/>
              <w:szCs w:val="24"/>
            </w:rPr>
            <w:t>+审计工作底稿</w:t>
          </w:r>
        </w:p>
      </w:tc>
    </w:tr>
  </w:tbl>
  <w:p w14:paraId="3787B847"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659DC"/>
    <w:rsid w:val="001C5FBB"/>
    <w:rsid w:val="001D1548"/>
    <w:rsid w:val="001F62DD"/>
    <w:rsid w:val="00207831"/>
    <w:rsid w:val="0025687E"/>
    <w:rsid w:val="00257ECB"/>
    <w:rsid w:val="002608F5"/>
    <w:rsid w:val="00271D8C"/>
    <w:rsid w:val="002D419B"/>
    <w:rsid w:val="002F4B62"/>
    <w:rsid w:val="00344E07"/>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01CE45"/>
  <w15:docId w15:val="{152E87B6-034E-4CEA-9F51-085C3796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623460122">
      <w:bodyDiv w:val="1"/>
      <w:marLeft w:val="0"/>
      <w:marRight w:val="0"/>
      <w:marTop w:val="0"/>
      <w:marBottom w:val="0"/>
      <w:divBdr>
        <w:top w:val="none" w:sz="0" w:space="0" w:color="auto"/>
        <w:left w:val="none" w:sz="0" w:space="0" w:color="auto"/>
        <w:bottom w:val="none" w:sz="0" w:space="0" w:color="auto"/>
        <w:right w:val="none" w:sz="0" w:space="0" w:color="auto"/>
      </w:divBdr>
      <w:divsChild>
        <w:div w:id="366836008">
          <w:marLeft w:val="0"/>
          <w:marRight w:val="0"/>
          <w:marTop w:val="0"/>
          <w:marBottom w:val="0"/>
          <w:divBdr>
            <w:top w:val="none" w:sz="0" w:space="0" w:color="auto"/>
            <w:left w:val="none" w:sz="0" w:space="0" w:color="auto"/>
            <w:bottom w:val="none" w:sz="0" w:space="0" w:color="auto"/>
            <w:right w:val="none" w:sz="0" w:space="0" w:color="auto"/>
          </w:divBdr>
          <w:divsChild>
            <w:div w:id="191236710">
              <w:marLeft w:val="0"/>
              <w:marRight w:val="0"/>
              <w:marTop w:val="0"/>
              <w:marBottom w:val="0"/>
              <w:divBdr>
                <w:top w:val="none" w:sz="0" w:space="0" w:color="auto"/>
                <w:left w:val="none" w:sz="0" w:space="0" w:color="auto"/>
                <w:bottom w:val="none" w:sz="0" w:space="0" w:color="auto"/>
                <w:right w:val="none" w:sz="0" w:space="0" w:color="auto"/>
              </w:divBdr>
            </w:div>
            <w:div w:id="273756445">
              <w:marLeft w:val="0"/>
              <w:marRight w:val="0"/>
              <w:marTop w:val="0"/>
              <w:marBottom w:val="0"/>
              <w:divBdr>
                <w:top w:val="none" w:sz="0" w:space="0" w:color="auto"/>
                <w:left w:val="none" w:sz="0" w:space="0" w:color="auto"/>
                <w:bottom w:val="none" w:sz="0" w:space="0" w:color="auto"/>
                <w:right w:val="none" w:sz="0" w:space="0" w:color="auto"/>
              </w:divBdr>
            </w:div>
            <w:div w:id="464588705">
              <w:marLeft w:val="0"/>
              <w:marRight w:val="0"/>
              <w:marTop w:val="0"/>
              <w:marBottom w:val="0"/>
              <w:divBdr>
                <w:top w:val="none" w:sz="0" w:space="0" w:color="auto"/>
                <w:left w:val="none" w:sz="0" w:space="0" w:color="auto"/>
                <w:bottom w:val="none" w:sz="0" w:space="0" w:color="auto"/>
                <w:right w:val="none" w:sz="0" w:space="0" w:color="auto"/>
              </w:divBdr>
            </w:div>
            <w:div w:id="573781282">
              <w:marLeft w:val="0"/>
              <w:marRight w:val="0"/>
              <w:marTop w:val="0"/>
              <w:marBottom w:val="0"/>
              <w:divBdr>
                <w:top w:val="none" w:sz="0" w:space="0" w:color="auto"/>
                <w:left w:val="none" w:sz="0" w:space="0" w:color="auto"/>
                <w:bottom w:val="none" w:sz="0" w:space="0" w:color="auto"/>
                <w:right w:val="none" w:sz="0" w:space="0" w:color="auto"/>
              </w:divBdr>
            </w:div>
            <w:div w:id="754671396">
              <w:marLeft w:val="0"/>
              <w:marRight w:val="0"/>
              <w:marTop w:val="0"/>
              <w:marBottom w:val="0"/>
              <w:divBdr>
                <w:top w:val="none" w:sz="0" w:space="0" w:color="auto"/>
                <w:left w:val="none" w:sz="0" w:space="0" w:color="auto"/>
                <w:bottom w:val="none" w:sz="0" w:space="0" w:color="auto"/>
                <w:right w:val="none" w:sz="0" w:space="0" w:color="auto"/>
              </w:divBdr>
            </w:div>
            <w:div w:id="970985982">
              <w:marLeft w:val="0"/>
              <w:marRight w:val="0"/>
              <w:marTop w:val="0"/>
              <w:marBottom w:val="0"/>
              <w:divBdr>
                <w:top w:val="none" w:sz="0" w:space="0" w:color="auto"/>
                <w:left w:val="none" w:sz="0" w:space="0" w:color="auto"/>
                <w:bottom w:val="none" w:sz="0" w:space="0" w:color="auto"/>
                <w:right w:val="none" w:sz="0" w:space="0" w:color="auto"/>
              </w:divBdr>
            </w:div>
            <w:div w:id="1145199410">
              <w:marLeft w:val="0"/>
              <w:marRight w:val="0"/>
              <w:marTop w:val="0"/>
              <w:marBottom w:val="0"/>
              <w:divBdr>
                <w:top w:val="none" w:sz="0" w:space="0" w:color="auto"/>
                <w:left w:val="none" w:sz="0" w:space="0" w:color="auto"/>
                <w:bottom w:val="none" w:sz="0" w:space="0" w:color="auto"/>
                <w:right w:val="none" w:sz="0" w:space="0" w:color="auto"/>
              </w:divBdr>
            </w:div>
            <w:div w:id="1208029128">
              <w:marLeft w:val="0"/>
              <w:marRight w:val="0"/>
              <w:marTop w:val="0"/>
              <w:marBottom w:val="0"/>
              <w:divBdr>
                <w:top w:val="none" w:sz="0" w:space="0" w:color="auto"/>
                <w:left w:val="none" w:sz="0" w:space="0" w:color="auto"/>
                <w:bottom w:val="none" w:sz="0" w:space="0" w:color="auto"/>
                <w:right w:val="none" w:sz="0" w:space="0" w:color="auto"/>
              </w:divBdr>
            </w:div>
            <w:div w:id="1252737716">
              <w:marLeft w:val="0"/>
              <w:marRight w:val="0"/>
              <w:marTop w:val="0"/>
              <w:marBottom w:val="0"/>
              <w:divBdr>
                <w:top w:val="none" w:sz="0" w:space="0" w:color="auto"/>
                <w:left w:val="none" w:sz="0" w:space="0" w:color="auto"/>
                <w:bottom w:val="none" w:sz="0" w:space="0" w:color="auto"/>
                <w:right w:val="none" w:sz="0" w:space="0" w:color="auto"/>
              </w:divBdr>
            </w:div>
            <w:div w:id="1424448836">
              <w:marLeft w:val="0"/>
              <w:marRight w:val="0"/>
              <w:marTop w:val="0"/>
              <w:marBottom w:val="0"/>
              <w:divBdr>
                <w:top w:val="none" w:sz="0" w:space="0" w:color="auto"/>
                <w:left w:val="none" w:sz="0" w:space="0" w:color="auto"/>
                <w:bottom w:val="none" w:sz="0" w:space="0" w:color="auto"/>
                <w:right w:val="none" w:sz="0" w:space="0" w:color="auto"/>
              </w:divBdr>
            </w:div>
            <w:div w:id="1777601524">
              <w:marLeft w:val="0"/>
              <w:marRight w:val="0"/>
              <w:marTop w:val="0"/>
              <w:marBottom w:val="0"/>
              <w:divBdr>
                <w:top w:val="none" w:sz="0" w:space="0" w:color="auto"/>
                <w:left w:val="none" w:sz="0" w:space="0" w:color="auto"/>
                <w:bottom w:val="none" w:sz="0" w:space="0" w:color="auto"/>
                <w:right w:val="none" w:sz="0" w:space="0" w:color="auto"/>
              </w:divBdr>
            </w:div>
            <w:div w:id="1930769122">
              <w:marLeft w:val="0"/>
              <w:marRight w:val="0"/>
              <w:marTop w:val="0"/>
              <w:marBottom w:val="0"/>
              <w:divBdr>
                <w:top w:val="none" w:sz="0" w:space="0" w:color="auto"/>
                <w:left w:val="none" w:sz="0" w:space="0" w:color="auto"/>
                <w:bottom w:val="none" w:sz="0" w:space="0" w:color="auto"/>
                <w:right w:val="none" w:sz="0" w:space="0" w:color="auto"/>
              </w:divBdr>
            </w:div>
            <w:div w:id="1938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20/20190520154936829001.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520/20190520154936190003.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http://webupload.admin.dongao.com/biz/handout/img/2019/20190520/20190520154936255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520/20190520154936732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E0004-F302-46C5-BE91-E3595FEB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