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B2692" w14:textId="77777777" w:rsidR="000B74A1" w:rsidRDefault="000B74A1" w:rsidP="000B74A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第一编</w:t>
      </w:r>
      <w:r>
        <w:rPr>
          <w:rFonts w:cs="Calibri" w:hint="eastAsia"/>
          <w:b/>
          <w:bCs/>
          <w:color w:val="3F3F3F"/>
          <w:sz w:val="50"/>
          <w:szCs w:val="50"/>
        </w:rPr>
        <w:t>•</w:t>
      </w:r>
      <w:r>
        <w:rPr>
          <w:rFonts w:ascii="楷体" w:eastAsia="楷体" w:hAnsi="楷体" w:cs="Calibri" w:hint="eastAsia"/>
          <w:b/>
          <w:bCs/>
          <w:color w:val="3F3F3F"/>
          <w:sz w:val="50"/>
          <w:szCs w:val="50"/>
        </w:rPr>
        <w:t>第六章</w:t>
      </w:r>
      <w:r>
        <w:rPr>
          <w:rFonts w:cs="Calibri" w:hint="eastAsia"/>
          <w:b/>
          <w:bCs/>
          <w:color w:val="3F3F3F"/>
          <w:sz w:val="50"/>
          <w:szCs w:val="50"/>
        </w:rPr>
        <w:t>•</w:t>
      </w:r>
      <w:r>
        <w:rPr>
          <w:rFonts w:ascii="楷体" w:eastAsia="楷体" w:hAnsi="楷体" w:cs="Calibri" w:hint="eastAsia"/>
          <w:b/>
          <w:bCs/>
          <w:color w:val="3F3F3F"/>
          <w:sz w:val="50"/>
          <w:szCs w:val="50"/>
        </w:rPr>
        <w:t>审计工作底稿</w:t>
      </w:r>
    </w:p>
    <w:p w14:paraId="2953782C" w14:textId="77777777" w:rsidR="000B74A1" w:rsidRDefault="000B74A1" w:rsidP="000B74A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235EE41" w14:textId="77777777" w:rsidR="000B74A1" w:rsidRDefault="000B74A1" w:rsidP="000B74A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审计工作底稿的格式、要素和范围</w:t>
      </w:r>
    </w:p>
    <w:p w14:paraId="6A01E4EA"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一、确定审计工作底稿格式、要素和范围的考虑因素</w:t>
      </w:r>
      <w:r>
        <w:rPr>
          <w:rFonts w:cs="Calibri" w:hint="eastAsia"/>
          <w:b/>
          <w:bCs/>
          <w:color w:val="FF0000"/>
          <w:sz w:val="21"/>
          <w:szCs w:val="21"/>
        </w:rPr>
        <w:t>（※）</w:t>
      </w:r>
    </w:p>
    <w:p w14:paraId="65B7D2C7"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二、审计工作底稿的要素</w:t>
      </w:r>
      <w:r>
        <w:rPr>
          <w:rFonts w:cs="Calibri" w:hint="eastAsia"/>
          <w:b/>
          <w:bCs/>
          <w:color w:val="FF0000"/>
          <w:sz w:val="21"/>
          <w:szCs w:val="21"/>
        </w:rPr>
        <w:t>（※※）</w:t>
      </w:r>
    </w:p>
    <w:p w14:paraId="581E111B"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一、确定审计工作底稿格式、要素和范围的考虑因素</w:t>
      </w:r>
      <w:r>
        <w:rPr>
          <w:rFonts w:cs="Calibri" w:hint="eastAsia"/>
          <w:b/>
          <w:bCs/>
          <w:color w:val="FF0000"/>
          <w:sz w:val="21"/>
          <w:szCs w:val="21"/>
        </w:rPr>
        <w:t>【多选题高频考点】</w:t>
      </w:r>
    </w:p>
    <w:tbl>
      <w:tblPr>
        <w:tblW w:w="8505" w:type="dxa"/>
        <w:jc w:val="center"/>
        <w:tblCellMar>
          <w:left w:w="0" w:type="dxa"/>
          <w:right w:w="0" w:type="dxa"/>
        </w:tblCellMar>
        <w:tblLook w:val="04A0" w:firstRow="1" w:lastRow="0" w:firstColumn="1" w:lastColumn="0" w:noHBand="0" w:noVBand="1"/>
      </w:tblPr>
      <w:tblGrid>
        <w:gridCol w:w="3077"/>
        <w:gridCol w:w="5428"/>
      </w:tblGrid>
      <w:tr w:rsidR="000B74A1" w14:paraId="10646343" w14:textId="77777777" w:rsidTr="000B74A1">
        <w:trPr>
          <w:trHeight w:val="322"/>
          <w:jc w:val="center"/>
        </w:trPr>
        <w:tc>
          <w:tcPr>
            <w:tcW w:w="30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831978"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c>
          <w:tcPr>
            <w:tcW w:w="54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74D036"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0B74A1" w14:paraId="2B93E952" w14:textId="77777777" w:rsidTr="000B74A1">
        <w:trPr>
          <w:trHeight w:val="322"/>
          <w:jc w:val="center"/>
        </w:trPr>
        <w:tc>
          <w:tcPr>
            <w:tcW w:w="30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40CB4B"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被审计单位的</w:t>
            </w:r>
            <w:r>
              <w:rPr>
                <w:rFonts w:cs="Calibri" w:hint="eastAsia"/>
                <w:b/>
                <w:bCs/>
                <w:color w:val="FF0000"/>
                <w:sz w:val="21"/>
                <w:szCs w:val="21"/>
              </w:rPr>
              <w:t>规模</w:t>
            </w:r>
            <w:r>
              <w:rPr>
                <w:rFonts w:cs="Calibri" w:hint="eastAsia"/>
                <w:color w:val="333333"/>
                <w:sz w:val="21"/>
                <w:szCs w:val="21"/>
              </w:rPr>
              <w:t>和</w:t>
            </w:r>
            <w:r>
              <w:rPr>
                <w:rFonts w:cs="Calibri" w:hint="eastAsia"/>
                <w:b/>
                <w:bCs/>
                <w:color w:val="FF0000"/>
                <w:sz w:val="21"/>
                <w:szCs w:val="21"/>
              </w:rPr>
              <w:t>复杂程度</w:t>
            </w: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C3E0CD"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越大型、越复杂，底稿越多越细</w:t>
            </w:r>
          </w:p>
        </w:tc>
      </w:tr>
      <w:tr w:rsidR="000B74A1" w14:paraId="3189DED5" w14:textId="77777777" w:rsidTr="000B74A1">
        <w:trPr>
          <w:trHeight w:val="199"/>
          <w:jc w:val="center"/>
        </w:trPr>
        <w:tc>
          <w:tcPr>
            <w:tcW w:w="0" w:type="auto"/>
            <w:vMerge/>
            <w:tcBorders>
              <w:top w:val="nil"/>
              <w:left w:val="single" w:sz="8" w:space="0" w:color="auto"/>
              <w:bottom w:val="single" w:sz="8" w:space="0" w:color="auto"/>
              <w:right w:val="single" w:sz="8" w:space="0" w:color="auto"/>
            </w:tcBorders>
            <w:vAlign w:val="center"/>
            <w:hideMark/>
          </w:tcPr>
          <w:p w14:paraId="646AC840"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13ACE"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（写“国计民生”比写“居家生活”要篇幅长、写得细）</w:t>
            </w:r>
          </w:p>
        </w:tc>
      </w:tr>
      <w:tr w:rsidR="000B74A1" w14:paraId="13FC9F87" w14:textId="77777777" w:rsidTr="000B74A1">
        <w:trPr>
          <w:trHeight w:val="322"/>
          <w:jc w:val="center"/>
        </w:trPr>
        <w:tc>
          <w:tcPr>
            <w:tcW w:w="30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365DBC"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拟实施审计程序的</w:t>
            </w:r>
            <w:r>
              <w:rPr>
                <w:rFonts w:cs="Calibri" w:hint="eastAsia"/>
                <w:b/>
                <w:bCs/>
                <w:color w:val="FF0000"/>
                <w:sz w:val="21"/>
                <w:szCs w:val="21"/>
              </w:rPr>
              <w:t>性质</w:t>
            </w: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B6AC4B"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函证与存货监盘的底稿是不同的</w:t>
            </w:r>
          </w:p>
        </w:tc>
      </w:tr>
      <w:tr w:rsidR="000B74A1" w14:paraId="61E9B694" w14:textId="77777777" w:rsidTr="000B74A1">
        <w:trPr>
          <w:trHeight w:val="322"/>
          <w:jc w:val="center"/>
        </w:trPr>
        <w:tc>
          <w:tcPr>
            <w:tcW w:w="0" w:type="auto"/>
            <w:vMerge/>
            <w:tcBorders>
              <w:top w:val="nil"/>
              <w:left w:val="single" w:sz="8" w:space="0" w:color="auto"/>
              <w:bottom w:val="single" w:sz="8" w:space="0" w:color="auto"/>
              <w:right w:val="single" w:sz="8" w:space="0" w:color="auto"/>
            </w:tcBorders>
            <w:vAlign w:val="center"/>
            <w:hideMark/>
          </w:tcPr>
          <w:p w14:paraId="5D80AF45"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D0D0DF"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（写议论文、写说明文、写诗歌是各自不同的）</w:t>
            </w:r>
          </w:p>
        </w:tc>
      </w:tr>
      <w:tr w:rsidR="000B74A1" w14:paraId="614821F0" w14:textId="77777777" w:rsidTr="000B74A1">
        <w:trPr>
          <w:trHeight w:val="322"/>
          <w:jc w:val="center"/>
        </w:trPr>
        <w:tc>
          <w:tcPr>
            <w:tcW w:w="30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0E351D"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识别出的重大错报</w:t>
            </w:r>
            <w:r>
              <w:rPr>
                <w:rFonts w:cs="Calibri" w:hint="eastAsia"/>
                <w:b/>
                <w:bCs/>
                <w:color w:val="FF0000"/>
                <w:sz w:val="21"/>
                <w:szCs w:val="21"/>
              </w:rPr>
              <w:t>风险</w:t>
            </w: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188235"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重大错报风险高，记录的内容多而范围广</w:t>
            </w:r>
          </w:p>
        </w:tc>
      </w:tr>
      <w:tr w:rsidR="000B74A1" w14:paraId="491CB322" w14:textId="77777777" w:rsidTr="000B74A1">
        <w:trPr>
          <w:trHeight w:val="322"/>
          <w:jc w:val="center"/>
        </w:trPr>
        <w:tc>
          <w:tcPr>
            <w:tcW w:w="0" w:type="auto"/>
            <w:vMerge/>
            <w:tcBorders>
              <w:top w:val="nil"/>
              <w:left w:val="single" w:sz="8" w:space="0" w:color="auto"/>
              <w:bottom w:val="single" w:sz="8" w:space="0" w:color="auto"/>
              <w:right w:val="single" w:sz="8" w:space="0" w:color="auto"/>
            </w:tcBorders>
            <w:vAlign w:val="center"/>
            <w:hideMark/>
          </w:tcPr>
          <w:p w14:paraId="274AE99A"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F0849F"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（高考、国考的作文和小测验是不同的）</w:t>
            </w:r>
          </w:p>
        </w:tc>
      </w:tr>
      <w:tr w:rsidR="000B74A1" w14:paraId="7DF26CF1" w14:textId="77777777" w:rsidTr="000B74A1">
        <w:trPr>
          <w:trHeight w:val="322"/>
          <w:jc w:val="center"/>
        </w:trPr>
        <w:tc>
          <w:tcPr>
            <w:tcW w:w="30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1046D"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已获取</w:t>
            </w:r>
            <w:r>
              <w:rPr>
                <w:rFonts w:cs="Calibri" w:hint="eastAsia"/>
                <w:color w:val="333333"/>
                <w:sz w:val="21"/>
                <w:szCs w:val="21"/>
              </w:rPr>
              <w:t>审计证据的重要程度</w:t>
            </w: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E3CB13"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受影响于审计证据的相关性和可靠性</w:t>
            </w:r>
          </w:p>
        </w:tc>
      </w:tr>
      <w:tr w:rsidR="000B74A1" w14:paraId="09519714" w14:textId="77777777" w:rsidTr="000B74A1">
        <w:trPr>
          <w:trHeight w:val="322"/>
          <w:jc w:val="center"/>
        </w:trPr>
        <w:tc>
          <w:tcPr>
            <w:tcW w:w="0" w:type="auto"/>
            <w:vMerge/>
            <w:tcBorders>
              <w:top w:val="nil"/>
              <w:left w:val="single" w:sz="8" w:space="0" w:color="auto"/>
              <w:bottom w:val="single" w:sz="8" w:space="0" w:color="auto"/>
              <w:right w:val="single" w:sz="8" w:space="0" w:color="auto"/>
            </w:tcBorders>
            <w:vAlign w:val="center"/>
            <w:hideMark/>
          </w:tcPr>
          <w:p w14:paraId="584A5FF9"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50A834"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（写作文受影响于积累素材的多少、好坏）</w:t>
            </w:r>
          </w:p>
        </w:tc>
      </w:tr>
    </w:tbl>
    <w:p w14:paraId="1A1D98FC" w14:textId="77777777" w:rsidR="000B74A1" w:rsidRPr="000B74A1" w:rsidRDefault="000B74A1" w:rsidP="000B74A1">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3077"/>
        <w:gridCol w:w="5428"/>
      </w:tblGrid>
      <w:tr w:rsidR="000B74A1" w14:paraId="19CE6ECE" w14:textId="77777777" w:rsidTr="000B74A1">
        <w:trPr>
          <w:trHeight w:val="185"/>
          <w:jc w:val="center"/>
        </w:trPr>
        <w:tc>
          <w:tcPr>
            <w:tcW w:w="3077"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82B04B"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识别出的</w:t>
            </w:r>
            <w:r>
              <w:rPr>
                <w:rFonts w:cs="Calibri" w:hint="eastAsia"/>
                <w:b/>
                <w:bCs/>
                <w:color w:val="FF0000"/>
                <w:sz w:val="21"/>
                <w:szCs w:val="21"/>
              </w:rPr>
              <w:t>例外事项</w:t>
            </w:r>
            <w:r>
              <w:rPr>
                <w:rFonts w:cs="Calibri" w:hint="eastAsia"/>
                <w:color w:val="333333"/>
                <w:sz w:val="21"/>
                <w:szCs w:val="21"/>
              </w:rPr>
              <w:t>的性质和范围</w:t>
            </w:r>
          </w:p>
        </w:tc>
        <w:tc>
          <w:tcPr>
            <w:tcW w:w="54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CB228A7"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如回函不符、构成错报等</w:t>
            </w:r>
          </w:p>
        </w:tc>
      </w:tr>
      <w:tr w:rsidR="000B74A1" w14:paraId="690B272B" w14:textId="77777777" w:rsidTr="000B74A1">
        <w:trPr>
          <w:trHeight w:val="304"/>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F7D8A0A"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2553C3"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（写常规作文题目与写新奇作文题目是不同的）</w:t>
            </w:r>
          </w:p>
        </w:tc>
      </w:tr>
      <w:tr w:rsidR="000B74A1" w14:paraId="2C3DEA11" w14:textId="77777777" w:rsidTr="000B74A1">
        <w:trPr>
          <w:trHeight w:val="213"/>
          <w:jc w:val="center"/>
        </w:trPr>
        <w:tc>
          <w:tcPr>
            <w:tcW w:w="30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EA99D3"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当从已执行工作或获取证据的记录中不易确定结论或结论的基础时，记录结论或结论基础的必要性</w:t>
            </w: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1C2180"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应考虑是否需要进一步说明并记录得出结论的过程及该事项的结论</w:t>
            </w:r>
          </w:p>
        </w:tc>
      </w:tr>
      <w:tr w:rsidR="000B74A1" w14:paraId="71C2447D" w14:textId="77777777" w:rsidTr="000B74A1">
        <w:trPr>
          <w:trHeight w:val="151"/>
          <w:jc w:val="center"/>
        </w:trPr>
        <w:tc>
          <w:tcPr>
            <w:tcW w:w="0" w:type="auto"/>
            <w:vMerge/>
            <w:tcBorders>
              <w:top w:val="nil"/>
              <w:left w:val="single" w:sz="8" w:space="0" w:color="auto"/>
              <w:bottom w:val="single" w:sz="8" w:space="0" w:color="auto"/>
              <w:right w:val="single" w:sz="8" w:space="0" w:color="auto"/>
            </w:tcBorders>
            <w:vAlign w:val="center"/>
            <w:hideMark/>
          </w:tcPr>
          <w:p w14:paraId="5E495B5A"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268FB"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（现有素材不足，投稿前再补充）</w:t>
            </w:r>
          </w:p>
        </w:tc>
      </w:tr>
      <w:tr w:rsidR="000B74A1" w14:paraId="7AECE563" w14:textId="77777777" w:rsidTr="000B74A1">
        <w:trPr>
          <w:trHeight w:val="185"/>
          <w:jc w:val="center"/>
        </w:trPr>
        <w:tc>
          <w:tcPr>
            <w:tcW w:w="30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CA7169"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w:t>
            </w:r>
            <w:r>
              <w:rPr>
                <w:rFonts w:cs="Calibri" w:hint="eastAsia"/>
                <w:b/>
                <w:bCs/>
                <w:color w:val="FF0000"/>
                <w:sz w:val="21"/>
                <w:szCs w:val="21"/>
              </w:rPr>
              <w:t>方法</w:t>
            </w:r>
            <w:r>
              <w:rPr>
                <w:rFonts w:cs="Calibri" w:hint="eastAsia"/>
                <w:color w:val="333333"/>
                <w:sz w:val="21"/>
                <w:szCs w:val="21"/>
              </w:rPr>
              <w:t>和使用的</w:t>
            </w:r>
            <w:r>
              <w:rPr>
                <w:rFonts w:cs="Calibri" w:hint="eastAsia"/>
                <w:b/>
                <w:bCs/>
                <w:color w:val="FF0000"/>
                <w:sz w:val="21"/>
                <w:szCs w:val="21"/>
              </w:rPr>
              <w:t>工具</w:t>
            </w: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DA8AE"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计算机辅助审计技术与人工方式是不同的</w:t>
            </w:r>
          </w:p>
        </w:tc>
      </w:tr>
      <w:tr w:rsidR="000B74A1" w14:paraId="40AC926C" w14:textId="77777777" w:rsidTr="000B74A1">
        <w:trPr>
          <w:trHeight w:val="56"/>
          <w:jc w:val="center"/>
        </w:trPr>
        <w:tc>
          <w:tcPr>
            <w:tcW w:w="0" w:type="auto"/>
            <w:vMerge/>
            <w:tcBorders>
              <w:top w:val="nil"/>
              <w:left w:val="single" w:sz="8" w:space="0" w:color="auto"/>
              <w:bottom w:val="single" w:sz="8" w:space="0" w:color="auto"/>
              <w:right w:val="single" w:sz="8" w:space="0" w:color="auto"/>
            </w:tcBorders>
            <w:vAlign w:val="center"/>
            <w:hideMark/>
          </w:tcPr>
          <w:p w14:paraId="6D29006C" w14:textId="77777777" w:rsidR="000B74A1" w:rsidRDefault="000B74A1" w:rsidP="000B74A1">
            <w:pPr>
              <w:rPr>
                <w:rFonts w:eastAsia="微软雅黑" w:cs="Calibri"/>
                <w:color w:val="333333"/>
                <w:szCs w:val="21"/>
              </w:rPr>
            </w:pPr>
          </w:p>
        </w:tc>
        <w:tc>
          <w:tcPr>
            <w:tcW w:w="54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021A02"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（机考和纸笔作答是不同的，描白和渲染是不同的）</w:t>
            </w:r>
          </w:p>
        </w:tc>
      </w:tr>
    </w:tbl>
    <w:p w14:paraId="377A0EF4"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【小金敲黑板】</w:t>
      </w:r>
    </w:p>
    <w:p w14:paraId="609C78AF"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这一考点记忆量大，同学们首先要借助形象化的例子来理解，进而</w:t>
      </w:r>
      <w:r>
        <w:rPr>
          <w:rFonts w:cs="Calibri" w:hint="eastAsia"/>
          <w:b/>
          <w:bCs/>
          <w:color w:val="FF0000"/>
          <w:sz w:val="21"/>
          <w:szCs w:val="21"/>
        </w:rPr>
        <w:t>回归</w:t>
      </w:r>
      <w:r>
        <w:rPr>
          <w:rFonts w:cs="Calibri" w:hint="eastAsia"/>
          <w:color w:val="3F3F3F"/>
          <w:sz w:val="21"/>
          <w:szCs w:val="21"/>
        </w:rPr>
        <w:t>到专业术语的表达。在应试时，要注意采用</w:t>
      </w:r>
      <w:r>
        <w:rPr>
          <w:rFonts w:cs="Calibri" w:hint="eastAsia"/>
          <w:b/>
          <w:bCs/>
          <w:color w:val="FF0000"/>
          <w:sz w:val="21"/>
          <w:szCs w:val="21"/>
        </w:rPr>
        <w:t>正列举和反列举</w:t>
      </w:r>
      <w:r>
        <w:rPr>
          <w:rFonts w:cs="Calibri" w:hint="eastAsia"/>
          <w:color w:val="3F3F3F"/>
          <w:sz w:val="21"/>
          <w:szCs w:val="21"/>
        </w:rPr>
        <w:t>结合的方法进行判断：</w:t>
      </w:r>
    </w:p>
    <w:p w14:paraId="6DCECDCE"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a）正列举：除去以上</w:t>
      </w:r>
      <w:r>
        <w:rPr>
          <w:rFonts w:cs="Calibri" w:hint="eastAsia"/>
          <w:b/>
          <w:bCs/>
          <w:color w:val="FF0000"/>
          <w:sz w:val="21"/>
          <w:szCs w:val="21"/>
        </w:rPr>
        <w:t>7点</w:t>
      </w:r>
      <w:r>
        <w:rPr>
          <w:rFonts w:cs="Calibri" w:hint="eastAsia"/>
          <w:color w:val="3F3F3F"/>
          <w:sz w:val="21"/>
          <w:szCs w:val="21"/>
        </w:rPr>
        <w:t>，均不是主要考虑因素；</w:t>
      </w:r>
    </w:p>
    <w:p w14:paraId="31BA37D2"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b）反列举：收费、归档期限、语言文字等</w:t>
      </w:r>
      <w:r>
        <w:rPr>
          <w:rFonts w:cs="Calibri" w:hint="eastAsia"/>
          <w:b/>
          <w:bCs/>
          <w:color w:val="FF0000"/>
          <w:sz w:val="21"/>
          <w:szCs w:val="21"/>
        </w:rPr>
        <w:t>不是主要考虑因素</w:t>
      </w:r>
      <w:r>
        <w:rPr>
          <w:rFonts w:cs="Calibri" w:hint="eastAsia"/>
          <w:color w:val="3F3F3F"/>
          <w:sz w:val="21"/>
          <w:szCs w:val="21"/>
        </w:rPr>
        <w:t>。</w:t>
      </w:r>
    </w:p>
    <w:p w14:paraId="4FFC40FD"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B56119D"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多项选择题【2009年真题】</w:t>
      </w:r>
    </w:p>
    <w:p w14:paraId="4FEE767F"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在确定审计工作底稿的格式、内容和范围时，注册会计师应当考虑的主要因素有（　　）。</w:t>
      </w:r>
    </w:p>
    <w:p w14:paraId="0A44C466"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A.编制审计工作底稿使用的文字</w:t>
      </w:r>
    </w:p>
    <w:p w14:paraId="0B2F43DE"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B.审计工作底稿的归档期限</w:t>
      </w:r>
    </w:p>
    <w:p w14:paraId="2F4B41B7"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C.实施审计程序的性质</w:t>
      </w:r>
    </w:p>
    <w:p w14:paraId="7524C771"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D.已获取审计证据的重要程度</w:t>
      </w:r>
    </w:p>
    <w:p w14:paraId="1F044293"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[答案]CD</w:t>
      </w:r>
    </w:p>
    <w:p w14:paraId="017AB315"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[点评]在确定审计工作底稿的格式、要素和范围时，注册会计师</w:t>
      </w:r>
      <w:r>
        <w:rPr>
          <w:rFonts w:cs="Calibri" w:hint="eastAsia"/>
          <w:b/>
          <w:bCs/>
          <w:color w:val="FF0000"/>
          <w:sz w:val="21"/>
          <w:szCs w:val="21"/>
        </w:rPr>
        <w:t>应当考虑</w:t>
      </w:r>
      <w:r>
        <w:rPr>
          <w:rFonts w:cs="Calibri" w:hint="eastAsia"/>
          <w:color w:val="3F3F3F"/>
          <w:sz w:val="21"/>
          <w:szCs w:val="21"/>
        </w:rPr>
        <w:t>下列因素：（1）被审计单位的规模和复杂程度；（2）拟实施审计程序的性质；（3）识别出的重大错报风险；（4）已获取审计证据的重要程度；</w:t>
      </w:r>
      <w:r>
        <w:rPr>
          <w:rFonts w:cs="Calibri" w:hint="eastAsia"/>
          <w:color w:val="3F3F3F"/>
          <w:sz w:val="21"/>
          <w:szCs w:val="21"/>
        </w:rPr>
        <w:lastRenderedPageBreak/>
        <w:t>（5）识别出的例外事项的性质和范围；（6）当从已执行审计工作或获取审计证据的记录中不易确定结论或结论的基础时，记录结论或结论基础的必要性；（7）审计方法和使用的工具。</w:t>
      </w:r>
    </w:p>
    <w:p w14:paraId="5B34F083"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二、审计工作底稿的要素</w:t>
      </w:r>
    </w:p>
    <w:p w14:paraId="18FBC129" w14:textId="77777777" w:rsidR="000B74A1" w:rsidRDefault="000B74A1" w:rsidP="000B74A1">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"http://webupload.admin.dongao.com/biz/handout/img/2019/20190520/20190520161303202001.png"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57.75pt">
            <v:imagedata r:id="rId7" r:href="rId8"/>
          </v:shape>
        </w:pict>
      </w:r>
      <w:r>
        <w:rPr>
          <w:rFonts w:cs="Calibri"/>
          <w:color w:val="3F3F3F"/>
          <w:sz w:val="21"/>
          <w:szCs w:val="21"/>
        </w:rPr>
        <w:fldChar w:fldCharType="end"/>
      </w:r>
    </w:p>
    <w:p w14:paraId="0D2E1299"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1.审计工作底稿的标题</w:t>
      </w:r>
    </w:p>
    <w:p w14:paraId="3B8C1CBF"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每张底稿</w:t>
      </w:r>
      <w:r>
        <w:rPr>
          <w:rFonts w:cs="Calibri" w:hint="eastAsia"/>
          <w:b/>
          <w:bCs/>
          <w:color w:val="FF0000"/>
          <w:sz w:val="21"/>
          <w:szCs w:val="21"/>
        </w:rPr>
        <w:t>应当包括</w:t>
      </w:r>
      <w:r>
        <w:rPr>
          <w:rFonts w:cs="Calibri" w:hint="eastAsia"/>
          <w:color w:val="3F3F3F"/>
          <w:sz w:val="21"/>
          <w:szCs w:val="21"/>
        </w:rPr>
        <w:t>：</w:t>
      </w:r>
    </w:p>
    <w:p w14:paraId="0937A8D3"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（1）被审计单位的名称；</w:t>
      </w:r>
    </w:p>
    <w:p w14:paraId="37546D89"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（2）审计项目的名称；</w:t>
      </w:r>
    </w:p>
    <w:p w14:paraId="3CFAF42A"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（3）资产负债表日或底稿覆盖的会计期间。</w:t>
      </w:r>
    </w:p>
    <w:p w14:paraId="0275CF78"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2.审计过程记录</w:t>
      </w:r>
    </w:p>
    <w:tbl>
      <w:tblPr>
        <w:tblW w:w="8505" w:type="dxa"/>
        <w:jc w:val="center"/>
        <w:tblCellMar>
          <w:left w:w="0" w:type="dxa"/>
          <w:right w:w="0" w:type="dxa"/>
        </w:tblCellMar>
        <w:tblLook w:val="04A0" w:firstRow="1" w:lastRow="0" w:firstColumn="1" w:lastColumn="0" w:noHBand="0" w:noVBand="1"/>
      </w:tblPr>
      <w:tblGrid>
        <w:gridCol w:w="1251"/>
        <w:gridCol w:w="7254"/>
      </w:tblGrid>
      <w:tr w:rsidR="000B74A1" w14:paraId="5DCF0F36" w14:textId="77777777" w:rsidTr="000B74A1">
        <w:trPr>
          <w:trHeight w:val="147"/>
          <w:jc w:val="center"/>
        </w:trPr>
        <w:tc>
          <w:tcPr>
            <w:tcW w:w="797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A4EAC2"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（1）具体项目或事项的识别特征</w:t>
            </w:r>
            <w:r>
              <w:rPr>
                <w:rFonts w:cs="Calibri" w:hint="eastAsia"/>
                <w:b/>
                <w:bCs/>
                <w:color w:val="FF0000"/>
                <w:sz w:val="21"/>
                <w:szCs w:val="21"/>
              </w:rPr>
              <w:t>【简答题高频考点】</w:t>
            </w:r>
          </w:p>
        </w:tc>
      </w:tr>
      <w:tr w:rsidR="000B74A1" w14:paraId="58694744" w14:textId="77777777" w:rsidTr="000B74A1">
        <w:trPr>
          <w:trHeight w:val="373"/>
          <w:jc w:val="center"/>
        </w:trPr>
        <w:tc>
          <w:tcPr>
            <w:tcW w:w="117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876966"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68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E365A4"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a）指被测试项目或事项表现出的征象或标志</w:t>
            </w:r>
          </w:p>
          <w:p w14:paraId="62BF1A85"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b）识别特征通常具有</w:t>
            </w:r>
            <w:r>
              <w:rPr>
                <w:rFonts w:cs="Calibri" w:hint="eastAsia"/>
                <w:b/>
                <w:bCs/>
                <w:color w:val="FF0000"/>
                <w:sz w:val="21"/>
                <w:szCs w:val="21"/>
              </w:rPr>
              <w:t>唯一性</w:t>
            </w:r>
            <w:r>
              <w:rPr>
                <w:rFonts w:cs="Calibri" w:hint="eastAsia"/>
                <w:color w:val="333333"/>
                <w:sz w:val="21"/>
                <w:szCs w:val="21"/>
              </w:rPr>
              <w:t>：可以使其他人员根据识别特征识别该项目或事项，并重新执行该测试</w:t>
            </w:r>
          </w:p>
        </w:tc>
      </w:tr>
    </w:tbl>
    <w:p w14:paraId="59DFEB92"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【小结】</w:t>
      </w:r>
    </w:p>
    <w:p w14:paraId="7E5D2125"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常见的几类识别特征如下：</w:t>
      </w:r>
    </w:p>
    <w:tbl>
      <w:tblPr>
        <w:tblW w:w="8500" w:type="dxa"/>
        <w:jc w:val="center"/>
        <w:tblCellMar>
          <w:left w:w="0" w:type="dxa"/>
          <w:right w:w="0" w:type="dxa"/>
        </w:tblCellMar>
        <w:tblLook w:val="04A0" w:firstRow="1" w:lastRow="0" w:firstColumn="1" w:lastColumn="0" w:noHBand="0" w:noVBand="1"/>
      </w:tblPr>
      <w:tblGrid>
        <w:gridCol w:w="2082"/>
        <w:gridCol w:w="6418"/>
      </w:tblGrid>
      <w:tr w:rsidR="000B74A1" w14:paraId="2A96C889" w14:textId="77777777" w:rsidTr="000B74A1">
        <w:trPr>
          <w:trHeight w:val="164"/>
          <w:jc w:val="center"/>
        </w:trPr>
        <w:tc>
          <w:tcPr>
            <w:tcW w:w="20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CD71DD"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c>
          <w:tcPr>
            <w:tcW w:w="6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5961B01"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举例</w:t>
            </w:r>
          </w:p>
        </w:tc>
      </w:tr>
      <w:tr w:rsidR="000B74A1" w14:paraId="0F540593" w14:textId="77777777" w:rsidTr="000B74A1">
        <w:trPr>
          <w:trHeight w:val="392"/>
          <w:jc w:val="center"/>
        </w:trPr>
        <w:tc>
          <w:tcPr>
            <w:tcW w:w="20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97FB12"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单据的</w:t>
            </w:r>
            <w:r>
              <w:rPr>
                <w:rFonts w:cs="Calibri" w:hint="eastAsia"/>
                <w:b/>
                <w:bCs/>
                <w:color w:val="FF0000"/>
                <w:sz w:val="21"/>
                <w:szCs w:val="21"/>
              </w:rPr>
              <w:t>唯一编号</w:t>
            </w:r>
          </w:p>
        </w:tc>
        <w:tc>
          <w:tcPr>
            <w:tcW w:w="64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87D06E"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如订购单、发运单、签收单和会计凭证等，需要注意区别不同的会计期间，以保证查询编号可以直接识别相关项目或事项</w:t>
            </w:r>
            <w:r>
              <w:rPr>
                <w:rFonts w:cs="Calibri" w:hint="eastAsia"/>
                <w:b/>
                <w:bCs/>
                <w:color w:val="FF0000"/>
                <w:sz w:val="21"/>
                <w:szCs w:val="21"/>
              </w:rPr>
              <w:t>[易考点]</w:t>
            </w:r>
          </w:p>
        </w:tc>
      </w:tr>
      <w:tr w:rsidR="000B74A1" w14:paraId="28B4B694" w14:textId="77777777" w:rsidTr="000B74A1">
        <w:trPr>
          <w:trHeight w:val="278"/>
          <w:jc w:val="center"/>
        </w:trPr>
        <w:tc>
          <w:tcPr>
            <w:tcW w:w="20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668450"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实施审计程序的</w:t>
            </w:r>
            <w:r>
              <w:rPr>
                <w:rFonts w:cs="Calibri" w:hint="eastAsia"/>
                <w:b/>
                <w:bCs/>
                <w:color w:val="FF0000"/>
                <w:sz w:val="21"/>
                <w:szCs w:val="21"/>
              </w:rPr>
              <w:t>范围</w:t>
            </w:r>
            <w:r>
              <w:rPr>
                <w:rFonts w:cs="Calibri" w:hint="eastAsia"/>
                <w:color w:val="333333"/>
                <w:sz w:val="21"/>
                <w:szCs w:val="21"/>
              </w:rPr>
              <w:t>并指明该主体</w:t>
            </w:r>
          </w:p>
        </w:tc>
        <w:tc>
          <w:tcPr>
            <w:tcW w:w="64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EEB578"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银行存款日记账的大额交易测试中，对一定金额以上的所有会计分录进行测试</w:t>
            </w:r>
          </w:p>
        </w:tc>
      </w:tr>
      <w:tr w:rsidR="000B74A1" w14:paraId="6F9A4AC1" w14:textId="77777777" w:rsidTr="000B74A1">
        <w:trPr>
          <w:trHeight w:val="278"/>
          <w:jc w:val="center"/>
        </w:trPr>
        <w:tc>
          <w:tcPr>
            <w:tcW w:w="20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CD1A84"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样本来源、抽样</w:t>
            </w:r>
            <w:r>
              <w:rPr>
                <w:rFonts w:cs="Calibri" w:hint="eastAsia"/>
                <w:b/>
                <w:bCs/>
                <w:color w:val="FF0000"/>
                <w:sz w:val="21"/>
                <w:szCs w:val="21"/>
              </w:rPr>
              <w:t>起点</w:t>
            </w:r>
            <w:r>
              <w:rPr>
                <w:rFonts w:cs="Calibri" w:hint="eastAsia"/>
                <w:color w:val="333333"/>
                <w:sz w:val="21"/>
                <w:szCs w:val="21"/>
              </w:rPr>
              <w:t>和</w:t>
            </w:r>
            <w:r>
              <w:rPr>
                <w:rFonts w:cs="Calibri" w:hint="eastAsia"/>
                <w:b/>
                <w:bCs/>
                <w:color w:val="FF0000"/>
                <w:sz w:val="21"/>
                <w:szCs w:val="21"/>
              </w:rPr>
              <w:t>间隔</w:t>
            </w:r>
          </w:p>
        </w:tc>
        <w:tc>
          <w:tcPr>
            <w:tcW w:w="64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7F101F"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说明选样的方法，重新执行此方法可以追踪到特定的样本</w:t>
            </w:r>
          </w:p>
        </w:tc>
      </w:tr>
      <w:tr w:rsidR="000B74A1" w14:paraId="3D20EB59" w14:textId="77777777" w:rsidTr="000B74A1">
        <w:trPr>
          <w:trHeight w:val="164"/>
          <w:jc w:val="center"/>
        </w:trPr>
        <w:tc>
          <w:tcPr>
            <w:tcW w:w="20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32B19F"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询问程序</w:t>
            </w:r>
          </w:p>
        </w:tc>
        <w:tc>
          <w:tcPr>
            <w:tcW w:w="64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4DCA1"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询问的</w:t>
            </w:r>
            <w:r>
              <w:rPr>
                <w:rFonts w:cs="Calibri" w:hint="eastAsia"/>
                <w:b/>
                <w:bCs/>
                <w:color w:val="FF0000"/>
                <w:sz w:val="21"/>
                <w:szCs w:val="21"/>
              </w:rPr>
              <w:t>时间</w:t>
            </w:r>
            <w:r>
              <w:rPr>
                <w:rFonts w:cs="Calibri" w:hint="eastAsia"/>
                <w:color w:val="333333"/>
                <w:sz w:val="21"/>
                <w:szCs w:val="21"/>
              </w:rPr>
              <w:t>、被询问人的</w:t>
            </w:r>
            <w:r>
              <w:rPr>
                <w:rFonts w:cs="Calibri" w:hint="eastAsia"/>
                <w:b/>
                <w:bCs/>
                <w:color w:val="FF0000"/>
                <w:sz w:val="21"/>
                <w:szCs w:val="21"/>
              </w:rPr>
              <w:t>姓名</w:t>
            </w:r>
            <w:r>
              <w:rPr>
                <w:rFonts w:cs="Calibri" w:hint="eastAsia"/>
                <w:color w:val="333333"/>
                <w:sz w:val="21"/>
                <w:szCs w:val="21"/>
              </w:rPr>
              <w:t>及</w:t>
            </w:r>
            <w:r>
              <w:rPr>
                <w:rFonts w:cs="Calibri" w:hint="eastAsia"/>
                <w:b/>
                <w:bCs/>
                <w:color w:val="FF0000"/>
                <w:sz w:val="21"/>
                <w:szCs w:val="21"/>
              </w:rPr>
              <w:t>职位[易考点]</w:t>
            </w:r>
          </w:p>
        </w:tc>
      </w:tr>
      <w:tr w:rsidR="000B74A1" w14:paraId="3C852C9C" w14:textId="77777777" w:rsidTr="000B74A1">
        <w:trPr>
          <w:trHeight w:val="278"/>
          <w:jc w:val="center"/>
        </w:trPr>
        <w:tc>
          <w:tcPr>
            <w:tcW w:w="20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F18DAC"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观察程序</w:t>
            </w:r>
          </w:p>
        </w:tc>
        <w:tc>
          <w:tcPr>
            <w:tcW w:w="64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D4DF3D"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观察的</w:t>
            </w:r>
            <w:r>
              <w:rPr>
                <w:rFonts w:cs="Calibri" w:hint="eastAsia"/>
                <w:b/>
                <w:bCs/>
                <w:color w:val="FF0000"/>
                <w:sz w:val="21"/>
                <w:szCs w:val="21"/>
              </w:rPr>
              <w:t>对象</w:t>
            </w:r>
            <w:r>
              <w:rPr>
                <w:rFonts w:cs="Calibri" w:hint="eastAsia"/>
                <w:color w:val="333333"/>
                <w:sz w:val="21"/>
                <w:szCs w:val="21"/>
              </w:rPr>
              <w:t>或观察过程、相关被观察</w:t>
            </w:r>
            <w:r>
              <w:rPr>
                <w:rFonts w:cs="Calibri" w:hint="eastAsia"/>
                <w:b/>
                <w:bCs/>
                <w:color w:val="FF0000"/>
                <w:sz w:val="21"/>
                <w:szCs w:val="21"/>
              </w:rPr>
              <w:t>人员</w:t>
            </w:r>
            <w:r>
              <w:rPr>
                <w:rFonts w:cs="Calibri" w:hint="eastAsia"/>
                <w:color w:val="333333"/>
                <w:sz w:val="21"/>
                <w:szCs w:val="21"/>
              </w:rPr>
              <w:t>及其各自的</w:t>
            </w:r>
            <w:r>
              <w:rPr>
                <w:rFonts w:cs="Calibri" w:hint="eastAsia"/>
                <w:b/>
                <w:bCs/>
                <w:color w:val="FF0000"/>
                <w:sz w:val="21"/>
                <w:szCs w:val="21"/>
              </w:rPr>
              <w:t>责任</w:t>
            </w:r>
            <w:r>
              <w:rPr>
                <w:rFonts w:cs="Calibri" w:hint="eastAsia"/>
                <w:color w:val="333333"/>
                <w:sz w:val="21"/>
                <w:szCs w:val="21"/>
              </w:rPr>
              <w:t>、观察的</w:t>
            </w:r>
            <w:r>
              <w:rPr>
                <w:rFonts w:cs="Calibri" w:hint="eastAsia"/>
                <w:b/>
                <w:bCs/>
                <w:color w:val="FF0000"/>
                <w:sz w:val="21"/>
                <w:szCs w:val="21"/>
              </w:rPr>
              <w:t>地点</w:t>
            </w:r>
            <w:r>
              <w:rPr>
                <w:rFonts w:cs="Calibri" w:hint="eastAsia"/>
                <w:color w:val="333333"/>
                <w:sz w:val="21"/>
                <w:szCs w:val="21"/>
              </w:rPr>
              <w:t>和</w:t>
            </w:r>
            <w:r>
              <w:rPr>
                <w:rFonts w:cs="Calibri" w:hint="eastAsia"/>
                <w:b/>
                <w:bCs/>
                <w:color w:val="FF0000"/>
                <w:sz w:val="21"/>
                <w:szCs w:val="21"/>
              </w:rPr>
              <w:t>时间[易考点]</w:t>
            </w:r>
          </w:p>
        </w:tc>
      </w:tr>
    </w:tbl>
    <w:p w14:paraId="5C0D237A"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【小金敲黑板】</w:t>
      </w:r>
    </w:p>
    <w:p w14:paraId="7F16F21B"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此考点容易命制</w:t>
      </w:r>
      <w:r>
        <w:rPr>
          <w:rFonts w:cs="Calibri" w:hint="eastAsia"/>
          <w:b/>
          <w:bCs/>
          <w:color w:val="FF0000"/>
          <w:sz w:val="21"/>
          <w:szCs w:val="21"/>
        </w:rPr>
        <w:t>简答题</w:t>
      </w:r>
      <w:r>
        <w:rPr>
          <w:rFonts w:cs="Calibri" w:hint="eastAsia"/>
          <w:color w:val="3F3F3F"/>
          <w:sz w:val="21"/>
          <w:szCs w:val="21"/>
        </w:rPr>
        <w:t>，要求考生判断识别特征是否具有唯一性，</w:t>
      </w:r>
      <w:r>
        <w:rPr>
          <w:rFonts w:cs="Calibri" w:hint="eastAsia"/>
          <w:b/>
          <w:bCs/>
          <w:color w:val="FF0000"/>
          <w:sz w:val="21"/>
          <w:szCs w:val="21"/>
        </w:rPr>
        <w:t>解题方法</w:t>
      </w:r>
      <w:r>
        <w:rPr>
          <w:rFonts w:cs="Calibri" w:hint="eastAsia"/>
          <w:color w:val="3F3F3F"/>
          <w:sz w:val="21"/>
          <w:szCs w:val="21"/>
        </w:rPr>
        <w:t>：</w:t>
      </w:r>
    </w:p>
    <w:p w14:paraId="2E530081"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a）记忆表格中总结的常见识别特征；</w:t>
      </w:r>
    </w:p>
    <w:p w14:paraId="414710BB"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b）运用常识思考题干中的识别特征是否能够</w:t>
      </w:r>
      <w:r>
        <w:rPr>
          <w:rFonts w:cs="Calibri" w:hint="eastAsia"/>
          <w:b/>
          <w:bCs/>
          <w:color w:val="FF0000"/>
          <w:sz w:val="21"/>
          <w:szCs w:val="21"/>
        </w:rPr>
        <w:t>追踪到唯一</w:t>
      </w:r>
      <w:r>
        <w:rPr>
          <w:rFonts w:cs="Calibri" w:hint="eastAsia"/>
          <w:color w:val="3F3F3F"/>
          <w:sz w:val="21"/>
          <w:szCs w:val="21"/>
        </w:rPr>
        <w:t>的项目。</w:t>
      </w:r>
    </w:p>
    <w:p w14:paraId="5E59B4CB"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279A7F0"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单项选择题【2011年真题】</w:t>
      </w:r>
    </w:p>
    <w:p w14:paraId="002C7403"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在对营业收入进行细节测试时，注册会计师对顺序编号的销售发票进行了检查。针对所检查的销售发票，注册会计师记录的识别特征通常是（　　）。</w:t>
      </w:r>
    </w:p>
    <w:p w14:paraId="446B580D"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A.销售发票的开具人</w:t>
      </w:r>
    </w:p>
    <w:p w14:paraId="651DD712"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B.销售发票的编号</w:t>
      </w:r>
    </w:p>
    <w:p w14:paraId="44D0A86D"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C.销售发票的金额</w:t>
      </w:r>
    </w:p>
    <w:p w14:paraId="13DA441A"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D.销售发票的付款人</w:t>
      </w:r>
    </w:p>
    <w:p w14:paraId="37735F81"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[答案]B</w:t>
      </w:r>
    </w:p>
    <w:p w14:paraId="6023AB55"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[点评]对于连续编号的销售发票，其编号具有唯一性，将编号作为识别特征是恰当的，而开具人、付款人和金额均不具有唯一性。</w:t>
      </w:r>
    </w:p>
    <w:tbl>
      <w:tblPr>
        <w:tblW w:w="8125" w:type="dxa"/>
        <w:jc w:val="center"/>
        <w:tblCellMar>
          <w:left w:w="0" w:type="dxa"/>
          <w:right w:w="0" w:type="dxa"/>
        </w:tblCellMar>
        <w:tblLook w:val="04A0" w:firstRow="1" w:lastRow="0" w:firstColumn="1" w:lastColumn="0" w:noHBand="0" w:noVBand="1"/>
      </w:tblPr>
      <w:tblGrid>
        <w:gridCol w:w="1574"/>
        <w:gridCol w:w="6551"/>
      </w:tblGrid>
      <w:tr w:rsidR="000B74A1" w14:paraId="27F7CE7F" w14:textId="77777777" w:rsidTr="000B74A1">
        <w:trPr>
          <w:trHeight w:val="55"/>
          <w:jc w:val="center"/>
        </w:trPr>
        <w:tc>
          <w:tcPr>
            <w:tcW w:w="812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70C30E"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（2）重大事项及相关重大职业判断</w:t>
            </w:r>
          </w:p>
        </w:tc>
      </w:tr>
      <w:tr w:rsidR="000B74A1" w14:paraId="66D2F507" w14:textId="77777777" w:rsidTr="000B74A1">
        <w:trPr>
          <w:trHeight w:val="346"/>
          <w:jc w:val="center"/>
        </w:trPr>
        <w:tc>
          <w:tcPr>
            <w:tcW w:w="1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B9B2E1"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内容</w:t>
            </w:r>
          </w:p>
          <w:p w14:paraId="37104C4A"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【多选题高频考点】</w:t>
            </w:r>
          </w:p>
        </w:tc>
        <w:tc>
          <w:tcPr>
            <w:tcW w:w="6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4B719A"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a）引起</w:t>
            </w:r>
            <w:r>
              <w:rPr>
                <w:rFonts w:cs="Calibri" w:hint="eastAsia"/>
                <w:b/>
                <w:bCs/>
                <w:color w:val="FF0000"/>
                <w:sz w:val="21"/>
                <w:szCs w:val="21"/>
              </w:rPr>
              <w:t>特别风险</w:t>
            </w:r>
            <w:r>
              <w:rPr>
                <w:rFonts w:cs="Calibri" w:hint="eastAsia"/>
                <w:color w:val="333333"/>
                <w:sz w:val="21"/>
                <w:szCs w:val="21"/>
              </w:rPr>
              <w:t>的事项</w:t>
            </w:r>
          </w:p>
          <w:p w14:paraId="7451D5B1"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b）实施审计程序的结果表明财务信息可能存在重大错报，或需要</w:t>
            </w:r>
            <w:r>
              <w:rPr>
                <w:rFonts w:cs="Calibri" w:hint="eastAsia"/>
                <w:b/>
                <w:bCs/>
                <w:color w:val="FF0000"/>
                <w:sz w:val="21"/>
                <w:szCs w:val="21"/>
              </w:rPr>
              <w:t>修正</w:t>
            </w:r>
            <w:r>
              <w:rPr>
                <w:rFonts w:cs="Calibri" w:hint="eastAsia"/>
                <w:color w:val="333333"/>
                <w:sz w:val="21"/>
                <w:szCs w:val="21"/>
              </w:rPr>
              <w:t>以前对重大错报风险的评估和拟采取的应对措施</w:t>
            </w:r>
          </w:p>
          <w:p w14:paraId="027FE2B6"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c）导致注册会计师</w:t>
            </w:r>
            <w:r>
              <w:rPr>
                <w:rFonts w:cs="Calibri" w:hint="eastAsia"/>
                <w:b/>
                <w:bCs/>
                <w:color w:val="FF0000"/>
                <w:sz w:val="21"/>
                <w:szCs w:val="21"/>
              </w:rPr>
              <w:t>难以</w:t>
            </w:r>
            <w:r>
              <w:rPr>
                <w:rFonts w:cs="Calibri" w:hint="eastAsia"/>
                <w:color w:val="333333"/>
                <w:sz w:val="21"/>
                <w:szCs w:val="21"/>
              </w:rPr>
              <w:t>实施必要审计程序的情形</w:t>
            </w:r>
          </w:p>
          <w:p w14:paraId="7F2919E2"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d）导致出具非无保留意见、带强调事项段或者“与持续经营相关的重大不确定性”等</w:t>
            </w:r>
            <w:r>
              <w:rPr>
                <w:rFonts w:cs="Calibri" w:hint="eastAsia"/>
                <w:b/>
                <w:bCs/>
                <w:color w:val="FF0000"/>
                <w:sz w:val="21"/>
                <w:szCs w:val="21"/>
              </w:rPr>
              <w:t>段落</w:t>
            </w:r>
            <w:r>
              <w:rPr>
                <w:rFonts w:cs="Calibri" w:hint="eastAsia"/>
                <w:color w:val="333333"/>
                <w:sz w:val="21"/>
                <w:szCs w:val="21"/>
              </w:rPr>
              <w:t>的审计报告事项</w:t>
            </w:r>
          </w:p>
        </w:tc>
      </w:tr>
      <w:tr w:rsidR="000B74A1" w14:paraId="210B9CB7" w14:textId="77777777" w:rsidTr="000B74A1">
        <w:trPr>
          <w:trHeight w:val="238"/>
          <w:jc w:val="center"/>
        </w:trPr>
        <w:tc>
          <w:tcPr>
            <w:tcW w:w="1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EFD1C"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记录要求</w:t>
            </w:r>
          </w:p>
        </w:tc>
        <w:tc>
          <w:tcPr>
            <w:tcW w:w="6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1106C5"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a）与管理层、治理层和其他人员对重大事项性质的讨论，以及讨论的时间、地点和参与人员</w:t>
            </w:r>
          </w:p>
          <w:p w14:paraId="503D871C"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b）可以将分散的重大事项的记录汇总在重大事项概要中</w:t>
            </w:r>
          </w:p>
          <w:p w14:paraId="63752B51"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c）重大事项概要包括识别的重大事项及其如何得到解决，或对其他支持性底稿的交叉索引</w:t>
            </w:r>
          </w:p>
        </w:tc>
      </w:tr>
      <w:tr w:rsidR="000B74A1" w14:paraId="78F34A6D" w14:textId="77777777" w:rsidTr="000B74A1">
        <w:trPr>
          <w:trHeight w:val="126"/>
          <w:jc w:val="center"/>
        </w:trPr>
        <w:tc>
          <w:tcPr>
            <w:tcW w:w="1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87ED99"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不一致</w:t>
            </w:r>
          </w:p>
          <w:p w14:paraId="5AB2ED9B" w14:textId="77777777" w:rsidR="000B74A1" w:rsidRDefault="000B74A1" w:rsidP="000B74A1">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的处理</w:t>
            </w:r>
          </w:p>
        </w:tc>
        <w:tc>
          <w:tcPr>
            <w:tcW w:w="65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524A26"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如果识别出的信息与针对某重大事项得出的最终结论不一致，注册会计师应当记录如何处理不一致的情况</w:t>
            </w:r>
          </w:p>
        </w:tc>
      </w:tr>
    </w:tbl>
    <w:p w14:paraId="287B2166"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6BD0BD1"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6D7B0885"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下列各项中，属于注册会计师应当在审计工作底稿中记录的重大事项的有（　　）。</w:t>
      </w:r>
    </w:p>
    <w:p w14:paraId="2402CDFB"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A.与舞弊风险相关的事项</w:t>
      </w:r>
    </w:p>
    <w:p w14:paraId="1AA4CCCF"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B.对重大错报风险评估结果的修正</w:t>
      </w:r>
    </w:p>
    <w:p w14:paraId="3F51E4A3"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C.对管理费用高估风险拟执行的审计程序</w:t>
      </w:r>
    </w:p>
    <w:p w14:paraId="43BD06F9"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D.审计项目的收费标准和收费形式</w:t>
      </w:r>
    </w:p>
    <w:p w14:paraId="45C15C6B"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[答案]AB</w:t>
      </w:r>
    </w:p>
    <w:p w14:paraId="2603462C"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[点评]重大事项通常包括：（1）引起</w:t>
      </w:r>
      <w:r>
        <w:rPr>
          <w:rFonts w:cs="Calibri" w:hint="eastAsia"/>
          <w:b/>
          <w:bCs/>
          <w:color w:val="FF0000"/>
          <w:sz w:val="21"/>
          <w:szCs w:val="21"/>
        </w:rPr>
        <w:t>特别风险</w:t>
      </w:r>
      <w:r>
        <w:rPr>
          <w:rFonts w:cs="Calibri" w:hint="eastAsia"/>
          <w:color w:val="3F3F3F"/>
          <w:sz w:val="21"/>
          <w:szCs w:val="21"/>
        </w:rPr>
        <w:t>的事项；（2）实施审计程序的结果，该结果表明财务信息可能存在重大错报，或需要</w:t>
      </w:r>
      <w:r>
        <w:rPr>
          <w:rFonts w:cs="Calibri" w:hint="eastAsia"/>
          <w:b/>
          <w:bCs/>
          <w:color w:val="FF0000"/>
          <w:sz w:val="21"/>
          <w:szCs w:val="21"/>
        </w:rPr>
        <w:t>修正</w:t>
      </w:r>
      <w:r>
        <w:rPr>
          <w:rFonts w:cs="Calibri" w:hint="eastAsia"/>
          <w:color w:val="3F3F3F"/>
          <w:sz w:val="21"/>
          <w:szCs w:val="21"/>
        </w:rPr>
        <w:t>以前对重大错报风险的评估和针对这些风险拟采取的应对措施；（3）导致注册会计师</w:t>
      </w:r>
      <w:r>
        <w:rPr>
          <w:rFonts w:cs="Calibri" w:hint="eastAsia"/>
          <w:b/>
          <w:bCs/>
          <w:color w:val="FF0000"/>
          <w:sz w:val="21"/>
          <w:szCs w:val="21"/>
        </w:rPr>
        <w:t>难以实施</w:t>
      </w:r>
      <w:r>
        <w:rPr>
          <w:rFonts w:cs="Calibri" w:hint="eastAsia"/>
          <w:color w:val="3F3F3F"/>
          <w:sz w:val="21"/>
          <w:szCs w:val="21"/>
        </w:rPr>
        <w:t>必要程序的情形；（4）导致</w:t>
      </w:r>
      <w:r>
        <w:rPr>
          <w:rFonts w:cs="Calibri" w:hint="eastAsia"/>
          <w:b/>
          <w:bCs/>
          <w:color w:val="FF0000"/>
          <w:sz w:val="21"/>
          <w:szCs w:val="21"/>
        </w:rPr>
        <w:t>出具非无保留意见、带强调事项段或者“与持续经营相关的重大不确定性”等段落</w:t>
      </w:r>
      <w:r>
        <w:rPr>
          <w:rFonts w:cs="Calibri" w:hint="eastAsia"/>
          <w:color w:val="3F3F3F"/>
          <w:sz w:val="21"/>
          <w:szCs w:val="21"/>
        </w:rPr>
        <w:t>的审计报告的事项。本题非常</w:t>
      </w:r>
      <w:r>
        <w:rPr>
          <w:rFonts w:cs="Calibri" w:hint="eastAsia"/>
          <w:b/>
          <w:bCs/>
          <w:color w:val="FF0000"/>
          <w:sz w:val="21"/>
          <w:szCs w:val="21"/>
        </w:rPr>
        <w:t>灵活</w:t>
      </w:r>
      <w:r>
        <w:rPr>
          <w:rFonts w:cs="Calibri" w:hint="eastAsia"/>
          <w:color w:val="3F3F3F"/>
          <w:sz w:val="21"/>
          <w:szCs w:val="21"/>
        </w:rPr>
        <w:t>，同学们要注意判断选项中的事项是否属于上述范畴。</w:t>
      </w:r>
    </w:p>
    <w:p w14:paraId="66A7BC88" w14:textId="77777777" w:rsidR="000B74A1" w:rsidRDefault="000B74A1" w:rsidP="000B74A1">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简答题【改编自2012/2013年真题】</w:t>
      </w:r>
    </w:p>
    <w:p w14:paraId="4BF8903C"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A注册会计师负责甲集团有限公司2016年度财务报表，与审计工作底稿相关的部分事项如下，请逐项判断是否恰当，如不恰当，简要说明理由：</w:t>
      </w:r>
    </w:p>
    <w:p w14:paraId="19C23E0B"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（1）在对销售发票进行细节测试时，将相关销售发票所载明的发票日期以及商品的名称、规格和数量作为识别特征记录于审计工作底稿；</w:t>
      </w:r>
    </w:p>
    <w:p w14:paraId="4BD2E338"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（2）对于询问特定人员的程序，在形成审计工作底稿时，以询问的时间、被询问人的姓名和岗位名称为识别特征；</w:t>
      </w:r>
    </w:p>
    <w:p w14:paraId="7463B029"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（3）在对期末存货进行监盘时，将监盘时间和相关存货名称作为识别特征记录于审计工作底稿。</w:t>
      </w:r>
    </w:p>
    <w:p w14:paraId="2F6A066A" w14:textId="77777777" w:rsidR="000B74A1" w:rsidRDefault="000B74A1" w:rsidP="000B74A1">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（4）在审计过程中无法就关联方关系及交易获取充分、适当的审计证据，因此出具了保留意见的审计报告，并将该事项作为重大事项记录在审计工作底稿中。</w:t>
      </w:r>
    </w:p>
    <w:p w14:paraId="1184CB2E"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w:t>
      </w:r>
    </w:p>
    <w:p w14:paraId="2E735FCE"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事项（1）不恰当；销售发票所载明的发票日期以及商品的名称、规格和数量</w:t>
      </w:r>
      <w:r>
        <w:rPr>
          <w:rFonts w:cs="Calibri" w:hint="eastAsia"/>
          <w:b/>
          <w:bCs/>
          <w:color w:val="FF0000"/>
          <w:sz w:val="21"/>
          <w:szCs w:val="21"/>
        </w:rPr>
        <w:t>不具有唯一性</w:t>
      </w:r>
      <w:r>
        <w:rPr>
          <w:rFonts w:cs="Calibri" w:hint="eastAsia"/>
          <w:color w:val="3F3F3F"/>
          <w:sz w:val="21"/>
          <w:szCs w:val="21"/>
        </w:rPr>
        <w:t>，不适合作为识别特征，可以选择</w:t>
      </w:r>
      <w:r>
        <w:rPr>
          <w:rFonts w:cs="Calibri" w:hint="eastAsia"/>
          <w:b/>
          <w:bCs/>
          <w:color w:val="FF0000"/>
          <w:sz w:val="21"/>
          <w:szCs w:val="21"/>
        </w:rPr>
        <w:t>发票的编号</w:t>
      </w:r>
      <w:r>
        <w:rPr>
          <w:rFonts w:cs="Calibri" w:hint="eastAsia"/>
          <w:color w:val="3F3F3F"/>
          <w:sz w:val="21"/>
          <w:szCs w:val="21"/>
        </w:rPr>
        <w:t>作为识别特征。</w:t>
      </w:r>
    </w:p>
    <w:p w14:paraId="1B2F2F3D"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事项（2）恰当。</w:t>
      </w:r>
    </w:p>
    <w:p w14:paraId="7C3402FC"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事项（3）不恰当；所述识别特征不具有唯一性，应当记录盘点人员、监盘的对象和过程、监盘的地点和时间等信息。</w:t>
      </w:r>
    </w:p>
    <w:p w14:paraId="726376DA"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事项（4）恰当。</w:t>
      </w:r>
    </w:p>
    <w:p w14:paraId="6CD38C64"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3.审计结论</w:t>
      </w:r>
    </w:p>
    <w:p w14:paraId="0ABDDAA2"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审计工作的每一部分</w:t>
      </w:r>
      <w:r>
        <w:rPr>
          <w:rFonts w:cs="Calibri" w:hint="eastAsia"/>
          <w:b/>
          <w:bCs/>
          <w:color w:val="FF0000"/>
          <w:sz w:val="21"/>
          <w:szCs w:val="21"/>
        </w:rPr>
        <w:t>都应包含</w:t>
      </w:r>
      <w:r>
        <w:rPr>
          <w:rFonts w:cs="Calibri" w:hint="eastAsia"/>
          <w:color w:val="3F3F3F"/>
          <w:sz w:val="21"/>
          <w:szCs w:val="21"/>
        </w:rPr>
        <w:t>与已实施审计程序的结果及其是否实现既定审计目标相关的结论，还应包括审计程序识别出的例外情况和重大事项如何得到解决的结论。</w:t>
      </w:r>
    </w:p>
    <w:p w14:paraId="30792788"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4.审计标识及说明</w:t>
      </w:r>
    </w:p>
    <w:p w14:paraId="32EE6C77"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应当说明其含义，并保持前后一致。</w:t>
      </w:r>
    </w:p>
    <w:p w14:paraId="7FC3E5D2"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5.索引号及编号</w:t>
      </w:r>
    </w:p>
    <w:p w14:paraId="1954AC44"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审计工作底稿通常需要注明索引号及顺序编号。</w:t>
      </w:r>
    </w:p>
    <w:p w14:paraId="606173A9" w14:textId="77777777" w:rsidR="000B74A1" w:rsidRDefault="000B74A1" w:rsidP="000B74A1">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6.编制人员和复核人员及执行日期</w:t>
      </w:r>
    </w:p>
    <w:tbl>
      <w:tblPr>
        <w:tblW w:w="8505" w:type="dxa"/>
        <w:jc w:val="center"/>
        <w:tblCellMar>
          <w:left w:w="0" w:type="dxa"/>
          <w:right w:w="0" w:type="dxa"/>
        </w:tblCellMar>
        <w:tblLook w:val="04A0" w:firstRow="1" w:lastRow="0" w:firstColumn="1" w:lastColumn="0" w:noHBand="0" w:noVBand="1"/>
      </w:tblPr>
      <w:tblGrid>
        <w:gridCol w:w="8505"/>
      </w:tblGrid>
      <w:tr w:rsidR="000B74A1" w14:paraId="0E209291" w14:textId="77777777" w:rsidTr="000B74A1">
        <w:trPr>
          <w:trHeight w:val="94"/>
          <w:jc w:val="center"/>
        </w:trPr>
        <w:tc>
          <w:tcPr>
            <w:tcW w:w="80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9EF4C3"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（1）记录内容</w:t>
            </w:r>
            <w:r>
              <w:rPr>
                <w:rFonts w:cs="Calibri" w:hint="eastAsia"/>
                <w:b/>
                <w:bCs/>
                <w:color w:val="FF0000"/>
                <w:sz w:val="21"/>
                <w:szCs w:val="21"/>
              </w:rPr>
              <w:t>【多选题/简答题考点】</w:t>
            </w:r>
          </w:p>
        </w:tc>
      </w:tr>
      <w:tr w:rsidR="000B74A1" w14:paraId="7F86E32F" w14:textId="77777777" w:rsidTr="000B74A1">
        <w:trPr>
          <w:trHeight w:val="299"/>
          <w:jc w:val="center"/>
        </w:trPr>
        <w:tc>
          <w:tcPr>
            <w:tcW w:w="80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A38139"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a）测试的具体项目或事项的</w:t>
            </w:r>
            <w:r>
              <w:rPr>
                <w:rFonts w:cs="Calibri" w:hint="eastAsia"/>
                <w:b/>
                <w:bCs/>
                <w:color w:val="FF0000"/>
                <w:sz w:val="21"/>
                <w:szCs w:val="21"/>
              </w:rPr>
              <w:t>识别特征</w:t>
            </w:r>
          </w:p>
          <w:p w14:paraId="25A11231"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b）审计工作的</w:t>
            </w:r>
            <w:r>
              <w:rPr>
                <w:rFonts w:cs="Calibri" w:hint="eastAsia"/>
                <w:b/>
                <w:bCs/>
                <w:color w:val="FF0000"/>
                <w:sz w:val="21"/>
                <w:szCs w:val="21"/>
              </w:rPr>
              <w:t>执行人员</w:t>
            </w:r>
            <w:r>
              <w:rPr>
                <w:rFonts w:cs="Calibri" w:hint="eastAsia"/>
                <w:color w:val="333333"/>
                <w:sz w:val="21"/>
                <w:szCs w:val="21"/>
              </w:rPr>
              <w:t>及完成审计工作的</w:t>
            </w:r>
            <w:r>
              <w:rPr>
                <w:rFonts w:cs="Calibri" w:hint="eastAsia"/>
                <w:b/>
                <w:bCs/>
                <w:color w:val="FF0000"/>
                <w:sz w:val="21"/>
                <w:szCs w:val="21"/>
              </w:rPr>
              <w:t>日期</w:t>
            </w:r>
          </w:p>
          <w:p w14:paraId="2F43BB44"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c）审计工作的</w:t>
            </w:r>
            <w:r>
              <w:rPr>
                <w:rFonts w:cs="Calibri" w:hint="eastAsia"/>
                <w:b/>
                <w:bCs/>
                <w:color w:val="FF0000"/>
                <w:sz w:val="21"/>
                <w:szCs w:val="21"/>
              </w:rPr>
              <w:t>复核人员</w:t>
            </w:r>
            <w:r>
              <w:rPr>
                <w:rFonts w:cs="Calibri" w:hint="eastAsia"/>
                <w:color w:val="333333"/>
                <w:sz w:val="21"/>
                <w:szCs w:val="21"/>
              </w:rPr>
              <w:t>及复核的</w:t>
            </w:r>
            <w:r>
              <w:rPr>
                <w:rFonts w:cs="Calibri" w:hint="eastAsia"/>
                <w:b/>
                <w:bCs/>
                <w:color w:val="FF0000"/>
                <w:sz w:val="21"/>
                <w:szCs w:val="21"/>
              </w:rPr>
              <w:t>日期和范围</w:t>
            </w:r>
          </w:p>
          <w:p w14:paraId="5473F4E5"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d）项目质量控制复核人员及复核的日期（如适用）</w:t>
            </w:r>
          </w:p>
        </w:tc>
      </w:tr>
      <w:tr w:rsidR="000B74A1" w14:paraId="7C7B46D1" w14:textId="77777777" w:rsidTr="000B74A1">
        <w:trPr>
          <w:trHeight w:val="299"/>
          <w:jc w:val="center"/>
        </w:trPr>
        <w:tc>
          <w:tcPr>
            <w:tcW w:w="80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C674C9"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（2）要求</w:t>
            </w:r>
            <w:r>
              <w:rPr>
                <w:rFonts w:cs="Calibri" w:hint="eastAsia"/>
                <w:b/>
                <w:bCs/>
                <w:color w:val="FF0000"/>
                <w:sz w:val="21"/>
                <w:szCs w:val="21"/>
              </w:rPr>
              <w:t>【多选题/简答题考点】</w:t>
            </w:r>
          </w:p>
        </w:tc>
      </w:tr>
      <w:tr w:rsidR="000B74A1" w14:paraId="31AD6735" w14:textId="77777777" w:rsidTr="000B74A1">
        <w:trPr>
          <w:trHeight w:val="299"/>
          <w:jc w:val="center"/>
        </w:trPr>
        <w:tc>
          <w:tcPr>
            <w:tcW w:w="805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58AD40"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a）通常，需要在</w:t>
            </w:r>
            <w:r>
              <w:rPr>
                <w:rFonts w:cs="Calibri" w:hint="eastAsia"/>
                <w:b/>
                <w:bCs/>
                <w:color w:val="FF0000"/>
                <w:sz w:val="21"/>
                <w:szCs w:val="21"/>
              </w:rPr>
              <w:t>每一张</w:t>
            </w:r>
            <w:r>
              <w:rPr>
                <w:rFonts w:cs="Calibri" w:hint="eastAsia"/>
                <w:color w:val="333333"/>
                <w:sz w:val="21"/>
                <w:szCs w:val="21"/>
              </w:rPr>
              <w:t>审计工作底稿上注明执行审计工作的人员、复核人员、完成该项审计工作的日期以及完成复核日期</w:t>
            </w:r>
          </w:p>
          <w:p w14:paraId="04FB2454" w14:textId="77777777" w:rsidR="000B74A1" w:rsidRDefault="000B74A1" w:rsidP="000B74A1">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b）如果若干页的审计工作底稿记录同一性质的具体审计程序或事项，并且编制在同一个索引号中，</w:t>
            </w:r>
            <w:r>
              <w:rPr>
                <w:rFonts w:cs="Calibri" w:hint="eastAsia"/>
                <w:b/>
                <w:bCs/>
                <w:color w:val="FF0000"/>
                <w:sz w:val="21"/>
                <w:szCs w:val="21"/>
              </w:rPr>
              <w:t>可以仅在</w:t>
            </w:r>
            <w:r>
              <w:rPr>
                <w:rFonts w:cs="Calibri" w:hint="eastAsia"/>
                <w:color w:val="333333"/>
                <w:sz w:val="21"/>
                <w:szCs w:val="21"/>
              </w:rPr>
              <w:t>审计工作底稿的</w:t>
            </w:r>
            <w:r>
              <w:rPr>
                <w:rFonts w:cs="Calibri" w:hint="eastAsia"/>
                <w:b/>
                <w:bCs/>
                <w:color w:val="FF0000"/>
                <w:sz w:val="21"/>
                <w:szCs w:val="21"/>
              </w:rPr>
              <w:t>第一页</w:t>
            </w:r>
            <w:r>
              <w:rPr>
                <w:rFonts w:cs="Calibri" w:hint="eastAsia"/>
                <w:color w:val="333333"/>
                <w:sz w:val="21"/>
                <w:szCs w:val="21"/>
              </w:rPr>
              <w:t>上记录审计工作的执行人员和复核人员并注明日期</w:t>
            </w:r>
          </w:p>
        </w:tc>
      </w:tr>
    </w:tbl>
    <w:p w14:paraId="645D3B09" w14:textId="77777777" w:rsidR="000B74A1" w:rsidRDefault="000B74A1" w:rsidP="000B74A1">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7AEBFDA" w14:textId="77777777" w:rsidR="000B74A1" w:rsidRDefault="000B74A1" w:rsidP="000B74A1">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"http://webupload.admin.dongao.com/biz/handout/img/2019/20190520/20190520161303790002.png"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25pt">
            <v:imagedata r:id="rId9" r:href="rId10"/>
          </v:shape>
        </w:pict>
      </w:r>
      <w:r>
        <w:rPr>
          <w:rFonts w:ascii="Calibri" w:eastAsia="微软雅黑" w:hAnsi="Calibri" w:cs="Calibri"/>
          <w:color w:val="3F3F3F"/>
          <w:sz w:val="21"/>
          <w:szCs w:val="21"/>
        </w:rPr>
        <w:fldChar w:fldCharType="end"/>
      </w:r>
    </w:p>
    <w:p w14:paraId="36030A81" w14:textId="77777777" w:rsidR="000B74A1" w:rsidRDefault="000B74A1" w:rsidP="000B74A1">
      <w:pPr>
        <w:shd w:val="clear" w:color="auto" w:fill="FFFFFF"/>
        <w:rPr>
          <w:rFonts w:ascii="微软雅黑" w:eastAsia="微软雅黑" w:hAnsi="微软雅黑" w:cs="宋体"/>
          <w:color w:val="3F3F3F"/>
          <w:szCs w:val="21"/>
        </w:rPr>
      </w:pPr>
    </w:p>
    <w:p w14:paraId="2DB6B774" w14:textId="77777777" w:rsidR="00271D8C" w:rsidRPr="000B74A1" w:rsidRDefault="00271D8C" w:rsidP="000B74A1">
      <w:pPr>
        <w:rPr>
          <w:rFonts w:hint="eastAsia"/>
        </w:rPr>
      </w:pPr>
    </w:p>
    <w:sectPr w:rsidR="00271D8C" w:rsidRPr="000B74A1"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9482D" w14:textId="77777777" w:rsidR="00A92CCC" w:rsidRDefault="00A92CCC" w:rsidP="00CD53C5">
      <w:r>
        <w:separator/>
      </w:r>
    </w:p>
  </w:endnote>
  <w:endnote w:type="continuationSeparator" w:id="0">
    <w:p w14:paraId="62B43515" w14:textId="77777777" w:rsidR="00A92CCC" w:rsidRDefault="00A92CCC"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AD43F9F" w14:textId="77777777" w:rsidTr="007B0BFD">
      <w:trPr>
        <w:trHeight w:val="274"/>
      </w:trPr>
      <w:tc>
        <w:tcPr>
          <w:tcW w:w="2050" w:type="dxa"/>
          <w:shd w:val="clear" w:color="auto" w:fill="auto"/>
          <w:vAlign w:val="center"/>
        </w:tcPr>
        <w:p w14:paraId="519D5CB7"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1CFABD09"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A32D2F7"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B999432"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8A6A5" w14:textId="77777777" w:rsidR="00A92CCC" w:rsidRDefault="00A92CCC" w:rsidP="00CD53C5">
      <w:r>
        <w:separator/>
      </w:r>
    </w:p>
  </w:footnote>
  <w:footnote w:type="continuationSeparator" w:id="0">
    <w:p w14:paraId="2AB25AC9" w14:textId="77777777" w:rsidR="00A92CCC" w:rsidRDefault="00A92CCC"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4D4CD72" w14:textId="77777777" w:rsidTr="007B0BFD">
      <w:trPr>
        <w:trHeight w:val="501"/>
      </w:trPr>
      <w:tc>
        <w:tcPr>
          <w:tcW w:w="4272" w:type="dxa"/>
          <w:shd w:val="clear" w:color="auto" w:fill="auto"/>
          <w:vAlign w:val="center"/>
        </w:tcPr>
        <w:p w14:paraId="6AB0F05A" w14:textId="77777777" w:rsidR="001545C6" w:rsidRPr="001F62DD" w:rsidRDefault="000B74A1"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21019599" w14:textId="77777777" w:rsidR="001545C6" w:rsidRPr="004D61E7" w:rsidRDefault="000B74A1"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第六章</w:t>
          </w:r>
          <w:r>
            <w:rPr>
              <w:rFonts w:ascii="微软雅黑" w:eastAsia="微软雅黑" w:hAnsi="微软雅黑"/>
              <w:sz w:val="24"/>
              <w:szCs w:val="24"/>
            </w:rPr>
            <w:t>+审计工作底稿</w:t>
          </w:r>
        </w:p>
      </w:tc>
    </w:tr>
  </w:tbl>
  <w:p w14:paraId="02DA777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B74A1"/>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026CA"/>
    <w:rsid w:val="00A42D54"/>
    <w:rsid w:val="00A8418D"/>
    <w:rsid w:val="00A84ABB"/>
    <w:rsid w:val="00A92CCC"/>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DF4E1A"/>
  <w15:docId w15:val="{34AAE034-7241-484E-AE65-D6D50A0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17875515">
      <w:bodyDiv w:val="1"/>
      <w:marLeft w:val="0"/>
      <w:marRight w:val="0"/>
      <w:marTop w:val="0"/>
      <w:marBottom w:val="0"/>
      <w:divBdr>
        <w:top w:val="none" w:sz="0" w:space="0" w:color="auto"/>
        <w:left w:val="none" w:sz="0" w:space="0" w:color="auto"/>
        <w:bottom w:val="none" w:sz="0" w:space="0" w:color="auto"/>
        <w:right w:val="none" w:sz="0" w:space="0" w:color="auto"/>
      </w:divBdr>
      <w:divsChild>
        <w:div w:id="493184596">
          <w:marLeft w:val="0"/>
          <w:marRight w:val="0"/>
          <w:marTop w:val="0"/>
          <w:marBottom w:val="0"/>
          <w:divBdr>
            <w:top w:val="none" w:sz="0" w:space="0" w:color="auto"/>
            <w:left w:val="none" w:sz="0" w:space="0" w:color="auto"/>
            <w:bottom w:val="none" w:sz="0" w:space="0" w:color="auto"/>
            <w:right w:val="none" w:sz="0" w:space="0" w:color="auto"/>
          </w:divBdr>
          <w:divsChild>
            <w:div w:id="730537751">
              <w:marLeft w:val="0"/>
              <w:marRight w:val="0"/>
              <w:marTop w:val="0"/>
              <w:marBottom w:val="0"/>
              <w:divBdr>
                <w:top w:val="none" w:sz="0" w:space="0" w:color="auto"/>
                <w:left w:val="none" w:sz="0" w:space="0" w:color="auto"/>
                <w:bottom w:val="none" w:sz="0" w:space="0" w:color="auto"/>
                <w:right w:val="none" w:sz="0" w:space="0" w:color="auto"/>
              </w:divBdr>
            </w:div>
            <w:div w:id="824708119">
              <w:marLeft w:val="0"/>
              <w:marRight w:val="0"/>
              <w:marTop w:val="0"/>
              <w:marBottom w:val="0"/>
              <w:divBdr>
                <w:top w:val="none" w:sz="0" w:space="0" w:color="auto"/>
                <w:left w:val="none" w:sz="0" w:space="0" w:color="auto"/>
                <w:bottom w:val="none" w:sz="0" w:space="0" w:color="auto"/>
                <w:right w:val="none" w:sz="0" w:space="0" w:color="auto"/>
              </w:divBdr>
            </w:div>
            <w:div w:id="1146438451">
              <w:marLeft w:val="0"/>
              <w:marRight w:val="0"/>
              <w:marTop w:val="0"/>
              <w:marBottom w:val="0"/>
              <w:divBdr>
                <w:top w:val="none" w:sz="0" w:space="0" w:color="auto"/>
                <w:left w:val="none" w:sz="0" w:space="0" w:color="auto"/>
                <w:bottom w:val="none" w:sz="0" w:space="0" w:color="auto"/>
                <w:right w:val="none" w:sz="0" w:space="0" w:color="auto"/>
              </w:divBdr>
            </w:div>
            <w:div w:id="1227453660">
              <w:marLeft w:val="0"/>
              <w:marRight w:val="0"/>
              <w:marTop w:val="0"/>
              <w:marBottom w:val="0"/>
              <w:divBdr>
                <w:top w:val="none" w:sz="0" w:space="0" w:color="auto"/>
                <w:left w:val="none" w:sz="0" w:space="0" w:color="auto"/>
                <w:bottom w:val="none" w:sz="0" w:space="0" w:color="auto"/>
                <w:right w:val="none" w:sz="0" w:space="0" w:color="auto"/>
              </w:divBdr>
            </w:div>
            <w:div w:id="1228226737">
              <w:marLeft w:val="0"/>
              <w:marRight w:val="0"/>
              <w:marTop w:val="0"/>
              <w:marBottom w:val="0"/>
              <w:divBdr>
                <w:top w:val="none" w:sz="0" w:space="0" w:color="auto"/>
                <w:left w:val="none" w:sz="0" w:space="0" w:color="auto"/>
                <w:bottom w:val="none" w:sz="0" w:space="0" w:color="auto"/>
                <w:right w:val="none" w:sz="0" w:space="0" w:color="auto"/>
              </w:divBdr>
            </w:div>
            <w:div w:id="1299994897">
              <w:marLeft w:val="0"/>
              <w:marRight w:val="0"/>
              <w:marTop w:val="0"/>
              <w:marBottom w:val="0"/>
              <w:divBdr>
                <w:top w:val="none" w:sz="0" w:space="0" w:color="auto"/>
                <w:left w:val="none" w:sz="0" w:space="0" w:color="auto"/>
                <w:bottom w:val="none" w:sz="0" w:space="0" w:color="auto"/>
                <w:right w:val="none" w:sz="0" w:space="0" w:color="auto"/>
              </w:divBdr>
            </w:div>
            <w:div w:id="1385325066">
              <w:marLeft w:val="0"/>
              <w:marRight w:val="0"/>
              <w:marTop w:val="0"/>
              <w:marBottom w:val="0"/>
              <w:divBdr>
                <w:top w:val="none" w:sz="0" w:space="0" w:color="auto"/>
                <w:left w:val="none" w:sz="0" w:space="0" w:color="auto"/>
                <w:bottom w:val="none" w:sz="0" w:space="0" w:color="auto"/>
                <w:right w:val="none" w:sz="0" w:space="0" w:color="auto"/>
              </w:divBdr>
            </w:div>
            <w:div w:id="1471173476">
              <w:marLeft w:val="0"/>
              <w:marRight w:val="0"/>
              <w:marTop w:val="0"/>
              <w:marBottom w:val="0"/>
              <w:divBdr>
                <w:top w:val="none" w:sz="0" w:space="0" w:color="auto"/>
                <w:left w:val="none" w:sz="0" w:space="0" w:color="auto"/>
                <w:bottom w:val="none" w:sz="0" w:space="0" w:color="auto"/>
                <w:right w:val="none" w:sz="0" w:space="0" w:color="auto"/>
              </w:divBdr>
            </w:div>
            <w:div w:id="1538205040">
              <w:marLeft w:val="0"/>
              <w:marRight w:val="0"/>
              <w:marTop w:val="0"/>
              <w:marBottom w:val="0"/>
              <w:divBdr>
                <w:top w:val="none" w:sz="0" w:space="0" w:color="auto"/>
                <w:left w:val="none" w:sz="0" w:space="0" w:color="auto"/>
                <w:bottom w:val="none" w:sz="0" w:space="0" w:color="auto"/>
                <w:right w:val="none" w:sz="0" w:space="0" w:color="auto"/>
              </w:divBdr>
            </w:div>
            <w:div w:id="1627851339">
              <w:marLeft w:val="0"/>
              <w:marRight w:val="0"/>
              <w:marTop w:val="0"/>
              <w:marBottom w:val="0"/>
              <w:divBdr>
                <w:top w:val="none" w:sz="0" w:space="0" w:color="auto"/>
                <w:left w:val="none" w:sz="0" w:space="0" w:color="auto"/>
                <w:bottom w:val="none" w:sz="0" w:space="0" w:color="auto"/>
                <w:right w:val="none" w:sz="0" w:space="0" w:color="auto"/>
              </w:divBdr>
            </w:div>
            <w:div w:id="1924141087">
              <w:marLeft w:val="0"/>
              <w:marRight w:val="0"/>
              <w:marTop w:val="0"/>
              <w:marBottom w:val="0"/>
              <w:divBdr>
                <w:top w:val="none" w:sz="0" w:space="0" w:color="auto"/>
                <w:left w:val="none" w:sz="0" w:space="0" w:color="auto"/>
                <w:bottom w:val="none" w:sz="0" w:space="0" w:color="auto"/>
                <w:right w:val="none" w:sz="0" w:space="0" w:color="auto"/>
              </w:divBdr>
            </w:div>
            <w:div w:id="1962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0/20190520161303202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520/20190520161303790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F607-E221-4AF6-AB53-A3BDE34F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