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31EE1" w14:textId="77777777" w:rsidR="00E24D5D" w:rsidRDefault="00E24D5D" w:rsidP="00E24D5D">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4F45209" w14:textId="77777777" w:rsidR="00E24D5D" w:rsidRDefault="00E24D5D" w:rsidP="00E24D5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第十三章</w:t>
      </w:r>
      <w:r>
        <w:rPr>
          <w:rFonts w:cs="Calibri" w:hint="eastAsia"/>
          <w:b/>
          <w:bCs/>
          <w:color w:val="3F3F3F"/>
          <w:sz w:val="52"/>
          <w:szCs w:val="52"/>
        </w:rPr>
        <w:t>•</w:t>
      </w:r>
      <w:r>
        <w:rPr>
          <w:rFonts w:ascii="楷体" w:eastAsia="楷体" w:hAnsi="楷体" w:cs="Calibri" w:hint="eastAsia"/>
          <w:b/>
          <w:bCs/>
          <w:color w:val="3F3F3F"/>
          <w:sz w:val="52"/>
          <w:szCs w:val="52"/>
        </w:rPr>
        <w:t>对舞弊和法律法规的考虑</w:t>
      </w:r>
    </w:p>
    <w:p w14:paraId="0BFC1B3C" w14:textId="77777777" w:rsidR="00E24D5D" w:rsidRDefault="00E24D5D" w:rsidP="00E24D5D">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61AD78DA" w14:textId="77777777" w:rsidR="00E24D5D" w:rsidRDefault="00E24D5D" w:rsidP="00E24D5D">
      <w:pPr>
        <w:pStyle w:val="aa"/>
        <w:shd w:val="clear" w:color="auto" w:fill="FFFFFF"/>
        <w:spacing w:before="0" w:beforeAutospacing="0" w:after="0" w:afterAutospacing="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57023BE7" w14:textId="77777777" w:rsidR="00E24D5D" w:rsidRDefault="00E24D5D" w:rsidP="00E24D5D">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0BC0FEAA" w14:textId="77777777" w:rsidR="00E24D5D" w:rsidRDefault="00E24D5D" w:rsidP="00E24D5D">
      <w:pPr>
        <w:pStyle w:val="aa"/>
        <w:shd w:val="clear" w:color="auto" w:fill="FFFFFF"/>
        <w:spacing w:before="0" w:beforeAutospacing="0" w:after="0" w:afterAutospacing="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05F668E6" w14:textId="77777777" w:rsidR="00E24D5D" w:rsidRDefault="00E24D5D" w:rsidP="00E24D5D">
      <w:pPr>
        <w:pStyle w:val="aa"/>
        <w:shd w:val="clear" w:color="auto" w:fill="FFFFFF"/>
        <w:spacing w:before="0" w:beforeAutospacing="0" w:after="0" w:afterAutospacing="0"/>
        <w:rPr>
          <w:rFonts w:ascii="Calibri" w:eastAsia="微软雅黑" w:hAnsi="Calibri" w:cs="Calibri" w:hint="eastAsia"/>
          <w:color w:val="3F3F3F"/>
          <w:sz w:val="21"/>
          <w:szCs w:val="21"/>
        </w:rPr>
      </w:pPr>
      <w:r>
        <w:rPr>
          <w:rFonts w:ascii="Calibri" w:eastAsia="微软雅黑" w:hAnsi="Calibri" w:cs="Calibri"/>
          <w:color w:val="3F3F3F"/>
          <w:sz w:val="21"/>
          <w:szCs w:val="21"/>
        </w:rPr>
        <w:t> </w:t>
      </w:r>
    </w:p>
    <w:p w14:paraId="5922E851" w14:textId="77777777" w:rsidR="00E24D5D" w:rsidRDefault="00E24D5D" w:rsidP="00E24D5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考情和方法</w:t>
      </w:r>
    </w:p>
    <w:p w14:paraId="2B373E13" w14:textId="77777777" w:rsidR="00E24D5D" w:rsidRDefault="00E24D5D" w:rsidP="00E24D5D">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8506" w:type="dxa"/>
        <w:jc w:val="center"/>
        <w:tblCellMar>
          <w:left w:w="0" w:type="dxa"/>
          <w:right w:w="0" w:type="dxa"/>
        </w:tblCellMar>
        <w:tblLook w:val="04A0" w:firstRow="1" w:lastRow="0" w:firstColumn="1" w:lastColumn="0" w:noHBand="0" w:noVBand="1"/>
      </w:tblPr>
      <w:tblGrid>
        <w:gridCol w:w="1543"/>
        <w:gridCol w:w="6963"/>
      </w:tblGrid>
      <w:tr w:rsidR="00E24D5D" w14:paraId="66CCA276" w14:textId="77777777" w:rsidTr="00E24D5D">
        <w:trPr>
          <w:trHeight w:val="172"/>
          <w:jc w:val="center"/>
        </w:trPr>
        <w:tc>
          <w:tcPr>
            <w:tcW w:w="15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1551FCB"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9B16DC3"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5分/卷</w:t>
            </w:r>
          </w:p>
        </w:tc>
      </w:tr>
      <w:tr w:rsidR="00E24D5D" w14:paraId="39214655" w14:textId="77777777" w:rsidTr="00E24D5D">
        <w:trPr>
          <w:trHeight w:val="172"/>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817F41"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9FBBA27"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w:t>
            </w:r>
          </w:p>
        </w:tc>
      </w:tr>
      <w:tr w:rsidR="00E24D5D" w14:paraId="7CD8D5EC" w14:textId="77777777" w:rsidTr="00E24D5D">
        <w:trPr>
          <w:trHeight w:val="172"/>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93EE64"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6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2D3F0E"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实务性中</w:t>
            </w:r>
          </w:p>
        </w:tc>
      </w:tr>
      <w:tr w:rsidR="00E24D5D" w14:paraId="18332B21" w14:textId="77777777" w:rsidTr="00E24D5D">
        <w:trPr>
          <w:trHeight w:val="1725"/>
          <w:jc w:val="center"/>
        </w:trPr>
        <w:tc>
          <w:tcPr>
            <w:tcW w:w="154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93B6C5"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63" w:type="dxa"/>
            <w:tcBorders>
              <w:top w:val="nil"/>
              <w:left w:val="nil"/>
              <w:bottom w:val="single" w:sz="8" w:space="0" w:color="auto"/>
              <w:right w:val="single" w:sz="8" w:space="0" w:color="auto"/>
            </w:tcBorders>
            <w:tcMar>
              <w:top w:w="0" w:type="dxa"/>
              <w:left w:w="108" w:type="dxa"/>
              <w:bottom w:w="0" w:type="dxa"/>
              <w:right w:w="108" w:type="dxa"/>
            </w:tcMar>
            <w:hideMark/>
          </w:tcPr>
          <w:p w14:paraId="2ED77D1B"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本章内容是审计实务热点问题，如何识别和应对舞弊风险至关重要，考生需要予以重视</w:t>
            </w:r>
          </w:p>
          <w:p w14:paraId="1BE750F9"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对于</w:t>
            </w:r>
            <w:r>
              <w:rPr>
                <w:rFonts w:cs="Calibri" w:hint="eastAsia"/>
                <w:b/>
                <w:bCs/>
                <w:color w:val="FF0000"/>
                <w:sz w:val="21"/>
                <w:szCs w:val="21"/>
              </w:rPr>
              <w:t>评价舞弊风险因素</w:t>
            </w:r>
            <w:r>
              <w:rPr>
                <w:rFonts w:cs="Calibri" w:hint="eastAsia"/>
                <w:color w:val="333333"/>
                <w:sz w:val="21"/>
                <w:szCs w:val="21"/>
              </w:rPr>
              <w:t>，是多选题的必考点，需要在理解的基础上进行归纳和记忆</w:t>
            </w:r>
          </w:p>
          <w:p w14:paraId="141A23F8"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对于应对舞弊风险的程序，需要注重与第八章前后联系；对于会计分录测试、如何</w:t>
            </w:r>
            <w:r>
              <w:rPr>
                <w:rFonts w:cs="Calibri" w:hint="eastAsia"/>
                <w:b/>
                <w:bCs/>
                <w:color w:val="FF0000"/>
                <w:sz w:val="21"/>
                <w:szCs w:val="21"/>
              </w:rPr>
              <w:t>应对管理层凌驾于内部控制之上</w:t>
            </w:r>
            <w:r>
              <w:rPr>
                <w:rFonts w:cs="Calibri" w:hint="eastAsia"/>
                <w:color w:val="333333"/>
                <w:sz w:val="21"/>
                <w:szCs w:val="21"/>
              </w:rPr>
              <w:t>的风险，具有较高的简答题和综合题可考性，需要适当关注</w:t>
            </w:r>
          </w:p>
          <w:p w14:paraId="49E2ADD2"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ascii="幼圆" w:eastAsia="幼圆" w:hAnsi="Calibri" w:cs="Calibri" w:hint="eastAsia"/>
                <w:color w:val="333333"/>
                <w:sz w:val="21"/>
                <w:szCs w:val="21"/>
              </w:rPr>
              <w:t>·</w:t>
            </w:r>
            <w:r>
              <w:rPr>
                <w:rFonts w:cs="Calibri" w:hint="eastAsia"/>
                <w:color w:val="333333"/>
                <w:sz w:val="21"/>
                <w:szCs w:val="21"/>
              </w:rPr>
              <w:t>对于法律法规的相关考虑，根据随堂考点小金敲黑板进行掌握即可</w:t>
            </w:r>
          </w:p>
        </w:tc>
      </w:tr>
    </w:tbl>
    <w:p w14:paraId="7E0A62A8" w14:textId="77777777" w:rsidR="00E24D5D" w:rsidRDefault="00E24D5D" w:rsidP="00E24D5D">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6F77C6C8" w14:textId="77777777" w:rsidR="00E24D5D" w:rsidRDefault="00E24D5D" w:rsidP="00E24D5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6111DB51" w14:textId="77777777" w:rsidR="00E24D5D" w:rsidRDefault="00E24D5D" w:rsidP="00E24D5D">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0517AB97" w14:textId="77777777" w:rsidR="00E24D5D" w:rsidRDefault="00E24D5D" w:rsidP="00E24D5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hint="eastAsia"/>
          <w:b/>
          <w:bCs/>
          <w:color w:val="3F3F3F"/>
          <w:sz w:val="28"/>
          <w:szCs w:val="28"/>
        </w:rPr>
        <w:t>第一节　财务报表审计中与舞弊相关的责任</w:t>
      </w:r>
    </w:p>
    <w:p w14:paraId="781E6850" w14:textId="77777777" w:rsidR="00E24D5D" w:rsidRDefault="00E24D5D" w:rsidP="00E24D5D">
      <w:pPr>
        <w:pStyle w:val="aa"/>
        <w:shd w:val="clear" w:color="auto" w:fill="FFFFFF"/>
        <w:spacing w:before="0" w:beforeAutospacing="0" w:after="0" w:afterAutospacing="0"/>
        <w:rPr>
          <w:rFonts w:ascii="Calibri" w:eastAsia="微软雅黑" w:hAnsi="Calibri" w:cs="Calibri"/>
          <w:color w:val="3F3F3F"/>
          <w:sz w:val="21"/>
          <w:szCs w:val="21"/>
        </w:rPr>
      </w:pPr>
      <w:r>
        <w:rPr>
          <w:rFonts w:ascii="Calibri" w:eastAsia="微软雅黑" w:hAnsi="Calibri" w:cs="Calibri"/>
          <w:color w:val="3F3F3F"/>
          <w:sz w:val="21"/>
          <w:szCs w:val="21"/>
        </w:rPr>
        <w:t> </w:t>
      </w:r>
    </w:p>
    <w:p w14:paraId="4194C890"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一、舞弊的相关概念（</w:t>
      </w:r>
      <w:r>
        <w:rPr>
          <w:rFonts w:cs="Calibri" w:hint="eastAsia"/>
          <w:b/>
          <w:bCs/>
          <w:color w:val="FF0000"/>
          <w:sz w:val="21"/>
          <w:szCs w:val="21"/>
        </w:rPr>
        <w:t>※</w:t>
      </w:r>
      <w:r>
        <w:rPr>
          <w:rFonts w:cs="Calibri" w:hint="eastAsia"/>
          <w:b/>
          <w:bCs/>
          <w:color w:val="3F3F3F"/>
          <w:sz w:val="21"/>
          <w:szCs w:val="21"/>
        </w:rPr>
        <w:t>）</w:t>
      </w:r>
    </w:p>
    <w:p w14:paraId="03DF0DC3"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二、风险评估程序和相关活动（</w:t>
      </w:r>
      <w:r>
        <w:rPr>
          <w:rFonts w:cs="Calibri" w:hint="eastAsia"/>
          <w:b/>
          <w:bCs/>
          <w:color w:val="FF0000"/>
          <w:sz w:val="21"/>
          <w:szCs w:val="21"/>
        </w:rPr>
        <w:t>※※※</w:t>
      </w:r>
      <w:r>
        <w:rPr>
          <w:rFonts w:cs="Calibri" w:hint="eastAsia"/>
          <w:b/>
          <w:bCs/>
          <w:color w:val="3F3F3F"/>
          <w:sz w:val="21"/>
          <w:szCs w:val="21"/>
        </w:rPr>
        <w:t>）</w:t>
      </w:r>
    </w:p>
    <w:p w14:paraId="1F1FB654"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三、识别和评估舞弊导致的重大错报风险（</w:t>
      </w:r>
      <w:r>
        <w:rPr>
          <w:rFonts w:cs="Calibri" w:hint="eastAsia"/>
          <w:b/>
          <w:bCs/>
          <w:color w:val="FF0000"/>
          <w:sz w:val="21"/>
          <w:szCs w:val="21"/>
        </w:rPr>
        <w:t>※※</w:t>
      </w:r>
      <w:r>
        <w:rPr>
          <w:rFonts w:cs="Calibri" w:hint="eastAsia"/>
          <w:b/>
          <w:bCs/>
          <w:color w:val="3F3F3F"/>
          <w:sz w:val="21"/>
          <w:szCs w:val="21"/>
        </w:rPr>
        <w:t>）</w:t>
      </w:r>
    </w:p>
    <w:p w14:paraId="1EA268BE"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四、应对舞弊导致的重大错报风险（</w:t>
      </w:r>
      <w:r>
        <w:rPr>
          <w:rFonts w:cs="Calibri" w:hint="eastAsia"/>
          <w:b/>
          <w:bCs/>
          <w:color w:val="FF0000"/>
          <w:sz w:val="21"/>
          <w:szCs w:val="21"/>
        </w:rPr>
        <w:t>※※※</w:t>
      </w:r>
      <w:r>
        <w:rPr>
          <w:rFonts w:cs="Calibri" w:hint="eastAsia"/>
          <w:b/>
          <w:bCs/>
          <w:color w:val="3F3F3F"/>
          <w:sz w:val="21"/>
          <w:szCs w:val="21"/>
        </w:rPr>
        <w:t>）</w:t>
      </w:r>
    </w:p>
    <w:p w14:paraId="57990BA7"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五、会计分录测试（</w:t>
      </w:r>
      <w:r>
        <w:rPr>
          <w:rFonts w:cs="Calibri" w:hint="eastAsia"/>
          <w:b/>
          <w:bCs/>
          <w:color w:val="FF0000"/>
          <w:sz w:val="21"/>
          <w:szCs w:val="21"/>
        </w:rPr>
        <w:t>※※</w:t>
      </w:r>
      <w:r>
        <w:rPr>
          <w:rFonts w:cs="Calibri" w:hint="eastAsia"/>
          <w:b/>
          <w:bCs/>
          <w:color w:val="3F3F3F"/>
          <w:sz w:val="21"/>
          <w:szCs w:val="21"/>
        </w:rPr>
        <w:t>）</w:t>
      </w:r>
    </w:p>
    <w:p w14:paraId="2560DC36"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六、评价审计证据</w:t>
      </w:r>
    </w:p>
    <w:p w14:paraId="0FECD598"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七、无法继续执行审计业务</w:t>
      </w:r>
    </w:p>
    <w:p w14:paraId="0BCAD0C2"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八、书面声明</w:t>
      </w:r>
    </w:p>
    <w:p w14:paraId="7EB76037"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九、与管理层、治理层和监管机构沟通（</w:t>
      </w:r>
      <w:r>
        <w:rPr>
          <w:rFonts w:cs="Calibri" w:hint="eastAsia"/>
          <w:b/>
          <w:bCs/>
          <w:color w:val="FF0000"/>
          <w:sz w:val="21"/>
          <w:szCs w:val="21"/>
        </w:rPr>
        <w:t>※※</w:t>
      </w:r>
      <w:r>
        <w:rPr>
          <w:rFonts w:cs="Calibri" w:hint="eastAsia"/>
          <w:b/>
          <w:bCs/>
          <w:color w:val="3F3F3F"/>
          <w:sz w:val="21"/>
          <w:szCs w:val="21"/>
        </w:rPr>
        <w:t>）</w:t>
      </w:r>
    </w:p>
    <w:p w14:paraId="5BF31198"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一、舞弊的相关概念</w:t>
      </w:r>
    </w:p>
    <w:p w14:paraId="16F6D88D"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1.舞弊的含义</w:t>
      </w:r>
    </w:p>
    <w:p w14:paraId="16DE5505"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（1）舞弊是指管理层、治理层、员工或第三方使用欺骗手段获取不当或非法利益的故意行为；</w:t>
      </w:r>
    </w:p>
    <w:p w14:paraId="6A705257"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（2）在财务报表审计中，注册会计师关注的是导致财务报表发生</w:t>
      </w:r>
      <w:r>
        <w:rPr>
          <w:rFonts w:cs="Calibri" w:hint="eastAsia"/>
          <w:b/>
          <w:bCs/>
          <w:color w:val="FF0000"/>
          <w:sz w:val="21"/>
          <w:szCs w:val="21"/>
        </w:rPr>
        <w:t>重大错报</w:t>
      </w:r>
      <w:r>
        <w:rPr>
          <w:rFonts w:cs="Calibri" w:hint="eastAsia"/>
          <w:color w:val="3F3F3F"/>
          <w:sz w:val="21"/>
          <w:szCs w:val="21"/>
        </w:rPr>
        <w:t>的舞弊。</w:t>
      </w:r>
    </w:p>
    <w:p w14:paraId="7213D647"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2.舞弊的种类</w:t>
      </w:r>
    </w:p>
    <w:tbl>
      <w:tblPr>
        <w:tblW w:w="8517" w:type="dxa"/>
        <w:jc w:val="center"/>
        <w:tblCellMar>
          <w:left w:w="0" w:type="dxa"/>
          <w:right w:w="0" w:type="dxa"/>
        </w:tblCellMar>
        <w:tblLook w:val="04A0" w:firstRow="1" w:lastRow="0" w:firstColumn="1" w:lastColumn="0" w:noHBand="0" w:noVBand="1"/>
      </w:tblPr>
      <w:tblGrid>
        <w:gridCol w:w="2150"/>
        <w:gridCol w:w="6367"/>
      </w:tblGrid>
      <w:tr w:rsidR="00E24D5D" w14:paraId="42804D48" w14:textId="77777777" w:rsidTr="00E24D5D">
        <w:trPr>
          <w:trHeight w:val="287"/>
          <w:jc w:val="center"/>
        </w:trPr>
        <w:tc>
          <w:tcPr>
            <w:tcW w:w="21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10599A"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种类</w:t>
            </w:r>
          </w:p>
        </w:tc>
        <w:tc>
          <w:tcPr>
            <w:tcW w:w="63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44A53DE"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举例</w:t>
            </w:r>
          </w:p>
        </w:tc>
      </w:tr>
      <w:tr w:rsidR="00E24D5D" w14:paraId="02A54400" w14:textId="77777777" w:rsidTr="00E24D5D">
        <w:trPr>
          <w:trHeight w:val="696"/>
          <w:jc w:val="center"/>
        </w:trPr>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2190A2"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（1）</w:t>
            </w:r>
            <w:r>
              <w:rPr>
                <w:rFonts w:cs="Calibri" w:hint="eastAsia"/>
                <w:b/>
                <w:bCs/>
                <w:color w:val="FF0000"/>
                <w:sz w:val="21"/>
                <w:szCs w:val="21"/>
              </w:rPr>
              <w:t>编制虚假财务报告</w:t>
            </w:r>
          </w:p>
        </w:tc>
        <w:tc>
          <w:tcPr>
            <w:tcW w:w="6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B669A5"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a）操纵、伪造或篡改会计记录或支持性文件</w:t>
            </w:r>
          </w:p>
          <w:p w14:paraId="51FFD421"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b）错误表达或故意漏记</w:t>
            </w:r>
          </w:p>
          <w:p w14:paraId="5E79D31F"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c）故意地错误使用会计原则</w:t>
            </w:r>
          </w:p>
        </w:tc>
      </w:tr>
      <w:tr w:rsidR="00E24D5D" w14:paraId="6A468CA9" w14:textId="77777777" w:rsidTr="00E24D5D">
        <w:trPr>
          <w:trHeight w:val="901"/>
          <w:jc w:val="center"/>
        </w:trPr>
        <w:tc>
          <w:tcPr>
            <w:tcW w:w="215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2E7185"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r>
              <w:rPr>
                <w:rFonts w:cs="Calibri" w:hint="eastAsia"/>
                <w:b/>
                <w:bCs/>
                <w:color w:val="FF0000"/>
                <w:sz w:val="21"/>
                <w:szCs w:val="21"/>
              </w:rPr>
              <w:t>侵占资产</w:t>
            </w:r>
          </w:p>
        </w:tc>
        <w:tc>
          <w:tcPr>
            <w:tcW w:w="63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5C5B3AB"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a）贪污</w:t>
            </w:r>
          </w:p>
          <w:p w14:paraId="2C8A6204"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b）盗窃</w:t>
            </w:r>
          </w:p>
          <w:p w14:paraId="53DF0473"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c）向虚构的供应商或员工付款</w:t>
            </w:r>
          </w:p>
          <w:p w14:paraId="2DBA972E"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d）挪用资产</w:t>
            </w:r>
          </w:p>
        </w:tc>
      </w:tr>
    </w:tbl>
    <w:p w14:paraId="2F8F1E24"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3.各方责任</w:t>
      </w:r>
      <w:r>
        <w:rPr>
          <w:rFonts w:cs="Calibri" w:hint="eastAsia"/>
          <w:b/>
          <w:bCs/>
          <w:color w:val="FF0000"/>
          <w:sz w:val="21"/>
          <w:szCs w:val="21"/>
        </w:rPr>
        <w:t>【单选题考点】</w:t>
      </w:r>
    </w:p>
    <w:tbl>
      <w:tblPr>
        <w:tblW w:w="8518" w:type="dxa"/>
        <w:jc w:val="center"/>
        <w:tblCellMar>
          <w:left w:w="0" w:type="dxa"/>
          <w:right w:w="0" w:type="dxa"/>
        </w:tblCellMar>
        <w:tblLook w:val="04A0" w:firstRow="1" w:lastRow="0" w:firstColumn="1" w:lastColumn="0" w:noHBand="0" w:noVBand="1"/>
      </w:tblPr>
      <w:tblGrid>
        <w:gridCol w:w="1666"/>
        <w:gridCol w:w="6852"/>
      </w:tblGrid>
      <w:tr w:rsidR="00E24D5D" w14:paraId="07CEB259" w14:textId="77777777" w:rsidTr="00E24D5D">
        <w:trPr>
          <w:trHeight w:val="243"/>
          <w:jc w:val="center"/>
        </w:trPr>
        <w:tc>
          <w:tcPr>
            <w:tcW w:w="166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841064"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种类</w:t>
            </w:r>
          </w:p>
        </w:tc>
        <w:tc>
          <w:tcPr>
            <w:tcW w:w="685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575807B"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举例</w:t>
            </w:r>
          </w:p>
        </w:tc>
      </w:tr>
      <w:tr w:rsidR="00E24D5D" w14:paraId="48151A33" w14:textId="77777777" w:rsidTr="00E24D5D">
        <w:trPr>
          <w:trHeight w:val="591"/>
          <w:jc w:val="center"/>
        </w:trPr>
        <w:tc>
          <w:tcPr>
            <w:tcW w:w="166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9CB4A2"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（1）治理层、管理层的责任</w:t>
            </w:r>
          </w:p>
        </w:tc>
        <w:tc>
          <w:tcPr>
            <w:tcW w:w="685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CA7C72"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被审计单位治理层和管理层对防止或发现舞弊负有</w:t>
            </w:r>
            <w:r>
              <w:rPr>
                <w:rFonts w:cs="Calibri" w:hint="eastAsia"/>
                <w:b/>
                <w:bCs/>
                <w:color w:val="FF0000"/>
                <w:sz w:val="21"/>
                <w:szCs w:val="21"/>
              </w:rPr>
              <w:t>主要责任</w:t>
            </w:r>
          </w:p>
        </w:tc>
      </w:tr>
    </w:tbl>
    <w:p w14:paraId="6C9AE8DF" w14:textId="77777777" w:rsidR="00E24D5D" w:rsidRPr="00E24D5D" w:rsidRDefault="00E24D5D" w:rsidP="00E24D5D">
      <w:pPr>
        <w:rPr>
          <w:vanish/>
          <w:sz w:val="18"/>
          <w:szCs w:val="18"/>
        </w:rPr>
      </w:pPr>
    </w:p>
    <w:tbl>
      <w:tblPr>
        <w:tblW w:w="8508" w:type="dxa"/>
        <w:jc w:val="center"/>
        <w:tblCellMar>
          <w:left w:w="0" w:type="dxa"/>
          <w:right w:w="0" w:type="dxa"/>
        </w:tblCellMar>
        <w:tblLook w:val="04A0" w:firstRow="1" w:lastRow="0" w:firstColumn="1" w:lastColumn="0" w:noHBand="0" w:noVBand="1"/>
      </w:tblPr>
      <w:tblGrid>
        <w:gridCol w:w="1661"/>
        <w:gridCol w:w="6847"/>
      </w:tblGrid>
      <w:tr w:rsidR="00E24D5D" w14:paraId="3CADC8E7" w14:textId="77777777" w:rsidTr="00E24D5D">
        <w:trPr>
          <w:trHeight w:val="187"/>
          <w:jc w:val="center"/>
        </w:trPr>
        <w:tc>
          <w:tcPr>
            <w:tcW w:w="16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E4A4C2"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种类</w:t>
            </w:r>
          </w:p>
        </w:tc>
        <w:tc>
          <w:tcPr>
            <w:tcW w:w="6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7914FC4"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举例</w:t>
            </w:r>
          </w:p>
        </w:tc>
      </w:tr>
      <w:tr w:rsidR="00E24D5D" w14:paraId="2160F628" w14:textId="77777777" w:rsidTr="00E24D5D">
        <w:trPr>
          <w:trHeight w:val="1797"/>
          <w:jc w:val="center"/>
        </w:trPr>
        <w:tc>
          <w:tcPr>
            <w:tcW w:w="166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011052"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（2）注册会计师的责任</w:t>
            </w:r>
          </w:p>
        </w:tc>
        <w:tc>
          <w:tcPr>
            <w:tcW w:w="684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DC01CA"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a）注册会计师有责任对财务报表整体是否不存在由于舞弊或错误导致的重大错报获取</w:t>
            </w:r>
            <w:r>
              <w:rPr>
                <w:rFonts w:cs="Calibri" w:hint="eastAsia"/>
                <w:b/>
                <w:bCs/>
                <w:color w:val="FF0000"/>
                <w:sz w:val="21"/>
                <w:szCs w:val="21"/>
              </w:rPr>
              <w:t>合理保证</w:t>
            </w:r>
          </w:p>
          <w:p w14:paraId="6C3D80B7"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b）无论是编制虚假财务报告，还是侵占资产，注册会计师</w:t>
            </w:r>
            <w:r>
              <w:rPr>
                <w:rFonts w:cs="Calibri" w:hint="eastAsia"/>
                <w:b/>
                <w:bCs/>
                <w:color w:val="FF0000"/>
                <w:sz w:val="21"/>
                <w:szCs w:val="21"/>
              </w:rPr>
              <w:t>均应当</w:t>
            </w:r>
            <w:r>
              <w:rPr>
                <w:rFonts w:cs="Calibri" w:hint="eastAsia"/>
                <w:color w:val="333333"/>
                <w:sz w:val="21"/>
                <w:szCs w:val="21"/>
              </w:rPr>
              <w:t>合理保证能够予以发现</w:t>
            </w:r>
          </w:p>
          <w:p w14:paraId="0E7FE09F"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c）由于审计的固有限制，注册会计师不能对财务报表整体不存在重大错报获取</w:t>
            </w:r>
            <w:r>
              <w:rPr>
                <w:rFonts w:cs="Calibri" w:hint="eastAsia"/>
                <w:b/>
                <w:bCs/>
                <w:color w:val="FF0000"/>
                <w:sz w:val="21"/>
                <w:szCs w:val="21"/>
              </w:rPr>
              <w:t>绝对保证</w:t>
            </w:r>
          </w:p>
          <w:p w14:paraId="5AD8FC37"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d）舞弊导致的重大错报未被发现的风险，</w:t>
            </w:r>
            <w:r>
              <w:rPr>
                <w:rFonts w:cs="Calibri" w:hint="eastAsia"/>
                <w:b/>
                <w:bCs/>
                <w:color w:val="FF0000"/>
                <w:sz w:val="21"/>
                <w:szCs w:val="21"/>
              </w:rPr>
              <w:t>大于</w:t>
            </w:r>
            <w:r>
              <w:rPr>
                <w:rFonts w:cs="Calibri" w:hint="eastAsia"/>
                <w:color w:val="333333"/>
                <w:sz w:val="21"/>
                <w:szCs w:val="21"/>
              </w:rPr>
              <w:t>错误导致的重大错报未被发现的风险</w:t>
            </w:r>
          </w:p>
          <w:p w14:paraId="5150BC9F"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e）如果在完成审计工作后发现舞弊导致的财务报表重大错报，并</w:t>
            </w:r>
            <w:r>
              <w:rPr>
                <w:rFonts w:cs="Calibri" w:hint="eastAsia"/>
                <w:b/>
                <w:bCs/>
                <w:color w:val="FF0000"/>
                <w:sz w:val="21"/>
                <w:szCs w:val="21"/>
              </w:rPr>
              <w:t>不必然</w:t>
            </w:r>
            <w:r>
              <w:rPr>
                <w:rFonts w:cs="Calibri" w:hint="eastAsia"/>
                <w:color w:val="333333"/>
                <w:sz w:val="21"/>
                <w:szCs w:val="21"/>
              </w:rPr>
              <w:t>表明注册会计师没有遵守审计准则</w:t>
            </w:r>
          </w:p>
        </w:tc>
      </w:tr>
    </w:tbl>
    <w:p w14:paraId="1FD02092"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0E7E31D2"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单项选择题【2015年真题】</w:t>
      </w:r>
    </w:p>
    <w:p w14:paraId="1A4A0249"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在判断注册会计师是否按照审计准则的规定执行工作以应对舞弊风险时，下列各项中，不需要考虑的是（　　）。</w:t>
      </w:r>
    </w:p>
    <w:p w14:paraId="24465874"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A.注册会计师在审计过程中是否保持了职业怀疑</w:t>
      </w:r>
    </w:p>
    <w:p w14:paraId="39BC1AE1"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B.注册会计师是否识别出舞弊导致的财务报表重大错报</w:t>
      </w:r>
    </w:p>
    <w:p w14:paraId="0060012F"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C.注册会计师是否根据审计证据评价结果出具了恰当的审计报告</w:t>
      </w:r>
    </w:p>
    <w:p w14:paraId="7E1A1A93"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D.注册会计师是否根据具体情况实施了审计程序，并获取了充分、适当的审计证据</w:t>
      </w:r>
    </w:p>
    <w:p w14:paraId="4A7A6394"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[答案]B</w:t>
      </w:r>
    </w:p>
    <w:p w14:paraId="544AF576"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[点评]选项B中，如果在完成审计工作后发现舞弊导致的财务报表重大错报，特别是串通舞弊或伪造文件记录导致的重大错报，</w:t>
      </w:r>
      <w:r>
        <w:rPr>
          <w:rFonts w:cs="Calibri" w:hint="eastAsia"/>
          <w:b/>
          <w:bCs/>
          <w:color w:val="FF0000"/>
          <w:sz w:val="21"/>
          <w:szCs w:val="21"/>
        </w:rPr>
        <w:t>并不必然</w:t>
      </w:r>
      <w:r>
        <w:rPr>
          <w:rFonts w:cs="Calibri" w:hint="eastAsia"/>
          <w:color w:val="3F3F3F"/>
          <w:sz w:val="21"/>
          <w:szCs w:val="21"/>
        </w:rPr>
        <w:t>表明注册会计师没有遵守审计准则。</w:t>
      </w:r>
    </w:p>
    <w:p w14:paraId="5AB7A1C2"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二、风险评估程序和相关活动</w:t>
      </w:r>
    </w:p>
    <w:p w14:paraId="51C56CE9" w14:textId="77777777" w:rsidR="00E24D5D" w:rsidRDefault="00E24D5D" w:rsidP="00E24D5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"http://webupload.admin.dongao.com/biz/handout/img/2019/20190521/20190521093635897001.jpg"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50pt">
            <v:imagedata r:id="rId7" r:href="rId8"/>
          </v:shape>
        </w:pict>
      </w:r>
      <w:r>
        <w:rPr>
          <w:rFonts w:ascii="Calibri" w:eastAsia="微软雅黑" w:hAnsi="Calibri" w:cs="Calibri"/>
          <w:color w:val="3F3F3F"/>
          <w:sz w:val="21"/>
          <w:szCs w:val="21"/>
        </w:rPr>
        <w:fldChar w:fldCharType="end"/>
      </w:r>
    </w:p>
    <w:p w14:paraId="1DF013E4"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1.询问</w:t>
      </w:r>
    </w:p>
    <w:p w14:paraId="1E37E53A"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（1）询问对象</w:t>
      </w:r>
      <w:r>
        <w:rPr>
          <w:rFonts w:cs="Calibri" w:hint="eastAsia"/>
          <w:b/>
          <w:bCs/>
          <w:color w:val="FF0000"/>
          <w:sz w:val="21"/>
          <w:szCs w:val="21"/>
        </w:rPr>
        <w:t>【单选题/综合题考点】</w:t>
      </w:r>
    </w:p>
    <w:p w14:paraId="61619BEA"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a）注册会计师</w:t>
      </w:r>
      <w:r>
        <w:rPr>
          <w:rFonts w:cs="Calibri" w:hint="eastAsia"/>
          <w:b/>
          <w:bCs/>
          <w:color w:val="FF0000"/>
          <w:sz w:val="21"/>
          <w:szCs w:val="21"/>
        </w:rPr>
        <w:t>应当</w:t>
      </w:r>
      <w:r>
        <w:rPr>
          <w:rFonts w:cs="Calibri" w:hint="eastAsia"/>
          <w:color w:val="3F3F3F"/>
          <w:sz w:val="21"/>
          <w:szCs w:val="21"/>
        </w:rPr>
        <w:t>询问</w:t>
      </w:r>
      <w:r>
        <w:rPr>
          <w:rFonts w:cs="Calibri" w:hint="eastAsia"/>
          <w:b/>
          <w:bCs/>
          <w:color w:val="FF0000"/>
          <w:sz w:val="21"/>
          <w:szCs w:val="21"/>
        </w:rPr>
        <w:t>治理层</w:t>
      </w:r>
      <w:r>
        <w:rPr>
          <w:rFonts w:cs="Calibri" w:hint="eastAsia"/>
          <w:color w:val="3F3F3F"/>
          <w:sz w:val="21"/>
          <w:szCs w:val="21"/>
        </w:rPr>
        <w:t>、</w:t>
      </w:r>
      <w:r>
        <w:rPr>
          <w:rFonts w:cs="Calibri" w:hint="eastAsia"/>
          <w:b/>
          <w:bCs/>
          <w:color w:val="FF0000"/>
          <w:sz w:val="21"/>
          <w:szCs w:val="21"/>
        </w:rPr>
        <w:t>管理层</w:t>
      </w:r>
      <w:r>
        <w:rPr>
          <w:rFonts w:cs="Calibri" w:hint="eastAsia"/>
          <w:color w:val="3F3F3F"/>
          <w:sz w:val="21"/>
          <w:szCs w:val="21"/>
        </w:rPr>
        <w:t>、</w:t>
      </w:r>
      <w:r>
        <w:rPr>
          <w:rFonts w:cs="Calibri" w:hint="eastAsia"/>
          <w:b/>
          <w:bCs/>
          <w:color w:val="FF0000"/>
          <w:sz w:val="21"/>
          <w:szCs w:val="21"/>
        </w:rPr>
        <w:t>内部审计人员</w:t>
      </w:r>
      <w:r>
        <w:rPr>
          <w:rFonts w:cs="Calibri" w:hint="eastAsia"/>
          <w:color w:val="3F3F3F"/>
          <w:sz w:val="21"/>
          <w:szCs w:val="21"/>
        </w:rPr>
        <w:t>，以确定其是否知悉任何舞弊事实、舞弊嫌疑或舞弊指控；</w:t>
      </w:r>
    </w:p>
    <w:p w14:paraId="78A74289"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b）注册会计师</w:t>
      </w:r>
      <w:r>
        <w:rPr>
          <w:rFonts w:cs="Calibri" w:hint="eastAsia"/>
          <w:b/>
          <w:bCs/>
          <w:color w:val="FF0000"/>
          <w:sz w:val="21"/>
          <w:szCs w:val="21"/>
        </w:rPr>
        <w:t>还应当</w:t>
      </w:r>
      <w:r>
        <w:rPr>
          <w:rFonts w:cs="Calibri" w:hint="eastAsia"/>
          <w:color w:val="3F3F3F"/>
          <w:sz w:val="21"/>
          <w:szCs w:val="21"/>
        </w:rPr>
        <w:t>询问被审计单位内部的</w:t>
      </w:r>
      <w:r>
        <w:rPr>
          <w:rFonts w:cs="Calibri" w:hint="eastAsia"/>
          <w:b/>
          <w:bCs/>
          <w:color w:val="FF0000"/>
          <w:sz w:val="21"/>
          <w:szCs w:val="21"/>
        </w:rPr>
        <w:t>其他相关人员</w:t>
      </w:r>
      <w:r>
        <w:rPr>
          <w:rFonts w:cs="Calibri" w:hint="eastAsia"/>
          <w:color w:val="3F3F3F"/>
          <w:sz w:val="21"/>
          <w:szCs w:val="21"/>
        </w:rPr>
        <w:t>，如不直接参与财务报告过程的业务人员、拥有不同级别权限的人员、参与生成、处理或记录复杂或异常交易的人员、内部法律顾问、负责道德事务的主管人员和负责处理舞弊指控的人员等。</w:t>
      </w:r>
    </w:p>
    <w:p w14:paraId="43B07C81"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（2）询问内容</w:t>
      </w:r>
    </w:p>
    <w:tbl>
      <w:tblPr>
        <w:tblW w:w="8519" w:type="dxa"/>
        <w:jc w:val="center"/>
        <w:tblCellMar>
          <w:left w:w="0" w:type="dxa"/>
          <w:right w:w="0" w:type="dxa"/>
        </w:tblCellMar>
        <w:tblLook w:val="04A0" w:firstRow="1" w:lastRow="0" w:firstColumn="1" w:lastColumn="0" w:noHBand="0" w:noVBand="1"/>
      </w:tblPr>
      <w:tblGrid>
        <w:gridCol w:w="1544"/>
        <w:gridCol w:w="6975"/>
      </w:tblGrid>
      <w:tr w:rsidR="00E24D5D" w14:paraId="462F4271" w14:textId="77777777" w:rsidTr="00E24D5D">
        <w:trPr>
          <w:trHeight w:val="337"/>
          <w:jc w:val="center"/>
        </w:trPr>
        <w:tc>
          <w:tcPr>
            <w:tcW w:w="15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A528B8"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对象</w:t>
            </w:r>
          </w:p>
        </w:tc>
        <w:tc>
          <w:tcPr>
            <w:tcW w:w="69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F17FC1A"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E24D5D" w14:paraId="70532C77" w14:textId="77777777" w:rsidTr="00E24D5D">
        <w:trPr>
          <w:trHeight w:val="1539"/>
          <w:jc w:val="center"/>
        </w:trPr>
        <w:tc>
          <w:tcPr>
            <w:tcW w:w="154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14D074"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p>
          <w:p w14:paraId="1F8DBF18"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【多选题/综合题考点】</w:t>
            </w:r>
          </w:p>
        </w:tc>
        <w:tc>
          <w:tcPr>
            <w:tcW w:w="6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BE8C41A"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b/>
                <w:bCs/>
                <w:color w:val="FF0000"/>
                <w:sz w:val="21"/>
                <w:szCs w:val="21"/>
              </w:rPr>
              <w:t>管理层</w:t>
            </w:r>
            <w:r>
              <w:rPr>
                <w:rFonts w:cs="Calibri" w:hint="eastAsia"/>
                <w:color w:val="333333"/>
                <w:sz w:val="21"/>
                <w:szCs w:val="21"/>
              </w:rPr>
              <w:t>对财务报表可能存在由于舞弊导致的重大错报风险的</w:t>
            </w:r>
            <w:r>
              <w:rPr>
                <w:rFonts w:cs="Calibri" w:hint="eastAsia"/>
                <w:b/>
                <w:bCs/>
                <w:color w:val="FF0000"/>
                <w:sz w:val="21"/>
                <w:szCs w:val="21"/>
              </w:rPr>
              <w:t>评估</w:t>
            </w:r>
            <w:r>
              <w:rPr>
                <w:rFonts w:cs="Calibri" w:hint="eastAsia"/>
                <w:color w:val="333333"/>
                <w:sz w:val="21"/>
                <w:szCs w:val="21"/>
              </w:rPr>
              <w:t>，包括评估的性质、范围和频率等</w:t>
            </w:r>
          </w:p>
          <w:p w14:paraId="4BB7DEC1"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b）管理层对舞弊风险的</w:t>
            </w:r>
            <w:r>
              <w:rPr>
                <w:rFonts w:cs="Calibri" w:hint="eastAsia"/>
                <w:b/>
                <w:bCs/>
                <w:color w:val="FF0000"/>
                <w:sz w:val="21"/>
                <w:szCs w:val="21"/>
              </w:rPr>
              <w:t>识别和应对过程</w:t>
            </w:r>
            <w:r>
              <w:rPr>
                <w:rFonts w:cs="Calibri" w:hint="eastAsia"/>
                <w:color w:val="333333"/>
                <w:sz w:val="21"/>
                <w:szCs w:val="21"/>
              </w:rPr>
              <w:t>，包括管理层识别出的或注意到的特定舞弊风险，或可能存在舞弊风险的各类交易、账户余额或披露</w:t>
            </w:r>
          </w:p>
          <w:p w14:paraId="67E96CA0"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c）管理层就其对舞弊风险的识别和应对过程</w:t>
            </w:r>
            <w:r>
              <w:rPr>
                <w:rFonts w:cs="Calibri" w:hint="eastAsia"/>
                <w:b/>
                <w:bCs/>
                <w:color w:val="FF0000"/>
                <w:sz w:val="21"/>
                <w:szCs w:val="21"/>
              </w:rPr>
              <w:t>向治理层的通报</w:t>
            </w:r>
          </w:p>
          <w:p w14:paraId="00F92027"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d）管理层就其经营理念和道德观念</w:t>
            </w:r>
            <w:r>
              <w:rPr>
                <w:rFonts w:cs="Calibri" w:hint="eastAsia"/>
                <w:b/>
                <w:bCs/>
                <w:color w:val="FF0000"/>
                <w:sz w:val="21"/>
                <w:szCs w:val="21"/>
              </w:rPr>
              <w:t>向员工的通报</w:t>
            </w:r>
          </w:p>
        </w:tc>
      </w:tr>
    </w:tbl>
    <w:p w14:paraId="41DDC931" w14:textId="77777777" w:rsidR="00E24D5D" w:rsidRPr="00E24D5D" w:rsidRDefault="00E24D5D" w:rsidP="00E24D5D">
      <w:pPr>
        <w:rPr>
          <w:rFonts w:ascii="宋体" w:hAnsi="宋体" w:cs="宋体"/>
          <w:vanish/>
          <w:kern w:val="0"/>
          <w:sz w:val="24"/>
          <w:szCs w:val="24"/>
        </w:rPr>
      </w:pPr>
    </w:p>
    <w:tbl>
      <w:tblPr>
        <w:tblW w:w="8519" w:type="dxa"/>
        <w:jc w:val="center"/>
        <w:tblCellMar>
          <w:left w:w="0" w:type="dxa"/>
          <w:right w:w="0" w:type="dxa"/>
        </w:tblCellMar>
        <w:tblLook w:val="04A0" w:firstRow="1" w:lastRow="0" w:firstColumn="1" w:lastColumn="0" w:noHBand="0" w:noVBand="1"/>
      </w:tblPr>
      <w:tblGrid>
        <w:gridCol w:w="1544"/>
        <w:gridCol w:w="6975"/>
      </w:tblGrid>
      <w:tr w:rsidR="00E24D5D" w14:paraId="1775B1AB" w14:textId="77777777" w:rsidTr="00E24D5D">
        <w:trPr>
          <w:trHeight w:val="250"/>
          <w:jc w:val="center"/>
        </w:trPr>
        <w:tc>
          <w:tcPr>
            <w:tcW w:w="15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7C3AD5"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对象</w:t>
            </w:r>
          </w:p>
        </w:tc>
        <w:tc>
          <w:tcPr>
            <w:tcW w:w="69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CE9FC02"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E24D5D" w14:paraId="23C3468E" w14:textId="77777777" w:rsidTr="00E24D5D">
        <w:trPr>
          <w:trHeight w:val="727"/>
          <w:jc w:val="center"/>
        </w:trPr>
        <w:tc>
          <w:tcPr>
            <w:tcW w:w="154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2DB7E7"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治理层</w:t>
            </w:r>
          </w:p>
        </w:tc>
        <w:tc>
          <w:tcPr>
            <w:tcW w:w="6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F4D70A"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除非治理层全部成员参与管理被审计单位，注册会计师</w:t>
            </w:r>
            <w:r>
              <w:rPr>
                <w:rFonts w:cs="Calibri" w:hint="eastAsia"/>
                <w:b/>
                <w:bCs/>
                <w:color w:val="FF0000"/>
                <w:sz w:val="21"/>
                <w:szCs w:val="21"/>
              </w:rPr>
              <w:t>应当了解</w:t>
            </w:r>
            <w:r>
              <w:rPr>
                <w:rFonts w:cs="Calibri" w:hint="eastAsia"/>
                <w:color w:val="333333"/>
                <w:sz w:val="21"/>
                <w:szCs w:val="21"/>
              </w:rPr>
              <w:t>：</w:t>
            </w:r>
          </w:p>
          <w:p w14:paraId="10EA3E01"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a）治理层如何监督管理层对舞弊风险的识别和应对过程</w:t>
            </w:r>
          </w:p>
          <w:p w14:paraId="055955A7"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b）为降低舞弊风险而建立的内部控制</w:t>
            </w:r>
          </w:p>
          <w:p w14:paraId="4F379E5D"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c）是否知悉任何舞弊事实、舞弊嫌疑或舞弊指控</w:t>
            </w:r>
          </w:p>
        </w:tc>
      </w:tr>
    </w:tbl>
    <w:p w14:paraId="1576773A" w14:textId="77777777" w:rsidR="00E24D5D" w:rsidRDefault="00E24D5D" w:rsidP="00E24D5D">
      <w:pPr>
        <w:shd w:val="clear" w:color="auto" w:fill="FFFFFF"/>
        <w:jc w:val="center"/>
        <w:rPr>
          <w:rFonts w:ascii="微软雅黑" w:eastAsia="微软雅黑" w:hAnsi="微软雅黑"/>
          <w:vanish/>
          <w:color w:val="3F3F3F"/>
          <w:szCs w:val="21"/>
        </w:rPr>
      </w:pPr>
    </w:p>
    <w:tbl>
      <w:tblPr>
        <w:tblW w:w="8519" w:type="dxa"/>
        <w:jc w:val="center"/>
        <w:tblCellMar>
          <w:left w:w="0" w:type="dxa"/>
          <w:right w:w="0" w:type="dxa"/>
        </w:tblCellMar>
        <w:tblLook w:val="04A0" w:firstRow="1" w:lastRow="0" w:firstColumn="1" w:lastColumn="0" w:noHBand="0" w:noVBand="1"/>
      </w:tblPr>
      <w:tblGrid>
        <w:gridCol w:w="1544"/>
        <w:gridCol w:w="6975"/>
      </w:tblGrid>
      <w:tr w:rsidR="00E24D5D" w14:paraId="0B18FF64" w14:textId="77777777" w:rsidTr="00E24D5D">
        <w:trPr>
          <w:trHeight w:val="143"/>
          <w:jc w:val="center"/>
        </w:trPr>
        <w:tc>
          <w:tcPr>
            <w:tcW w:w="15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C8A40A"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对象</w:t>
            </w:r>
          </w:p>
        </w:tc>
        <w:tc>
          <w:tcPr>
            <w:tcW w:w="697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4A07C6"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E24D5D" w14:paraId="33FAC868" w14:textId="77777777" w:rsidTr="00E24D5D">
        <w:trPr>
          <w:trHeight w:val="293"/>
          <w:jc w:val="center"/>
        </w:trPr>
        <w:tc>
          <w:tcPr>
            <w:tcW w:w="154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0A453E"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内部审计人员</w:t>
            </w:r>
          </w:p>
        </w:tc>
        <w:tc>
          <w:tcPr>
            <w:tcW w:w="6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0F31EA"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如果被审计单位设有内部审计，注册会计师</w:t>
            </w:r>
            <w:r>
              <w:rPr>
                <w:rFonts w:cs="Calibri" w:hint="eastAsia"/>
                <w:b/>
                <w:bCs/>
                <w:color w:val="FF0000"/>
                <w:sz w:val="21"/>
                <w:szCs w:val="21"/>
              </w:rPr>
              <w:t>应当询问</w:t>
            </w:r>
            <w:r>
              <w:rPr>
                <w:rFonts w:cs="Calibri" w:hint="eastAsia"/>
                <w:color w:val="333333"/>
                <w:sz w:val="21"/>
                <w:szCs w:val="21"/>
              </w:rPr>
              <w:t>内部审计人员，以确定其是否知悉任何影响被审计单位的舞弊事实、舞弊嫌疑或舞弊指控，并获取这些人员对舞弊风险的看法</w:t>
            </w:r>
          </w:p>
        </w:tc>
      </w:tr>
    </w:tbl>
    <w:p w14:paraId="36E714EC"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A1A8517"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综合题【改编自2013年真题】</w:t>
      </w:r>
    </w:p>
    <w:p w14:paraId="467097A6"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要求：假定不考虑其他条件，指出审计项目组的处理是否存在不当之处。如果存在不当之处，简要说明理由。</w:t>
      </w:r>
    </w:p>
    <w:p w14:paraId="6876A267"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甲公司是一家生产和销售家电产品的上市公司,2012年4月，ABC会计师事务所首次接受委托，审计甲公司2012年度财务报表，委派A注册会计师担任项目合伙人。A注册会计师相关审计计划摘录如下：</w:t>
      </w:r>
    </w:p>
    <w:p w14:paraId="2A414739"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（1）在识别由于舞弊导致的重大错报风险时，拟向管理层询问下列事项：1）管理层对财务报表可能存在由于舞弊导致的重大错报风险的评估；2）管理层对舞弊风险的识别和应对过程。</w:t>
      </w:r>
    </w:p>
    <w:p w14:paraId="25562E93"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（2）考虑到甲公司治理层全部成员参与管理被审计单位，拟不向治理层询问其是否知悉任何舞弊事实、舞弊嫌疑或舞弊指控。</w:t>
      </w:r>
    </w:p>
    <w:p w14:paraId="76458136"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w:t>
      </w:r>
    </w:p>
    <w:tbl>
      <w:tblPr>
        <w:tblW w:w="8510" w:type="dxa"/>
        <w:jc w:val="center"/>
        <w:tblCellMar>
          <w:left w:w="0" w:type="dxa"/>
          <w:right w:w="0" w:type="dxa"/>
        </w:tblCellMar>
        <w:tblLook w:val="04A0" w:firstRow="1" w:lastRow="0" w:firstColumn="1" w:lastColumn="0" w:noHBand="0" w:noVBand="1"/>
      </w:tblPr>
      <w:tblGrid>
        <w:gridCol w:w="941"/>
        <w:gridCol w:w="2489"/>
        <w:gridCol w:w="5080"/>
      </w:tblGrid>
      <w:tr w:rsidR="00E24D5D" w14:paraId="690763FA" w14:textId="77777777" w:rsidTr="00E24D5D">
        <w:trPr>
          <w:trHeight w:val="395"/>
          <w:jc w:val="center"/>
        </w:trPr>
        <w:tc>
          <w:tcPr>
            <w:tcW w:w="94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37ADD37"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序号</w:t>
            </w:r>
          </w:p>
        </w:tc>
        <w:tc>
          <w:tcPr>
            <w:tcW w:w="24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B8576B2"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审计项目组的处理是否存在不当之处（是/否）</w:t>
            </w:r>
          </w:p>
        </w:tc>
        <w:tc>
          <w:tcPr>
            <w:tcW w:w="508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A278433"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理由</w:t>
            </w:r>
          </w:p>
        </w:tc>
      </w:tr>
      <w:tr w:rsidR="00E24D5D" w14:paraId="308AF898" w14:textId="77777777" w:rsidTr="00E24D5D">
        <w:trPr>
          <w:trHeight w:val="905"/>
          <w:jc w:val="center"/>
        </w:trPr>
        <w:tc>
          <w:tcPr>
            <w:tcW w:w="9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936AA6"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w:t>
            </w:r>
          </w:p>
        </w:tc>
        <w:tc>
          <w:tcPr>
            <w:tcW w:w="24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6F53AC"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5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E9C081" w14:textId="77777777" w:rsidR="00E24D5D" w:rsidRDefault="00E24D5D" w:rsidP="00E24D5D">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除询问所述事项外，</w:t>
            </w:r>
            <w:r>
              <w:rPr>
                <w:rFonts w:cs="Calibri" w:hint="eastAsia"/>
                <w:b/>
                <w:bCs/>
                <w:color w:val="FF0000"/>
                <w:sz w:val="21"/>
                <w:szCs w:val="21"/>
              </w:rPr>
              <w:t>还应向</w:t>
            </w:r>
            <w:r>
              <w:rPr>
                <w:rFonts w:cs="Calibri" w:hint="eastAsia"/>
                <w:color w:val="333333"/>
                <w:sz w:val="21"/>
                <w:szCs w:val="21"/>
              </w:rPr>
              <w:t>管理层询问其对舞弊风险的识别和应对过程向治理层的通报情况以及其就经营理念和道德观念向员工的通报情况</w:t>
            </w:r>
          </w:p>
        </w:tc>
      </w:tr>
      <w:tr w:rsidR="00E24D5D" w14:paraId="233AA85C" w14:textId="77777777" w:rsidTr="00E24D5D">
        <w:trPr>
          <w:trHeight w:val="309"/>
          <w:jc w:val="center"/>
        </w:trPr>
        <w:tc>
          <w:tcPr>
            <w:tcW w:w="94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6FAFFD"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w:t>
            </w:r>
          </w:p>
        </w:tc>
        <w:tc>
          <w:tcPr>
            <w:tcW w:w="248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BF75C4"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0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15DFE2"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p>
        </w:tc>
      </w:tr>
    </w:tbl>
    <w:p w14:paraId="1C59A14C"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[点评]</w:t>
      </w:r>
    </w:p>
    <w:p w14:paraId="358DAC37"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此类题型常出现在近些年审计考试的综合题中，题干中通常列明注册会计师的</w:t>
      </w:r>
      <w:r>
        <w:rPr>
          <w:rFonts w:cs="Calibri" w:hint="eastAsia"/>
          <w:b/>
          <w:bCs/>
          <w:color w:val="FF0000"/>
          <w:sz w:val="21"/>
          <w:szCs w:val="21"/>
        </w:rPr>
        <w:t>部分</w:t>
      </w:r>
      <w:r>
        <w:rPr>
          <w:rFonts w:cs="Calibri" w:hint="eastAsia"/>
          <w:color w:val="3F3F3F"/>
          <w:sz w:val="21"/>
          <w:szCs w:val="21"/>
        </w:rPr>
        <w:t>程序，要求同学们指出其欠缺之处并</w:t>
      </w:r>
      <w:r>
        <w:rPr>
          <w:rFonts w:cs="Calibri" w:hint="eastAsia"/>
          <w:b/>
          <w:bCs/>
          <w:color w:val="FF0000"/>
          <w:sz w:val="21"/>
          <w:szCs w:val="21"/>
        </w:rPr>
        <w:t>补写完整</w:t>
      </w:r>
      <w:r>
        <w:rPr>
          <w:rFonts w:cs="Calibri" w:hint="eastAsia"/>
          <w:color w:val="3F3F3F"/>
          <w:sz w:val="21"/>
          <w:szCs w:val="21"/>
        </w:rPr>
        <w:t>。应对此类题目，同学们必须熟悉考题模式并加以记忆。</w:t>
      </w:r>
    </w:p>
    <w:p w14:paraId="17147806"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2.评价舞弊风险因素——“舞弊三角模型”</w:t>
      </w:r>
      <w:r>
        <w:rPr>
          <w:rFonts w:cs="Calibri" w:hint="eastAsia"/>
          <w:b/>
          <w:bCs/>
          <w:color w:val="FF0000"/>
          <w:sz w:val="21"/>
          <w:szCs w:val="21"/>
        </w:rPr>
        <w:t>【多选题必考点】</w:t>
      </w:r>
    </w:p>
    <w:p w14:paraId="074D40F2"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舞弊风险因素存在</w:t>
      </w:r>
      <w:r>
        <w:rPr>
          <w:rFonts w:cs="Calibri" w:hint="eastAsia"/>
          <w:b/>
          <w:bCs/>
          <w:color w:val="FF0000"/>
          <w:sz w:val="21"/>
          <w:szCs w:val="21"/>
        </w:rPr>
        <w:t>不一定</w:t>
      </w:r>
      <w:r>
        <w:rPr>
          <w:rFonts w:cs="Calibri" w:hint="eastAsia"/>
          <w:color w:val="3F3F3F"/>
          <w:sz w:val="21"/>
          <w:szCs w:val="21"/>
        </w:rPr>
        <w:t>表明发生了舞弊，但在舞弊发生时</w:t>
      </w:r>
      <w:r>
        <w:rPr>
          <w:rFonts w:cs="Calibri" w:hint="eastAsia"/>
          <w:b/>
          <w:bCs/>
          <w:color w:val="FF0000"/>
          <w:sz w:val="21"/>
          <w:szCs w:val="21"/>
        </w:rPr>
        <w:t>通常存在</w:t>
      </w:r>
      <w:r>
        <w:rPr>
          <w:rFonts w:cs="Calibri" w:hint="eastAsia"/>
          <w:color w:val="3F3F3F"/>
          <w:sz w:val="21"/>
          <w:szCs w:val="21"/>
        </w:rPr>
        <w:t>舞弊风险因素，包括</w:t>
      </w:r>
      <w:r>
        <w:rPr>
          <w:rFonts w:cs="Calibri" w:hint="eastAsia"/>
          <w:b/>
          <w:bCs/>
          <w:color w:val="FF0000"/>
          <w:sz w:val="21"/>
          <w:szCs w:val="21"/>
        </w:rPr>
        <w:t>动机或压力</w:t>
      </w:r>
      <w:r>
        <w:rPr>
          <w:rFonts w:cs="Calibri" w:hint="eastAsia"/>
          <w:color w:val="3F3F3F"/>
          <w:sz w:val="21"/>
          <w:szCs w:val="21"/>
        </w:rPr>
        <w:t>、</w:t>
      </w:r>
      <w:r>
        <w:rPr>
          <w:rFonts w:cs="Calibri" w:hint="eastAsia"/>
          <w:b/>
          <w:bCs/>
          <w:color w:val="FF0000"/>
          <w:sz w:val="21"/>
          <w:szCs w:val="21"/>
        </w:rPr>
        <w:t>机会</w:t>
      </w:r>
      <w:r>
        <w:rPr>
          <w:rFonts w:cs="Calibri" w:hint="eastAsia"/>
          <w:color w:val="3F3F3F"/>
          <w:sz w:val="21"/>
          <w:szCs w:val="21"/>
        </w:rPr>
        <w:t>、</w:t>
      </w:r>
      <w:r>
        <w:rPr>
          <w:rFonts w:cs="Calibri" w:hint="eastAsia"/>
          <w:b/>
          <w:bCs/>
          <w:color w:val="FF0000"/>
          <w:sz w:val="21"/>
          <w:szCs w:val="21"/>
        </w:rPr>
        <w:t>态度或借口</w:t>
      </w:r>
      <w:r>
        <w:rPr>
          <w:rFonts w:cs="Calibri" w:hint="eastAsia"/>
          <w:color w:val="3F3F3F"/>
          <w:sz w:val="21"/>
          <w:szCs w:val="21"/>
        </w:rPr>
        <w:t>。</w:t>
      </w:r>
    </w:p>
    <w:p w14:paraId="39C13152" w14:textId="77777777" w:rsidR="00E24D5D" w:rsidRDefault="00E24D5D" w:rsidP="00E24D5D">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"http://webupload.admin.dongao.com/biz/handout/img/2019/20190521/20190521093635895002.jpg"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266.25pt;height:151.5pt">
            <v:imagedata r:id="rId9" r:href="rId10"/>
          </v:shape>
        </w:pict>
      </w:r>
      <w:r>
        <w:rPr>
          <w:rFonts w:ascii="Calibri" w:eastAsia="微软雅黑" w:hAnsi="Calibri" w:cs="Calibri"/>
          <w:color w:val="3F3F3F"/>
          <w:sz w:val="21"/>
          <w:szCs w:val="21"/>
        </w:rPr>
        <w:fldChar w:fldCharType="end"/>
      </w:r>
    </w:p>
    <w:p w14:paraId="438DF37A"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7C25D3F" w14:textId="77777777" w:rsidR="00E24D5D" w:rsidRDefault="00E24D5D" w:rsidP="00E24D5D">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单项选择题【2017年真题】</w:t>
      </w:r>
    </w:p>
    <w:p w14:paraId="36801021"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下列各项中，属于舞弊发生的首要条件的是（　　）。</w:t>
      </w:r>
    </w:p>
    <w:p w14:paraId="69F79E73"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A.实施舞弊的动机或压力</w:t>
      </w:r>
    </w:p>
    <w:p w14:paraId="5B868129"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B.治理层和管理层对舞弊行为的态度</w:t>
      </w:r>
    </w:p>
    <w:p w14:paraId="5215E480"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C.实施舞弊的机会</w:t>
      </w:r>
    </w:p>
    <w:p w14:paraId="2CEBDDD7"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D.为舞弊行为寻找借口的能力</w:t>
      </w:r>
    </w:p>
    <w:p w14:paraId="6FAA44B0" w14:textId="77777777" w:rsidR="00E24D5D" w:rsidRDefault="00E24D5D" w:rsidP="00E24D5D">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[答案]A</w:t>
      </w:r>
    </w:p>
    <w:p w14:paraId="721A0DFE"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（1）编制虚假报告——动机或压力</w:t>
      </w:r>
      <w:r>
        <w:rPr>
          <w:rFonts w:cs="Calibri" w:hint="eastAsia"/>
          <w:b/>
          <w:bCs/>
          <w:color w:val="FF0000"/>
          <w:sz w:val="21"/>
          <w:szCs w:val="21"/>
        </w:rPr>
        <w:t>[眼熟]</w:t>
      </w:r>
    </w:p>
    <w:tbl>
      <w:tblPr>
        <w:tblW w:w="0" w:type="auto"/>
        <w:jc w:val="center"/>
        <w:tblCellMar>
          <w:left w:w="0" w:type="dxa"/>
          <w:right w:w="0" w:type="dxa"/>
        </w:tblCellMar>
        <w:tblLook w:val="04A0" w:firstRow="1" w:lastRow="0" w:firstColumn="1" w:lastColumn="0" w:noHBand="0" w:noVBand="1"/>
      </w:tblPr>
      <w:tblGrid>
        <w:gridCol w:w="2850"/>
        <w:gridCol w:w="5664"/>
      </w:tblGrid>
      <w:tr w:rsidR="00E24D5D" w14:paraId="19EF5984" w14:textId="77777777" w:rsidTr="00E24D5D">
        <w:trPr>
          <w:trHeight w:val="20"/>
          <w:jc w:val="center"/>
        </w:trPr>
        <w:tc>
          <w:tcPr>
            <w:tcW w:w="2850"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6C97C56D"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5664"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157DE60E"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0D1E1D94" w14:textId="77777777" w:rsidTr="00E24D5D">
        <w:trPr>
          <w:trHeight w:val="20"/>
          <w:jc w:val="center"/>
        </w:trPr>
        <w:tc>
          <w:tcPr>
            <w:tcW w:w="2850" w:type="dxa"/>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0E49D9CC"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a）财务稳定性或盈利能力受到经济环境、行业状况或被审计单位经营情况的威胁</w:t>
            </w:r>
            <w:r>
              <w:rPr>
                <w:rFonts w:cs="Calibri" w:hint="eastAsia"/>
                <w:b/>
                <w:bCs/>
                <w:color w:val="FF0000"/>
                <w:sz w:val="21"/>
                <w:szCs w:val="21"/>
              </w:rPr>
              <w:t>[内忧外患]</w:t>
            </w: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2352D78"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竞争激烈或市场饱和，且伴随着利润率的下降</w:t>
            </w:r>
            <w:r>
              <w:rPr>
                <w:rFonts w:cs="Calibri" w:hint="eastAsia"/>
                <w:b/>
                <w:bCs/>
                <w:color w:val="FF0000"/>
                <w:sz w:val="21"/>
                <w:szCs w:val="21"/>
              </w:rPr>
              <w:t>（★）</w:t>
            </w:r>
          </w:p>
        </w:tc>
      </w:tr>
      <w:tr w:rsidR="00E24D5D" w14:paraId="3F755E25"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57616718"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EBCE3A0"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难以应对技术变革、产品过时、利率调整等因素的急剧变化</w:t>
            </w:r>
            <w:r>
              <w:rPr>
                <w:rFonts w:cs="Calibri" w:hint="eastAsia"/>
                <w:b/>
                <w:bCs/>
                <w:color w:val="FF0000"/>
                <w:sz w:val="21"/>
                <w:szCs w:val="21"/>
              </w:rPr>
              <w:t>（★）</w:t>
            </w:r>
          </w:p>
        </w:tc>
      </w:tr>
      <w:tr w:rsidR="00E24D5D" w14:paraId="5FEDDE55"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14A9964C"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8F7A7D1"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客户需求大幅下降，所在行业或总体经济环境中经营失败的情况增多</w:t>
            </w:r>
          </w:p>
        </w:tc>
      </w:tr>
      <w:tr w:rsidR="00E24D5D" w14:paraId="064331E9"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437741D0"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5124A7B9"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经营亏损使被审计单位可能破产、丧失抵押品赎回权或遭恶意收购</w:t>
            </w:r>
          </w:p>
        </w:tc>
      </w:tr>
      <w:tr w:rsidR="00E24D5D" w14:paraId="1B9010FD"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5ADE78FB"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23D41E03"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在财务报表显示盈利或利润增长的情况下，经营活动产生的现金流量经常出现负数，或经营活动不能产生现金流入</w:t>
            </w:r>
            <w:r>
              <w:rPr>
                <w:rFonts w:cs="Calibri" w:hint="eastAsia"/>
                <w:b/>
                <w:bCs/>
                <w:color w:val="FF0000"/>
                <w:sz w:val="21"/>
                <w:szCs w:val="21"/>
              </w:rPr>
              <w:t>（★）</w:t>
            </w:r>
          </w:p>
        </w:tc>
      </w:tr>
      <w:tr w:rsidR="00E24D5D" w14:paraId="53E83E65"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00E880B9"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729EDF45"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高速增长或具有异常的盈利能力，特别是在与同行业其他企业相比时</w:t>
            </w:r>
          </w:p>
        </w:tc>
      </w:tr>
      <w:tr w:rsidR="00E24D5D" w14:paraId="1CD97893"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0FAE9677"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37CF0AAE"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新发布的会计准则、法律法规或监管要求</w:t>
            </w:r>
          </w:p>
        </w:tc>
      </w:tr>
    </w:tbl>
    <w:p w14:paraId="5DF35E31" w14:textId="77777777" w:rsidR="00E24D5D" w:rsidRPr="00E24D5D" w:rsidRDefault="00E24D5D" w:rsidP="00E24D5D">
      <w:pPr>
        <w:rPr>
          <w:rFonts w:ascii="宋体" w:hAnsi="宋体" w:cs="宋体"/>
          <w:vanish/>
          <w:kern w:val="0"/>
          <w:sz w:val="24"/>
          <w:szCs w:val="24"/>
        </w:rPr>
      </w:pPr>
    </w:p>
    <w:tbl>
      <w:tblPr>
        <w:tblW w:w="0" w:type="auto"/>
        <w:jc w:val="center"/>
        <w:tblCellMar>
          <w:left w:w="0" w:type="dxa"/>
          <w:right w:w="0" w:type="dxa"/>
        </w:tblCellMar>
        <w:tblLook w:val="04A0" w:firstRow="1" w:lastRow="0" w:firstColumn="1" w:lastColumn="0" w:noHBand="0" w:noVBand="1"/>
      </w:tblPr>
      <w:tblGrid>
        <w:gridCol w:w="2851"/>
        <w:gridCol w:w="15"/>
        <w:gridCol w:w="5655"/>
      </w:tblGrid>
      <w:tr w:rsidR="00E24D5D" w14:paraId="1223F09E" w14:textId="77777777" w:rsidTr="00E24D5D">
        <w:trPr>
          <w:trHeight w:val="20"/>
          <w:jc w:val="center"/>
        </w:trPr>
        <w:tc>
          <w:tcPr>
            <w:tcW w:w="2851"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5C715FE1"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5663" w:type="dxa"/>
            <w:gridSpan w:val="2"/>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04783207"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000F478C" w14:textId="77777777" w:rsidTr="00E24D5D">
        <w:trPr>
          <w:trHeight w:val="20"/>
          <w:jc w:val="center"/>
        </w:trPr>
        <w:tc>
          <w:tcPr>
            <w:tcW w:w="2861" w:type="dxa"/>
            <w:gridSpan w:val="2"/>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07D2881C"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b）管理层为满足第三方要求或预期而承受过度的压力</w:t>
            </w:r>
            <w:r>
              <w:rPr>
                <w:rFonts w:cs="Calibri" w:hint="eastAsia"/>
                <w:b/>
                <w:bCs/>
                <w:color w:val="FF0000"/>
                <w:sz w:val="21"/>
                <w:szCs w:val="21"/>
              </w:rPr>
              <w:t>[不堪重负]</w:t>
            </w:r>
          </w:p>
        </w:tc>
        <w:tc>
          <w:tcPr>
            <w:tcW w:w="5653"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32BC622E"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投资分析师、机构投资者、重要债权人或其他外部人士对盈利能力或增长趋势存在预期（特别是过分激进的或不切实际的预期），包括管理层在过于乐观的新闻报道和年报信息中作出的预期</w:t>
            </w:r>
            <w:r>
              <w:rPr>
                <w:rFonts w:cs="Calibri" w:hint="eastAsia"/>
                <w:b/>
                <w:bCs/>
                <w:color w:val="FF0000"/>
                <w:sz w:val="21"/>
                <w:szCs w:val="21"/>
              </w:rPr>
              <w:t>（★）</w:t>
            </w:r>
          </w:p>
        </w:tc>
      </w:tr>
      <w:tr w:rsidR="00E24D5D" w14:paraId="7F340DF6" w14:textId="77777777" w:rsidTr="00E24D5D">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65386840" w14:textId="77777777" w:rsidR="00E24D5D" w:rsidRDefault="00E24D5D" w:rsidP="00E24D5D">
            <w:pPr>
              <w:rPr>
                <w:rFonts w:eastAsia="微软雅黑" w:cs="Calibri"/>
                <w:color w:val="333333"/>
                <w:szCs w:val="21"/>
              </w:rPr>
            </w:pPr>
          </w:p>
        </w:tc>
        <w:tc>
          <w:tcPr>
            <w:tcW w:w="5653"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0044767"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需要进行额外的举债或权益融资以保持竞争力，包括为重大研发项目或资本性支出融资</w:t>
            </w:r>
            <w:r>
              <w:rPr>
                <w:rFonts w:cs="Calibri" w:hint="eastAsia"/>
                <w:b/>
                <w:bCs/>
                <w:color w:val="FF0000"/>
                <w:sz w:val="21"/>
                <w:szCs w:val="21"/>
              </w:rPr>
              <w:t>（★）</w:t>
            </w:r>
          </w:p>
        </w:tc>
      </w:tr>
      <w:tr w:rsidR="00E24D5D" w14:paraId="37669F99" w14:textId="77777777" w:rsidTr="00E24D5D">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0B088484" w14:textId="77777777" w:rsidR="00E24D5D" w:rsidRDefault="00E24D5D" w:rsidP="00E24D5D">
            <w:pPr>
              <w:rPr>
                <w:rFonts w:eastAsia="微软雅黑" w:cs="Calibri"/>
                <w:color w:val="333333"/>
                <w:szCs w:val="21"/>
              </w:rPr>
            </w:pPr>
          </w:p>
        </w:tc>
        <w:tc>
          <w:tcPr>
            <w:tcW w:w="5653"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60D07007"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满足交易所的上市要求、偿债要求或其他债务合同要求的能力较弱</w:t>
            </w:r>
            <w:r>
              <w:rPr>
                <w:rFonts w:cs="Calibri" w:hint="eastAsia"/>
                <w:b/>
                <w:bCs/>
                <w:color w:val="FF0000"/>
                <w:sz w:val="21"/>
                <w:szCs w:val="21"/>
              </w:rPr>
              <w:t>（★）</w:t>
            </w:r>
          </w:p>
        </w:tc>
      </w:tr>
      <w:tr w:rsidR="00E24D5D" w14:paraId="311B4475" w14:textId="77777777" w:rsidTr="00E24D5D">
        <w:trPr>
          <w:trHeight w:val="20"/>
          <w:jc w:val="center"/>
        </w:trPr>
        <w:tc>
          <w:tcPr>
            <w:tcW w:w="0" w:type="auto"/>
            <w:gridSpan w:val="2"/>
            <w:vMerge/>
            <w:tcBorders>
              <w:top w:val="nil"/>
              <w:left w:val="single" w:sz="8" w:space="0" w:color="auto"/>
              <w:bottom w:val="single" w:sz="8" w:space="0" w:color="auto"/>
              <w:right w:val="single" w:sz="8" w:space="0" w:color="auto"/>
            </w:tcBorders>
            <w:vAlign w:val="center"/>
            <w:hideMark/>
          </w:tcPr>
          <w:p w14:paraId="77058F5D" w14:textId="77777777" w:rsidR="00E24D5D" w:rsidRDefault="00E24D5D" w:rsidP="00E24D5D">
            <w:pPr>
              <w:rPr>
                <w:rFonts w:eastAsia="微软雅黑" w:cs="Calibri"/>
                <w:color w:val="333333"/>
                <w:szCs w:val="21"/>
              </w:rPr>
            </w:pPr>
          </w:p>
        </w:tc>
        <w:tc>
          <w:tcPr>
            <w:tcW w:w="5653"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2B59DA5F"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报告较差财务成果将对正在进行的重大交易（如企业合并或签订合同）产生可察觉的或实际的不利影响</w:t>
            </w:r>
          </w:p>
        </w:tc>
      </w:tr>
      <w:tr w:rsidR="00E24D5D" w14:paraId="014DB6DD" w14:textId="77777777" w:rsidTr="00E24D5D">
        <w:trPr>
          <w:jc w:val="center"/>
        </w:trPr>
        <w:tc>
          <w:tcPr>
            <w:tcW w:w="2850" w:type="dxa"/>
            <w:tcBorders>
              <w:top w:val="nil"/>
              <w:left w:val="nil"/>
              <w:bottom w:val="nil"/>
              <w:right w:val="nil"/>
            </w:tcBorders>
            <w:vAlign w:val="center"/>
            <w:hideMark/>
          </w:tcPr>
          <w:p w14:paraId="7E1DFD17" w14:textId="77777777" w:rsidR="00E24D5D" w:rsidRDefault="00E24D5D" w:rsidP="00E24D5D">
            <w:pPr>
              <w:rPr>
                <w:rFonts w:eastAsia="微软雅黑" w:cs="Calibri"/>
                <w:color w:val="333333"/>
                <w:szCs w:val="21"/>
              </w:rPr>
            </w:pPr>
          </w:p>
        </w:tc>
        <w:tc>
          <w:tcPr>
            <w:tcW w:w="15" w:type="dxa"/>
            <w:tcBorders>
              <w:top w:val="nil"/>
              <w:left w:val="nil"/>
              <w:bottom w:val="nil"/>
              <w:right w:val="nil"/>
            </w:tcBorders>
            <w:vAlign w:val="center"/>
            <w:hideMark/>
          </w:tcPr>
          <w:p w14:paraId="5F834B39" w14:textId="77777777" w:rsidR="00E24D5D" w:rsidRDefault="00E24D5D" w:rsidP="00E24D5D">
            <w:pPr>
              <w:rPr>
                <w:rFonts w:ascii="Times New Roman" w:eastAsia="Times New Roman" w:hAnsi="Times New Roman"/>
                <w:sz w:val="20"/>
                <w:szCs w:val="20"/>
              </w:rPr>
            </w:pPr>
          </w:p>
        </w:tc>
        <w:tc>
          <w:tcPr>
            <w:tcW w:w="5655" w:type="dxa"/>
            <w:tcBorders>
              <w:top w:val="nil"/>
              <w:left w:val="nil"/>
              <w:bottom w:val="nil"/>
              <w:right w:val="nil"/>
            </w:tcBorders>
            <w:vAlign w:val="center"/>
            <w:hideMark/>
          </w:tcPr>
          <w:p w14:paraId="4AE9AAE4" w14:textId="77777777" w:rsidR="00E24D5D" w:rsidRDefault="00E24D5D" w:rsidP="00E24D5D">
            <w:pPr>
              <w:rPr>
                <w:rFonts w:ascii="Times New Roman" w:eastAsia="Times New Roman" w:hAnsi="Times New Roman"/>
                <w:sz w:val="20"/>
                <w:szCs w:val="20"/>
              </w:rPr>
            </w:pPr>
          </w:p>
        </w:tc>
      </w:tr>
    </w:tbl>
    <w:p w14:paraId="1D6CDB15" w14:textId="77777777" w:rsidR="00E24D5D" w:rsidRDefault="00E24D5D" w:rsidP="00E24D5D">
      <w:pPr>
        <w:shd w:val="clear" w:color="auto" w:fill="FFFFFF"/>
        <w:jc w:val="center"/>
        <w:rPr>
          <w:rFonts w:ascii="微软雅黑" w:eastAsia="微软雅黑" w:hAnsi="微软雅黑"/>
          <w:vanish/>
          <w:color w:val="3F3F3F"/>
          <w:szCs w:val="21"/>
        </w:rPr>
      </w:pPr>
    </w:p>
    <w:tbl>
      <w:tblPr>
        <w:tblW w:w="0" w:type="auto"/>
        <w:jc w:val="center"/>
        <w:tblCellMar>
          <w:left w:w="0" w:type="dxa"/>
          <w:right w:w="0" w:type="dxa"/>
        </w:tblCellMar>
        <w:tblLook w:val="04A0" w:firstRow="1" w:lastRow="0" w:firstColumn="1" w:lastColumn="0" w:noHBand="0" w:noVBand="1"/>
      </w:tblPr>
      <w:tblGrid>
        <w:gridCol w:w="2850"/>
        <w:gridCol w:w="5664"/>
      </w:tblGrid>
      <w:tr w:rsidR="00E24D5D" w14:paraId="39CA06B5" w14:textId="77777777" w:rsidTr="00E24D5D">
        <w:trPr>
          <w:trHeight w:val="20"/>
          <w:jc w:val="center"/>
        </w:trPr>
        <w:tc>
          <w:tcPr>
            <w:tcW w:w="2850"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741D8134"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5664"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2AF2A5A9"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0E98531B" w14:textId="77777777" w:rsidTr="00E24D5D">
        <w:trPr>
          <w:trHeight w:val="20"/>
          <w:jc w:val="center"/>
        </w:trPr>
        <w:tc>
          <w:tcPr>
            <w:tcW w:w="2850" w:type="dxa"/>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16701E14"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c）管理层或治理层的个人财务状况受到被审计单位财务业绩的影响</w:t>
            </w:r>
            <w:r>
              <w:rPr>
                <w:rFonts w:cs="Calibri" w:hint="eastAsia"/>
                <w:b/>
                <w:bCs/>
                <w:color w:val="FF0000"/>
                <w:sz w:val="21"/>
                <w:szCs w:val="21"/>
              </w:rPr>
              <w:t>[啖之以利/利诱]</w:t>
            </w: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663EB450"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在被审计单位中拥有重大经济利益</w:t>
            </w:r>
            <w:r>
              <w:rPr>
                <w:rFonts w:cs="Calibri" w:hint="eastAsia"/>
                <w:b/>
                <w:bCs/>
                <w:color w:val="FF0000"/>
                <w:sz w:val="21"/>
                <w:szCs w:val="21"/>
              </w:rPr>
              <w:t>（★）</w:t>
            </w:r>
          </w:p>
        </w:tc>
      </w:tr>
      <w:tr w:rsidR="00E24D5D" w14:paraId="16D90B9C"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04B8F7D2"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707F1EE"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其报酬中有相当一部分（如奖金、股票期权、基于盈利能力的支付计划）取决于被审计单位能否实现激进的目标（如在股价、经营成果、财务状况或现金流量方面）</w:t>
            </w:r>
            <w:r>
              <w:rPr>
                <w:rFonts w:cs="Calibri" w:hint="eastAsia"/>
                <w:b/>
                <w:bCs/>
                <w:color w:val="FF0000"/>
                <w:sz w:val="21"/>
                <w:szCs w:val="21"/>
              </w:rPr>
              <w:t>（★）</w:t>
            </w:r>
          </w:p>
        </w:tc>
      </w:tr>
      <w:tr w:rsidR="00E24D5D" w14:paraId="41BDEAB2"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1F9F127A" w14:textId="77777777" w:rsidR="00E24D5D" w:rsidRDefault="00E24D5D" w:rsidP="00E24D5D">
            <w:pPr>
              <w:rPr>
                <w:rFonts w:eastAsia="微软雅黑" w:cs="Calibri"/>
                <w:color w:val="333333"/>
                <w:szCs w:val="21"/>
              </w:rPr>
            </w:pP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34948BA4"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个人为被审计单位的债务提供了担保</w:t>
            </w:r>
            <w:r>
              <w:rPr>
                <w:rFonts w:cs="Calibri" w:hint="eastAsia"/>
                <w:b/>
                <w:bCs/>
                <w:color w:val="FF0000"/>
                <w:sz w:val="21"/>
                <w:szCs w:val="21"/>
              </w:rPr>
              <w:t>（★）</w:t>
            </w:r>
          </w:p>
        </w:tc>
      </w:tr>
    </w:tbl>
    <w:p w14:paraId="2DE17985" w14:textId="77777777" w:rsidR="00E24D5D" w:rsidRPr="00E24D5D" w:rsidRDefault="00E24D5D" w:rsidP="00E24D5D">
      <w:pPr>
        <w:rPr>
          <w:rFonts w:ascii="宋体" w:hAnsi="宋体" w:cs="宋体"/>
          <w:vanish/>
          <w:kern w:val="0"/>
          <w:sz w:val="24"/>
          <w:szCs w:val="24"/>
        </w:rPr>
      </w:pPr>
    </w:p>
    <w:tbl>
      <w:tblPr>
        <w:tblW w:w="0" w:type="auto"/>
        <w:jc w:val="center"/>
        <w:tblCellMar>
          <w:left w:w="0" w:type="dxa"/>
          <w:right w:w="0" w:type="dxa"/>
        </w:tblCellMar>
        <w:tblLook w:val="04A0" w:firstRow="1" w:lastRow="0" w:firstColumn="1" w:lastColumn="0" w:noHBand="0" w:noVBand="1"/>
      </w:tblPr>
      <w:tblGrid>
        <w:gridCol w:w="2850"/>
        <w:gridCol w:w="5664"/>
      </w:tblGrid>
      <w:tr w:rsidR="00E24D5D" w14:paraId="68EE0590" w14:textId="77777777" w:rsidTr="00E24D5D">
        <w:trPr>
          <w:trHeight w:val="20"/>
          <w:jc w:val="center"/>
        </w:trPr>
        <w:tc>
          <w:tcPr>
            <w:tcW w:w="2850" w:type="dxa"/>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3DFFA867"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5664" w:type="dxa"/>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13EC3D08"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74910DF3" w14:textId="77777777" w:rsidTr="00E24D5D">
        <w:trPr>
          <w:trHeight w:val="20"/>
          <w:jc w:val="center"/>
        </w:trPr>
        <w:tc>
          <w:tcPr>
            <w:tcW w:w="2850" w:type="dxa"/>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0E586538"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d）管理层或经营者受到更高级管理层或治理层对财务或经营指标过高要求的压力</w:t>
            </w:r>
            <w:r>
              <w:rPr>
                <w:rFonts w:cs="Calibri" w:hint="eastAsia"/>
                <w:b/>
                <w:bCs/>
                <w:color w:val="FF0000"/>
                <w:sz w:val="21"/>
                <w:szCs w:val="21"/>
              </w:rPr>
              <w:t>[逼良为娼/威逼]</w:t>
            </w:r>
          </w:p>
        </w:tc>
        <w:tc>
          <w:tcPr>
            <w:tcW w:w="5664" w:type="dxa"/>
            <w:tcBorders>
              <w:top w:val="nil"/>
              <w:left w:val="nil"/>
              <w:bottom w:val="single" w:sz="8" w:space="0" w:color="auto"/>
              <w:right w:val="single" w:sz="8" w:space="0" w:color="auto"/>
            </w:tcBorders>
            <w:tcMar>
              <w:top w:w="15" w:type="dxa"/>
              <w:left w:w="104" w:type="dxa"/>
              <w:bottom w:w="0" w:type="dxa"/>
              <w:right w:w="104" w:type="dxa"/>
            </w:tcMar>
            <w:vAlign w:val="center"/>
            <w:hideMark/>
          </w:tcPr>
          <w:p w14:paraId="702FCB24"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治理层为管理层设定了过高的销售业绩或盈利能力等激励指标</w:t>
            </w:r>
            <w:r>
              <w:rPr>
                <w:rFonts w:cs="Calibri" w:hint="eastAsia"/>
                <w:b/>
                <w:bCs/>
                <w:color w:val="FF0000"/>
                <w:sz w:val="21"/>
                <w:szCs w:val="21"/>
              </w:rPr>
              <w:t>（★）</w:t>
            </w:r>
          </w:p>
        </w:tc>
      </w:tr>
    </w:tbl>
    <w:p w14:paraId="7BD11670" w14:textId="77777777" w:rsidR="00E24D5D" w:rsidRDefault="00E24D5D" w:rsidP="00E24D5D">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000000"/>
          <w:sz w:val="21"/>
          <w:szCs w:val="21"/>
        </w:rPr>
        <w:t>（1）编制虚假报告——机会</w:t>
      </w:r>
      <w:r>
        <w:rPr>
          <w:rFonts w:cs="Calibri" w:hint="eastAsia"/>
          <w:b/>
          <w:bCs/>
          <w:color w:val="FF0000"/>
          <w:sz w:val="21"/>
          <w:szCs w:val="21"/>
        </w:rPr>
        <w:t>[眼熟]</w:t>
      </w:r>
    </w:p>
    <w:tbl>
      <w:tblPr>
        <w:tblW w:w="8505" w:type="dxa"/>
        <w:jc w:val="center"/>
        <w:tblCellMar>
          <w:left w:w="0" w:type="dxa"/>
          <w:right w:w="0" w:type="dxa"/>
        </w:tblCellMar>
        <w:tblLook w:val="04A0" w:firstRow="1" w:lastRow="0" w:firstColumn="1" w:lastColumn="0" w:noHBand="0" w:noVBand="1"/>
      </w:tblPr>
      <w:tblGrid>
        <w:gridCol w:w="2228"/>
        <w:gridCol w:w="6277"/>
      </w:tblGrid>
      <w:tr w:rsidR="00E24D5D" w14:paraId="57C6CB7B" w14:textId="77777777" w:rsidTr="00E24D5D">
        <w:trPr>
          <w:trHeight w:val="20"/>
          <w:jc w:val="center"/>
        </w:trPr>
        <w:tc>
          <w:tcPr>
            <w:tcW w:w="1310" w:type="pct"/>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1F56CDEF"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3690" w:type="pct"/>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60271E6B"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49E6EEA8" w14:textId="77777777" w:rsidTr="00E24D5D">
        <w:trPr>
          <w:trHeight w:val="20"/>
          <w:jc w:val="center"/>
        </w:trPr>
        <w:tc>
          <w:tcPr>
            <w:tcW w:w="1310" w:type="pct"/>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00791B02"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a）被审计单位所在行业或其业务的性质为编制虚假财务报告提供了机会</w:t>
            </w:r>
            <w:r>
              <w:rPr>
                <w:rFonts w:cs="Calibri" w:hint="eastAsia"/>
                <w:b/>
                <w:bCs/>
                <w:color w:val="FF0000"/>
                <w:sz w:val="21"/>
                <w:szCs w:val="21"/>
              </w:rPr>
              <w:t>[有机可乘]</w:t>
            </w: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410DCFBA"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从事超出正常经营过程的重大关联方交易，或者与未经审计或由其他会计师事务所审计的关联企业进行重大交易</w:t>
            </w:r>
            <w:r>
              <w:rPr>
                <w:rFonts w:cs="Calibri" w:hint="eastAsia"/>
                <w:color w:val="FF0000"/>
                <w:sz w:val="21"/>
                <w:szCs w:val="21"/>
              </w:rPr>
              <w:t>（★）</w:t>
            </w:r>
          </w:p>
        </w:tc>
      </w:tr>
      <w:tr w:rsidR="00E24D5D" w14:paraId="41F39101"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3B5E9167"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35FCE540"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被审计单位具有强大的财务实力或能力，使其在特定行业中处于主导地位，能够对与供应商或客户签订的条款或条件作出强制规定，从而可能导致不适当或不公允的交易</w:t>
            </w:r>
          </w:p>
        </w:tc>
      </w:tr>
      <w:tr w:rsidR="00E24D5D" w14:paraId="338EEFD2"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380EBB84"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283C7CDD"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资产、负债、收入或费用建立在重大估计的基础上，这些估计涉及主观判断或不确定性，难以印证</w:t>
            </w:r>
          </w:p>
        </w:tc>
      </w:tr>
      <w:tr w:rsidR="00E24D5D" w14:paraId="7BC86946"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0D931459"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5E8051A1"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从事重大、异常或高度复杂的交易（特别是临近期末发生的复杂交易，对该交易是否按照“实质重于形式”原则处理存在疑问）</w:t>
            </w:r>
            <w:r>
              <w:rPr>
                <w:rFonts w:cs="Calibri" w:hint="eastAsia"/>
                <w:color w:val="FF0000"/>
                <w:sz w:val="21"/>
                <w:szCs w:val="21"/>
              </w:rPr>
              <w:t>（★）</w:t>
            </w:r>
          </w:p>
        </w:tc>
      </w:tr>
      <w:tr w:rsidR="00E24D5D" w14:paraId="41CD0583"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527B8FD3"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694972FB"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在经济环境及文化背景不同的国家或地区从事重大经营或重大跨境经营</w:t>
            </w:r>
          </w:p>
        </w:tc>
      </w:tr>
      <w:tr w:rsidR="00E24D5D" w14:paraId="3518E377"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715955DE"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0B401957"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利用商业中介，而此项安排似乎不具有明确的商业理由</w:t>
            </w:r>
          </w:p>
        </w:tc>
      </w:tr>
      <w:tr w:rsidR="00E24D5D" w14:paraId="64416D0D"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16DB234D"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6FE5F6FE"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在属于“避税天堂”的国家或地区开立重要银行账户或者设立子公司或分公司进行经营，而此类安排似乎不具有明确的商业理由</w:t>
            </w:r>
          </w:p>
        </w:tc>
      </w:tr>
    </w:tbl>
    <w:p w14:paraId="3D017273" w14:textId="77777777" w:rsidR="00E24D5D" w:rsidRPr="00E24D5D" w:rsidRDefault="00E24D5D" w:rsidP="00E24D5D">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2228"/>
        <w:gridCol w:w="6277"/>
      </w:tblGrid>
      <w:tr w:rsidR="00E24D5D" w14:paraId="4B829A5D" w14:textId="77777777" w:rsidTr="00E24D5D">
        <w:trPr>
          <w:trHeight w:val="20"/>
          <w:jc w:val="center"/>
        </w:trPr>
        <w:tc>
          <w:tcPr>
            <w:tcW w:w="1310" w:type="pct"/>
            <w:tcBorders>
              <w:top w:val="single" w:sz="8" w:space="0" w:color="auto"/>
              <w:left w:val="single" w:sz="8" w:space="0" w:color="auto"/>
              <w:bottom w:val="nil"/>
              <w:right w:val="single" w:sz="8" w:space="0" w:color="auto"/>
            </w:tcBorders>
            <w:tcMar>
              <w:top w:w="15" w:type="dxa"/>
              <w:left w:w="104" w:type="dxa"/>
              <w:bottom w:w="0" w:type="dxa"/>
              <w:right w:w="104" w:type="dxa"/>
            </w:tcMar>
            <w:vAlign w:val="center"/>
            <w:hideMark/>
          </w:tcPr>
          <w:p w14:paraId="7B9080BD"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3690" w:type="pct"/>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71A7C021"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6ACEC7F7" w14:textId="77777777" w:rsidTr="00E24D5D">
        <w:trPr>
          <w:trHeight w:val="20"/>
          <w:jc w:val="center"/>
        </w:trPr>
        <w:tc>
          <w:tcPr>
            <w:tcW w:w="1310" w:type="pct"/>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6C68BCAC"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b）组织结构复杂或不稳定</w:t>
            </w:r>
            <w:r>
              <w:rPr>
                <w:rFonts w:cs="Calibri" w:hint="eastAsia"/>
                <w:b/>
                <w:bCs/>
                <w:color w:val="FF0000"/>
                <w:sz w:val="21"/>
                <w:szCs w:val="21"/>
              </w:rPr>
              <w:t>[浑水摸鱼]</w:t>
            </w: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091AF8FD"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难以确定对被审计单位持有控制性权益的组织或个人</w:t>
            </w:r>
          </w:p>
        </w:tc>
      </w:tr>
      <w:tr w:rsidR="00E24D5D" w14:paraId="40789090"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19DA4891"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661EA3A3"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组织结构过于复杂，存在异常的法律实体或管理层级</w:t>
            </w:r>
            <w:r>
              <w:rPr>
                <w:rFonts w:cs="Calibri" w:hint="eastAsia"/>
                <w:color w:val="FF0000"/>
                <w:sz w:val="21"/>
                <w:szCs w:val="21"/>
              </w:rPr>
              <w:t>（★）</w:t>
            </w:r>
          </w:p>
        </w:tc>
      </w:tr>
      <w:tr w:rsidR="00E24D5D" w14:paraId="772E03F4"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6C4EB0D0"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21E206DD"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高级管理人员、法律顾问或治理层频繁更换</w:t>
            </w:r>
            <w:r>
              <w:rPr>
                <w:rFonts w:cs="Calibri" w:hint="eastAsia"/>
                <w:color w:val="FF0000"/>
                <w:sz w:val="21"/>
                <w:szCs w:val="21"/>
              </w:rPr>
              <w:t>（★）</w:t>
            </w:r>
          </w:p>
        </w:tc>
      </w:tr>
    </w:tbl>
    <w:p w14:paraId="3B5AA645" w14:textId="77777777" w:rsidR="00E24D5D" w:rsidRDefault="00E24D5D" w:rsidP="00E24D5D">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2228"/>
        <w:gridCol w:w="6277"/>
      </w:tblGrid>
      <w:tr w:rsidR="00E24D5D" w14:paraId="60658257" w14:textId="77777777" w:rsidTr="00E24D5D">
        <w:trPr>
          <w:trHeight w:val="20"/>
          <w:jc w:val="center"/>
        </w:trPr>
        <w:tc>
          <w:tcPr>
            <w:tcW w:w="1310" w:type="pct"/>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1FA97E02"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3690" w:type="pct"/>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4453DD81"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6B5DAEE8" w14:textId="77777777" w:rsidTr="00E24D5D">
        <w:trPr>
          <w:trHeight w:val="20"/>
          <w:jc w:val="center"/>
        </w:trPr>
        <w:tc>
          <w:tcPr>
            <w:tcW w:w="1310" w:type="pct"/>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314633B3"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c）对管理层的监督失效</w:t>
            </w:r>
            <w:r>
              <w:rPr>
                <w:rFonts w:cs="Calibri" w:hint="eastAsia"/>
                <w:b/>
                <w:bCs/>
                <w:color w:val="FF0000"/>
                <w:sz w:val="21"/>
                <w:szCs w:val="21"/>
              </w:rPr>
              <w:t>[趁虚而入]</w:t>
            </w: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6D3A29AC"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管理层由一人或少数人控制（在非业主管理的实体中），且缺乏补偿性控制</w:t>
            </w:r>
            <w:r>
              <w:rPr>
                <w:rFonts w:cs="Calibri" w:hint="eastAsia"/>
                <w:color w:val="FF0000"/>
                <w:sz w:val="21"/>
                <w:szCs w:val="21"/>
              </w:rPr>
              <w:t>（★）</w:t>
            </w:r>
          </w:p>
        </w:tc>
      </w:tr>
      <w:tr w:rsidR="00E24D5D" w14:paraId="49944269"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040BEB34"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584AD32D"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治理层对财务报告过程和内部控制实施的监督无效</w:t>
            </w:r>
            <w:r>
              <w:rPr>
                <w:rFonts w:cs="Calibri" w:hint="eastAsia"/>
                <w:color w:val="FF0000"/>
                <w:sz w:val="21"/>
                <w:szCs w:val="21"/>
              </w:rPr>
              <w:t>（★）</w:t>
            </w:r>
          </w:p>
        </w:tc>
      </w:tr>
    </w:tbl>
    <w:p w14:paraId="57C4808C" w14:textId="77777777" w:rsidR="00E24D5D" w:rsidRPr="00E24D5D" w:rsidRDefault="00E24D5D" w:rsidP="00E24D5D">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2228"/>
        <w:gridCol w:w="6277"/>
      </w:tblGrid>
      <w:tr w:rsidR="00E24D5D" w14:paraId="72CC61C0" w14:textId="77777777" w:rsidTr="00E24D5D">
        <w:trPr>
          <w:trHeight w:val="20"/>
          <w:jc w:val="center"/>
        </w:trPr>
        <w:tc>
          <w:tcPr>
            <w:tcW w:w="1310" w:type="pct"/>
            <w:tcBorders>
              <w:top w:val="single" w:sz="8" w:space="0" w:color="auto"/>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288462DD"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舞弊风险因素细类</w:t>
            </w:r>
          </w:p>
        </w:tc>
        <w:tc>
          <w:tcPr>
            <w:tcW w:w="3690" w:type="pct"/>
            <w:tcBorders>
              <w:top w:val="single" w:sz="8" w:space="0" w:color="auto"/>
              <w:left w:val="nil"/>
              <w:bottom w:val="single" w:sz="8" w:space="0" w:color="auto"/>
              <w:right w:val="single" w:sz="8" w:space="0" w:color="auto"/>
            </w:tcBorders>
            <w:tcMar>
              <w:top w:w="15" w:type="dxa"/>
              <w:left w:w="104" w:type="dxa"/>
              <w:bottom w:w="0" w:type="dxa"/>
              <w:right w:w="104" w:type="dxa"/>
            </w:tcMar>
            <w:vAlign w:val="center"/>
            <w:hideMark/>
          </w:tcPr>
          <w:p w14:paraId="79D17041" w14:textId="77777777" w:rsidR="00E24D5D" w:rsidRDefault="00E24D5D" w:rsidP="00E24D5D">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000000"/>
                <w:sz w:val="21"/>
                <w:szCs w:val="21"/>
              </w:rPr>
              <w:t>具体示例</w:t>
            </w:r>
          </w:p>
        </w:tc>
      </w:tr>
      <w:tr w:rsidR="00E24D5D" w14:paraId="62CAEBB0" w14:textId="77777777" w:rsidTr="00E24D5D">
        <w:trPr>
          <w:trHeight w:val="20"/>
          <w:jc w:val="center"/>
        </w:trPr>
        <w:tc>
          <w:tcPr>
            <w:tcW w:w="1310" w:type="pct"/>
            <w:vMerge w:val="restart"/>
            <w:tcBorders>
              <w:top w:val="nil"/>
              <w:left w:val="single" w:sz="8" w:space="0" w:color="auto"/>
              <w:bottom w:val="single" w:sz="8" w:space="0" w:color="auto"/>
              <w:right w:val="single" w:sz="8" w:space="0" w:color="auto"/>
            </w:tcBorders>
            <w:tcMar>
              <w:top w:w="15" w:type="dxa"/>
              <w:left w:w="104" w:type="dxa"/>
              <w:bottom w:w="0" w:type="dxa"/>
              <w:right w:w="104" w:type="dxa"/>
            </w:tcMar>
            <w:vAlign w:val="center"/>
            <w:hideMark/>
          </w:tcPr>
          <w:p w14:paraId="25CEF192"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d）内部控制要素存在缺陷</w:t>
            </w:r>
            <w:r>
              <w:rPr>
                <w:rFonts w:cs="Calibri" w:hint="eastAsia"/>
                <w:b/>
                <w:bCs/>
                <w:color w:val="FF0000"/>
                <w:sz w:val="21"/>
                <w:szCs w:val="21"/>
              </w:rPr>
              <w:t>[趁火打劫]</w:t>
            </w: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0F163A65"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对控制的监督不充分，包括自动化控制以及针对中期财务报告（如要求对外报告）的控制</w:t>
            </w:r>
          </w:p>
        </w:tc>
      </w:tr>
      <w:tr w:rsidR="00E24D5D" w14:paraId="43F915F8"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1DC0A538"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028F0680"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由于会计人员、内部审计人员或信息技术人员不能胜任而频繁更换</w:t>
            </w:r>
            <w:r>
              <w:rPr>
                <w:rFonts w:cs="Calibri" w:hint="eastAsia"/>
                <w:color w:val="FF0000"/>
                <w:sz w:val="21"/>
                <w:szCs w:val="21"/>
              </w:rPr>
              <w:t>（★）</w:t>
            </w:r>
          </w:p>
        </w:tc>
      </w:tr>
      <w:tr w:rsidR="00E24D5D" w14:paraId="2CDF6401" w14:textId="77777777" w:rsidTr="00E24D5D">
        <w:trPr>
          <w:trHeight w:val="20"/>
          <w:jc w:val="center"/>
        </w:trPr>
        <w:tc>
          <w:tcPr>
            <w:tcW w:w="0" w:type="auto"/>
            <w:vMerge/>
            <w:tcBorders>
              <w:top w:val="nil"/>
              <w:left w:val="single" w:sz="8" w:space="0" w:color="auto"/>
              <w:bottom w:val="single" w:sz="8" w:space="0" w:color="auto"/>
              <w:right w:val="single" w:sz="8" w:space="0" w:color="auto"/>
            </w:tcBorders>
            <w:vAlign w:val="center"/>
            <w:hideMark/>
          </w:tcPr>
          <w:p w14:paraId="45CCB126" w14:textId="77777777" w:rsidR="00E24D5D" w:rsidRDefault="00E24D5D" w:rsidP="00E24D5D">
            <w:pPr>
              <w:rPr>
                <w:rFonts w:eastAsia="微软雅黑" w:cs="Calibri"/>
                <w:color w:val="333333"/>
                <w:szCs w:val="21"/>
              </w:rPr>
            </w:pPr>
          </w:p>
        </w:tc>
        <w:tc>
          <w:tcPr>
            <w:tcW w:w="3690" w:type="pct"/>
            <w:tcBorders>
              <w:top w:val="nil"/>
              <w:left w:val="nil"/>
              <w:bottom w:val="single" w:sz="8" w:space="0" w:color="auto"/>
              <w:right w:val="single" w:sz="8" w:space="0" w:color="auto"/>
            </w:tcBorders>
            <w:tcMar>
              <w:top w:w="15" w:type="dxa"/>
              <w:left w:w="104" w:type="dxa"/>
              <w:bottom w:w="0" w:type="dxa"/>
              <w:right w:w="104" w:type="dxa"/>
            </w:tcMar>
            <w:vAlign w:val="center"/>
            <w:hideMark/>
          </w:tcPr>
          <w:p w14:paraId="58B4D86B" w14:textId="77777777" w:rsidR="00E24D5D" w:rsidRDefault="00E24D5D" w:rsidP="00E24D5D">
            <w:pPr>
              <w:pStyle w:val="aa"/>
              <w:spacing w:before="0" w:beforeAutospacing="0" w:after="0" w:afterAutospacing="0"/>
              <w:jc w:val="both"/>
              <w:rPr>
                <w:rFonts w:ascii="Calibri" w:eastAsia="微软雅黑" w:hAnsi="Calibri" w:cs="Calibri"/>
                <w:color w:val="333333"/>
                <w:sz w:val="21"/>
                <w:szCs w:val="21"/>
              </w:rPr>
            </w:pPr>
            <w:r>
              <w:rPr>
                <w:rFonts w:cs="Calibri" w:hint="eastAsia"/>
                <w:color w:val="000000"/>
                <w:sz w:val="21"/>
                <w:szCs w:val="21"/>
              </w:rPr>
              <w:t>会计系统和信息系统无效，包括内部控制存在值得关注的缺陷的情况</w:t>
            </w:r>
            <w:r>
              <w:rPr>
                <w:rFonts w:cs="Calibri" w:hint="eastAsia"/>
                <w:color w:val="FF0000"/>
                <w:sz w:val="21"/>
                <w:szCs w:val="21"/>
              </w:rPr>
              <w:t>（★）</w:t>
            </w:r>
          </w:p>
        </w:tc>
      </w:tr>
    </w:tbl>
    <w:p w14:paraId="110C39C1" w14:textId="77777777" w:rsidR="00E24D5D" w:rsidRDefault="00E24D5D" w:rsidP="00E24D5D">
      <w:pPr>
        <w:shd w:val="clear" w:color="auto" w:fill="FFFFFF"/>
        <w:rPr>
          <w:rFonts w:ascii="微软雅黑" w:eastAsia="微软雅黑" w:hAnsi="微软雅黑" w:cs="宋体"/>
          <w:color w:val="3F3F3F"/>
          <w:szCs w:val="21"/>
        </w:rPr>
      </w:pPr>
    </w:p>
    <w:p w14:paraId="1D106E38" w14:textId="77777777" w:rsidR="00271D8C" w:rsidRPr="00E24D5D" w:rsidRDefault="00271D8C" w:rsidP="00E24D5D">
      <w:pPr>
        <w:rPr>
          <w:rFonts w:hint="eastAsia"/>
        </w:rPr>
      </w:pPr>
    </w:p>
    <w:sectPr w:rsidR="00271D8C" w:rsidRPr="00E24D5D"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88ACD" w14:textId="77777777" w:rsidR="00A1573F" w:rsidRDefault="00A1573F" w:rsidP="00CD53C5">
      <w:r>
        <w:separator/>
      </w:r>
    </w:p>
  </w:endnote>
  <w:endnote w:type="continuationSeparator" w:id="0">
    <w:p w14:paraId="07D2BA7F" w14:textId="77777777" w:rsidR="00A1573F" w:rsidRDefault="00A1573F"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11713433" w14:textId="77777777" w:rsidTr="007B0BFD">
      <w:trPr>
        <w:trHeight w:val="274"/>
      </w:trPr>
      <w:tc>
        <w:tcPr>
          <w:tcW w:w="2050" w:type="dxa"/>
          <w:shd w:val="clear" w:color="auto" w:fill="auto"/>
          <w:vAlign w:val="center"/>
        </w:tcPr>
        <w:p w14:paraId="0CC72F0D"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5064B6F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2CB6F14"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3EEC4B83"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610A4D" w14:textId="77777777" w:rsidR="00A1573F" w:rsidRDefault="00A1573F" w:rsidP="00CD53C5">
      <w:r>
        <w:separator/>
      </w:r>
    </w:p>
  </w:footnote>
  <w:footnote w:type="continuationSeparator" w:id="0">
    <w:p w14:paraId="5DFCFFE5" w14:textId="77777777" w:rsidR="00A1573F" w:rsidRDefault="00A1573F"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56B9515" w14:textId="77777777" w:rsidTr="007B0BFD">
      <w:trPr>
        <w:trHeight w:val="501"/>
      </w:trPr>
      <w:tc>
        <w:tcPr>
          <w:tcW w:w="4272" w:type="dxa"/>
          <w:shd w:val="clear" w:color="auto" w:fill="auto"/>
          <w:vAlign w:val="center"/>
        </w:tcPr>
        <w:p w14:paraId="2BB734BD" w14:textId="77777777" w:rsidR="001545C6" w:rsidRPr="001F62DD" w:rsidRDefault="00E24D5D"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2E6F0DA7" w14:textId="77777777" w:rsidR="001545C6" w:rsidRPr="004D61E7" w:rsidRDefault="00E24D5D"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第十三章</w:t>
          </w:r>
          <w:r>
            <w:rPr>
              <w:rFonts w:ascii="微软雅黑" w:eastAsia="微软雅黑" w:hAnsi="微软雅黑"/>
              <w:sz w:val="24"/>
              <w:szCs w:val="24"/>
            </w:rPr>
            <w:t>+对舞弊和法律法规的考虑</w:t>
          </w:r>
        </w:p>
      </w:tc>
    </w:tr>
  </w:tbl>
  <w:p w14:paraId="3B434987"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D6589"/>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1573F"/>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4D5D"/>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003D7E7"/>
  <w15:docId w15:val="{5DDC5AED-FB40-436E-A6F2-B15973BF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475293522">
      <w:bodyDiv w:val="1"/>
      <w:marLeft w:val="0"/>
      <w:marRight w:val="0"/>
      <w:marTop w:val="0"/>
      <w:marBottom w:val="0"/>
      <w:divBdr>
        <w:top w:val="none" w:sz="0" w:space="0" w:color="auto"/>
        <w:left w:val="none" w:sz="0" w:space="0" w:color="auto"/>
        <w:bottom w:val="none" w:sz="0" w:space="0" w:color="auto"/>
        <w:right w:val="none" w:sz="0" w:space="0" w:color="auto"/>
      </w:divBdr>
      <w:divsChild>
        <w:div w:id="139736330">
          <w:marLeft w:val="0"/>
          <w:marRight w:val="0"/>
          <w:marTop w:val="0"/>
          <w:marBottom w:val="0"/>
          <w:divBdr>
            <w:top w:val="none" w:sz="0" w:space="0" w:color="auto"/>
            <w:left w:val="none" w:sz="0" w:space="0" w:color="auto"/>
            <w:bottom w:val="none" w:sz="0" w:space="0" w:color="auto"/>
            <w:right w:val="none" w:sz="0" w:space="0" w:color="auto"/>
          </w:divBdr>
          <w:divsChild>
            <w:div w:id="138881950">
              <w:marLeft w:val="0"/>
              <w:marRight w:val="0"/>
              <w:marTop w:val="0"/>
              <w:marBottom w:val="0"/>
              <w:divBdr>
                <w:top w:val="none" w:sz="0" w:space="0" w:color="auto"/>
                <w:left w:val="none" w:sz="0" w:space="0" w:color="auto"/>
                <w:bottom w:val="none" w:sz="0" w:space="0" w:color="auto"/>
                <w:right w:val="none" w:sz="0" w:space="0" w:color="auto"/>
              </w:divBdr>
            </w:div>
            <w:div w:id="258762458">
              <w:marLeft w:val="0"/>
              <w:marRight w:val="0"/>
              <w:marTop w:val="0"/>
              <w:marBottom w:val="0"/>
              <w:divBdr>
                <w:top w:val="none" w:sz="0" w:space="0" w:color="auto"/>
                <w:left w:val="none" w:sz="0" w:space="0" w:color="auto"/>
                <w:bottom w:val="none" w:sz="0" w:space="0" w:color="auto"/>
                <w:right w:val="none" w:sz="0" w:space="0" w:color="auto"/>
              </w:divBdr>
            </w:div>
            <w:div w:id="400445428">
              <w:marLeft w:val="0"/>
              <w:marRight w:val="0"/>
              <w:marTop w:val="0"/>
              <w:marBottom w:val="0"/>
              <w:divBdr>
                <w:top w:val="none" w:sz="0" w:space="0" w:color="auto"/>
                <w:left w:val="none" w:sz="0" w:space="0" w:color="auto"/>
                <w:bottom w:val="none" w:sz="0" w:space="0" w:color="auto"/>
                <w:right w:val="none" w:sz="0" w:space="0" w:color="auto"/>
              </w:divBdr>
            </w:div>
            <w:div w:id="750929147">
              <w:marLeft w:val="0"/>
              <w:marRight w:val="0"/>
              <w:marTop w:val="0"/>
              <w:marBottom w:val="0"/>
              <w:divBdr>
                <w:top w:val="none" w:sz="0" w:space="0" w:color="auto"/>
                <w:left w:val="none" w:sz="0" w:space="0" w:color="auto"/>
                <w:bottom w:val="none" w:sz="0" w:space="0" w:color="auto"/>
                <w:right w:val="none" w:sz="0" w:space="0" w:color="auto"/>
              </w:divBdr>
            </w:div>
            <w:div w:id="789512641">
              <w:marLeft w:val="0"/>
              <w:marRight w:val="0"/>
              <w:marTop w:val="0"/>
              <w:marBottom w:val="0"/>
              <w:divBdr>
                <w:top w:val="none" w:sz="0" w:space="0" w:color="auto"/>
                <w:left w:val="none" w:sz="0" w:space="0" w:color="auto"/>
                <w:bottom w:val="none" w:sz="0" w:space="0" w:color="auto"/>
                <w:right w:val="none" w:sz="0" w:space="0" w:color="auto"/>
              </w:divBdr>
            </w:div>
            <w:div w:id="862866687">
              <w:marLeft w:val="0"/>
              <w:marRight w:val="0"/>
              <w:marTop w:val="0"/>
              <w:marBottom w:val="0"/>
              <w:divBdr>
                <w:top w:val="none" w:sz="0" w:space="0" w:color="auto"/>
                <w:left w:val="none" w:sz="0" w:space="0" w:color="auto"/>
                <w:bottom w:val="none" w:sz="0" w:space="0" w:color="auto"/>
                <w:right w:val="none" w:sz="0" w:space="0" w:color="auto"/>
              </w:divBdr>
            </w:div>
            <w:div w:id="973104057">
              <w:marLeft w:val="0"/>
              <w:marRight w:val="0"/>
              <w:marTop w:val="0"/>
              <w:marBottom w:val="0"/>
              <w:divBdr>
                <w:top w:val="none" w:sz="0" w:space="0" w:color="auto"/>
                <w:left w:val="none" w:sz="0" w:space="0" w:color="auto"/>
                <w:bottom w:val="none" w:sz="0" w:space="0" w:color="auto"/>
                <w:right w:val="none" w:sz="0" w:space="0" w:color="auto"/>
              </w:divBdr>
            </w:div>
            <w:div w:id="1183085555">
              <w:marLeft w:val="0"/>
              <w:marRight w:val="0"/>
              <w:marTop w:val="0"/>
              <w:marBottom w:val="0"/>
              <w:divBdr>
                <w:top w:val="none" w:sz="0" w:space="0" w:color="auto"/>
                <w:left w:val="none" w:sz="0" w:space="0" w:color="auto"/>
                <w:bottom w:val="none" w:sz="0" w:space="0" w:color="auto"/>
                <w:right w:val="none" w:sz="0" w:space="0" w:color="auto"/>
              </w:divBdr>
            </w:div>
            <w:div w:id="1422146160">
              <w:marLeft w:val="0"/>
              <w:marRight w:val="0"/>
              <w:marTop w:val="0"/>
              <w:marBottom w:val="0"/>
              <w:divBdr>
                <w:top w:val="none" w:sz="0" w:space="0" w:color="auto"/>
                <w:left w:val="none" w:sz="0" w:space="0" w:color="auto"/>
                <w:bottom w:val="none" w:sz="0" w:space="0" w:color="auto"/>
                <w:right w:val="none" w:sz="0" w:space="0" w:color="auto"/>
              </w:divBdr>
            </w:div>
            <w:div w:id="1473474902">
              <w:marLeft w:val="0"/>
              <w:marRight w:val="0"/>
              <w:marTop w:val="0"/>
              <w:marBottom w:val="0"/>
              <w:divBdr>
                <w:top w:val="none" w:sz="0" w:space="0" w:color="auto"/>
                <w:left w:val="none" w:sz="0" w:space="0" w:color="auto"/>
                <w:bottom w:val="none" w:sz="0" w:space="0" w:color="auto"/>
                <w:right w:val="none" w:sz="0" w:space="0" w:color="auto"/>
              </w:divBdr>
            </w:div>
            <w:div w:id="1601638806">
              <w:marLeft w:val="0"/>
              <w:marRight w:val="0"/>
              <w:marTop w:val="0"/>
              <w:marBottom w:val="0"/>
              <w:divBdr>
                <w:top w:val="none" w:sz="0" w:space="0" w:color="auto"/>
                <w:left w:val="none" w:sz="0" w:space="0" w:color="auto"/>
                <w:bottom w:val="none" w:sz="0" w:space="0" w:color="auto"/>
                <w:right w:val="none" w:sz="0" w:space="0" w:color="auto"/>
              </w:divBdr>
            </w:div>
            <w:div w:id="1615406475">
              <w:marLeft w:val="0"/>
              <w:marRight w:val="0"/>
              <w:marTop w:val="0"/>
              <w:marBottom w:val="0"/>
              <w:divBdr>
                <w:top w:val="none" w:sz="0" w:space="0" w:color="auto"/>
                <w:left w:val="none" w:sz="0" w:space="0" w:color="auto"/>
                <w:bottom w:val="none" w:sz="0" w:space="0" w:color="auto"/>
                <w:right w:val="none" w:sz="0" w:space="0" w:color="auto"/>
              </w:divBdr>
            </w:div>
            <w:div w:id="1641883223">
              <w:marLeft w:val="0"/>
              <w:marRight w:val="0"/>
              <w:marTop w:val="0"/>
              <w:marBottom w:val="0"/>
              <w:divBdr>
                <w:top w:val="none" w:sz="0" w:space="0" w:color="auto"/>
                <w:left w:val="none" w:sz="0" w:space="0" w:color="auto"/>
                <w:bottom w:val="none" w:sz="0" w:space="0" w:color="auto"/>
                <w:right w:val="none" w:sz="0" w:space="0" w:color="auto"/>
              </w:divBdr>
            </w:div>
            <w:div w:id="1768038736">
              <w:marLeft w:val="0"/>
              <w:marRight w:val="0"/>
              <w:marTop w:val="0"/>
              <w:marBottom w:val="0"/>
              <w:divBdr>
                <w:top w:val="none" w:sz="0" w:space="0" w:color="auto"/>
                <w:left w:val="none" w:sz="0" w:space="0" w:color="auto"/>
                <w:bottom w:val="none" w:sz="0" w:space="0" w:color="auto"/>
                <w:right w:val="none" w:sz="0" w:space="0" w:color="auto"/>
              </w:divBdr>
            </w:div>
            <w:div w:id="1809014402">
              <w:marLeft w:val="0"/>
              <w:marRight w:val="0"/>
              <w:marTop w:val="0"/>
              <w:marBottom w:val="0"/>
              <w:divBdr>
                <w:top w:val="none" w:sz="0" w:space="0" w:color="auto"/>
                <w:left w:val="none" w:sz="0" w:space="0" w:color="auto"/>
                <w:bottom w:val="none" w:sz="0" w:space="0" w:color="auto"/>
                <w:right w:val="none" w:sz="0" w:space="0" w:color="auto"/>
              </w:divBdr>
            </w:div>
            <w:div w:id="1891065030">
              <w:marLeft w:val="0"/>
              <w:marRight w:val="0"/>
              <w:marTop w:val="0"/>
              <w:marBottom w:val="0"/>
              <w:divBdr>
                <w:top w:val="none" w:sz="0" w:space="0" w:color="auto"/>
                <w:left w:val="none" w:sz="0" w:space="0" w:color="auto"/>
                <w:bottom w:val="none" w:sz="0" w:space="0" w:color="auto"/>
                <w:right w:val="none" w:sz="0" w:space="0" w:color="auto"/>
              </w:divBdr>
            </w:div>
            <w:div w:id="1922829282">
              <w:marLeft w:val="0"/>
              <w:marRight w:val="0"/>
              <w:marTop w:val="0"/>
              <w:marBottom w:val="0"/>
              <w:divBdr>
                <w:top w:val="none" w:sz="0" w:space="0" w:color="auto"/>
                <w:left w:val="none" w:sz="0" w:space="0" w:color="auto"/>
                <w:bottom w:val="none" w:sz="0" w:space="0" w:color="auto"/>
                <w:right w:val="none" w:sz="0" w:space="0" w:color="auto"/>
              </w:divBdr>
            </w:div>
            <w:div w:id="19788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21/20190521093635897001.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521/20190521093635895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9F607-7192-4300-BC82-E46042321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