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5005D" w14:textId="77777777" w:rsidR="0024032E" w:rsidRDefault="0024032E" w:rsidP="0024032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第十三章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对舞弊和法律法规的考虑</w:t>
      </w:r>
    </w:p>
    <w:p w14:paraId="390BCAF9" w14:textId="77777777" w:rsidR="0024032E" w:rsidRDefault="0024032E" w:rsidP="0024032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财务报表审计中与舞弊相关的责任</w:t>
      </w:r>
    </w:p>
    <w:p w14:paraId="14768E79"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二、风险评估程序和相关活动</w:t>
      </w:r>
    </w:p>
    <w:p w14:paraId="23446D88" w14:textId="77777777" w:rsidR="0024032E" w:rsidRDefault="0024032E" w:rsidP="0024032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（1）编制虚假报告——态度或借口</w:t>
      </w:r>
      <w:r>
        <w:rPr>
          <w:rFonts w:cs="Calibri" w:hint="eastAsia"/>
          <w:b/>
          <w:bCs/>
          <w:color w:val="FF0000"/>
          <w:sz w:val="21"/>
          <w:szCs w:val="21"/>
        </w:rPr>
        <w:t>【眼熟】</w:t>
      </w:r>
    </w:p>
    <w:tbl>
      <w:tblPr>
        <w:tblW w:w="8505" w:type="dxa"/>
        <w:jc w:val="center"/>
        <w:tblCellMar>
          <w:left w:w="0" w:type="dxa"/>
          <w:right w:w="0" w:type="dxa"/>
        </w:tblCellMar>
        <w:tblLook w:val="04A0" w:firstRow="1" w:lastRow="0" w:firstColumn="1" w:lastColumn="0" w:noHBand="0" w:noVBand="1"/>
      </w:tblPr>
      <w:tblGrid>
        <w:gridCol w:w="3539"/>
        <w:gridCol w:w="4966"/>
      </w:tblGrid>
      <w:tr w:rsidR="0024032E" w14:paraId="1747D273" w14:textId="77777777" w:rsidTr="0024032E">
        <w:trPr>
          <w:trHeight w:val="457"/>
          <w:jc w:val="center"/>
        </w:trPr>
        <w:tc>
          <w:tcPr>
            <w:tcW w:w="35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2ACF61" w14:textId="77777777" w:rsidR="0024032E" w:rsidRDefault="0024032E" w:rsidP="0024032E">
            <w:pPr>
              <w:pStyle w:val="aa"/>
              <w:tabs>
                <w:tab w:val="bar" w:pos="5880"/>
              </w:tabs>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舞弊风险因素细类</w:t>
            </w:r>
          </w:p>
        </w:tc>
        <w:tc>
          <w:tcPr>
            <w:tcW w:w="49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626EF6" w14:textId="77777777" w:rsidR="0024032E" w:rsidRDefault="0024032E" w:rsidP="0024032E">
            <w:pPr>
              <w:pStyle w:val="aa"/>
              <w:tabs>
                <w:tab w:val="bar" w:pos="5880"/>
              </w:tabs>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具体示例</w:t>
            </w:r>
          </w:p>
        </w:tc>
      </w:tr>
      <w:tr w:rsidR="0024032E" w14:paraId="6FBBBA68" w14:textId="77777777" w:rsidTr="0024032E">
        <w:trPr>
          <w:trHeight w:val="1027"/>
          <w:jc w:val="center"/>
        </w:trPr>
        <w:tc>
          <w:tcPr>
            <w:tcW w:w="3539"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613BA7"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a）管理层态度不端或缺乏诚信</w:t>
            </w:r>
            <w:r>
              <w:rPr>
                <w:rFonts w:cs="Calibri" w:hint="eastAsia"/>
                <w:b/>
                <w:bCs/>
                <w:color w:val="FF0000"/>
                <w:sz w:val="21"/>
                <w:szCs w:val="21"/>
              </w:rPr>
              <w:t>【背信弃义】</w:t>
            </w: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3A4025"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管理层未能有效地传递、执行、支持或贯彻被审计单位的价值观或道德标准，或传递了不适当的价值观或道德标准</w:t>
            </w:r>
          </w:p>
        </w:tc>
      </w:tr>
      <w:tr w:rsidR="0024032E" w14:paraId="5A600F2F" w14:textId="77777777" w:rsidTr="0024032E">
        <w:trPr>
          <w:trHeight w:val="842"/>
          <w:jc w:val="center"/>
        </w:trPr>
        <w:tc>
          <w:tcPr>
            <w:tcW w:w="0" w:type="auto"/>
            <w:vMerge/>
            <w:tcBorders>
              <w:top w:val="nil"/>
              <w:left w:val="single" w:sz="8" w:space="0" w:color="auto"/>
              <w:bottom w:val="single" w:sz="8" w:space="0" w:color="auto"/>
              <w:right w:val="single" w:sz="8" w:space="0" w:color="auto"/>
            </w:tcBorders>
            <w:vAlign w:val="center"/>
            <w:hideMark/>
          </w:tcPr>
          <w:p w14:paraId="0FEB285D"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781F92"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非财务管理人员过度参与或过于关注会计政策的选择或重大会计估计的确定</w:t>
            </w:r>
            <w:r>
              <w:rPr>
                <w:rFonts w:cs="Calibri" w:hint="eastAsia"/>
                <w:b/>
                <w:bCs/>
                <w:color w:val="FF0000"/>
                <w:sz w:val="21"/>
                <w:szCs w:val="21"/>
              </w:rPr>
              <w:t>（★）</w:t>
            </w:r>
          </w:p>
        </w:tc>
      </w:tr>
      <w:tr w:rsidR="0024032E" w14:paraId="5EB457D5" w14:textId="77777777" w:rsidTr="0024032E">
        <w:trPr>
          <w:trHeight w:val="967"/>
          <w:jc w:val="center"/>
        </w:trPr>
        <w:tc>
          <w:tcPr>
            <w:tcW w:w="0" w:type="auto"/>
            <w:vMerge/>
            <w:tcBorders>
              <w:top w:val="nil"/>
              <w:left w:val="single" w:sz="8" w:space="0" w:color="auto"/>
              <w:bottom w:val="single" w:sz="8" w:space="0" w:color="auto"/>
              <w:right w:val="single" w:sz="8" w:space="0" w:color="auto"/>
            </w:tcBorders>
            <w:vAlign w:val="center"/>
            <w:hideMark/>
          </w:tcPr>
          <w:p w14:paraId="32337489"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0A8C46"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被审计单位、高级管理人员或治理层存在违反证券法或其他法律法规的历史记录，或由于舞弊或违反法律法规而被指控</w:t>
            </w:r>
          </w:p>
        </w:tc>
      </w:tr>
      <w:tr w:rsidR="0024032E" w14:paraId="2D5E70CA" w14:textId="77777777" w:rsidTr="0024032E">
        <w:trPr>
          <w:trHeight w:val="570"/>
          <w:jc w:val="center"/>
        </w:trPr>
        <w:tc>
          <w:tcPr>
            <w:tcW w:w="0" w:type="auto"/>
            <w:vMerge/>
            <w:tcBorders>
              <w:top w:val="nil"/>
              <w:left w:val="single" w:sz="8" w:space="0" w:color="auto"/>
              <w:bottom w:val="single" w:sz="8" w:space="0" w:color="auto"/>
              <w:right w:val="single" w:sz="8" w:space="0" w:color="auto"/>
            </w:tcBorders>
            <w:vAlign w:val="center"/>
            <w:hideMark/>
          </w:tcPr>
          <w:p w14:paraId="479A70B4"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E27991"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管理层过于关注保持或提高被审计单位的股票价格或利润趋势</w:t>
            </w:r>
          </w:p>
        </w:tc>
      </w:tr>
      <w:tr w:rsidR="0024032E" w14:paraId="5BE1A844" w14:textId="77777777" w:rsidTr="0024032E">
        <w:trPr>
          <w:trHeight w:val="976"/>
          <w:jc w:val="center"/>
        </w:trPr>
        <w:tc>
          <w:tcPr>
            <w:tcW w:w="0" w:type="auto"/>
            <w:vMerge/>
            <w:tcBorders>
              <w:top w:val="nil"/>
              <w:left w:val="single" w:sz="8" w:space="0" w:color="auto"/>
              <w:bottom w:val="single" w:sz="8" w:space="0" w:color="auto"/>
              <w:right w:val="single" w:sz="8" w:space="0" w:color="auto"/>
            </w:tcBorders>
            <w:vAlign w:val="center"/>
            <w:hideMark/>
          </w:tcPr>
          <w:p w14:paraId="1B19C94E"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4C7998"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管理层向分析师、债权人或其他第三方承诺实现激进的或不切实际的预期</w:t>
            </w:r>
            <w:r>
              <w:rPr>
                <w:rFonts w:cs="Calibri" w:hint="eastAsia"/>
                <w:b/>
                <w:bCs/>
                <w:color w:val="FF0000"/>
                <w:sz w:val="21"/>
                <w:szCs w:val="21"/>
              </w:rPr>
              <w:t>（★）</w:t>
            </w:r>
          </w:p>
        </w:tc>
      </w:tr>
      <w:tr w:rsidR="0024032E" w14:paraId="629E032A" w14:textId="77777777" w:rsidTr="0024032E">
        <w:trPr>
          <w:trHeight w:val="551"/>
          <w:jc w:val="center"/>
        </w:trPr>
        <w:tc>
          <w:tcPr>
            <w:tcW w:w="0" w:type="auto"/>
            <w:vMerge/>
            <w:tcBorders>
              <w:top w:val="nil"/>
              <w:left w:val="single" w:sz="8" w:space="0" w:color="auto"/>
              <w:bottom w:val="single" w:sz="8" w:space="0" w:color="auto"/>
              <w:right w:val="single" w:sz="8" w:space="0" w:color="auto"/>
            </w:tcBorders>
            <w:vAlign w:val="center"/>
            <w:hideMark/>
          </w:tcPr>
          <w:p w14:paraId="7B010FB1"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C3F514"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管理层未能及时纠正发现的值得关注的内部控制缺陷</w:t>
            </w:r>
            <w:r>
              <w:rPr>
                <w:rFonts w:cs="Calibri" w:hint="eastAsia"/>
                <w:b/>
                <w:bCs/>
                <w:color w:val="FF0000"/>
                <w:sz w:val="21"/>
                <w:szCs w:val="21"/>
              </w:rPr>
              <w:t>（★）</w:t>
            </w:r>
          </w:p>
        </w:tc>
      </w:tr>
      <w:tr w:rsidR="0024032E" w14:paraId="1B8AAF23" w14:textId="77777777" w:rsidTr="0024032E">
        <w:trPr>
          <w:trHeight w:val="842"/>
          <w:jc w:val="center"/>
        </w:trPr>
        <w:tc>
          <w:tcPr>
            <w:tcW w:w="0" w:type="auto"/>
            <w:vMerge/>
            <w:tcBorders>
              <w:top w:val="nil"/>
              <w:left w:val="single" w:sz="8" w:space="0" w:color="auto"/>
              <w:bottom w:val="single" w:sz="8" w:space="0" w:color="auto"/>
              <w:right w:val="single" w:sz="8" w:space="0" w:color="auto"/>
            </w:tcBorders>
            <w:vAlign w:val="center"/>
            <w:hideMark/>
          </w:tcPr>
          <w:p w14:paraId="62EC48AF"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AD4708"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为了避税的目的，管理层表现出有意通过使用不适当的方法使报告利润最小化</w:t>
            </w:r>
          </w:p>
        </w:tc>
      </w:tr>
      <w:tr w:rsidR="0024032E" w14:paraId="234BDC6F" w14:textId="77777777" w:rsidTr="0024032E">
        <w:trPr>
          <w:trHeight w:val="556"/>
          <w:jc w:val="center"/>
        </w:trPr>
        <w:tc>
          <w:tcPr>
            <w:tcW w:w="0" w:type="auto"/>
            <w:vMerge/>
            <w:tcBorders>
              <w:top w:val="nil"/>
              <w:left w:val="single" w:sz="8" w:space="0" w:color="auto"/>
              <w:bottom w:val="single" w:sz="8" w:space="0" w:color="auto"/>
              <w:right w:val="single" w:sz="8" w:space="0" w:color="auto"/>
            </w:tcBorders>
            <w:vAlign w:val="center"/>
            <w:hideMark/>
          </w:tcPr>
          <w:p w14:paraId="326D9228"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8CC41A"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高级管理人员缺乏士气</w:t>
            </w:r>
          </w:p>
        </w:tc>
      </w:tr>
      <w:tr w:rsidR="0024032E" w14:paraId="5FF9762E" w14:textId="77777777" w:rsidTr="0024032E">
        <w:trPr>
          <w:trHeight w:val="550"/>
          <w:jc w:val="center"/>
        </w:trPr>
        <w:tc>
          <w:tcPr>
            <w:tcW w:w="0" w:type="auto"/>
            <w:vMerge/>
            <w:tcBorders>
              <w:top w:val="nil"/>
              <w:left w:val="single" w:sz="8" w:space="0" w:color="auto"/>
              <w:bottom w:val="single" w:sz="8" w:space="0" w:color="auto"/>
              <w:right w:val="single" w:sz="8" w:space="0" w:color="auto"/>
            </w:tcBorders>
            <w:vAlign w:val="center"/>
            <w:hideMark/>
          </w:tcPr>
          <w:p w14:paraId="305450A3"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A64D8A"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业主兼经理未对个人事务与公司业务进行区分</w:t>
            </w:r>
          </w:p>
        </w:tc>
      </w:tr>
      <w:tr w:rsidR="0024032E" w14:paraId="411D2B44" w14:textId="77777777" w:rsidTr="0024032E">
        <w:trPr>
          <w:trHeight w:val="572"/>
          <w:jc w:val="center"/>
        </w:trPr>
        <w:tc>
          <w:tcPr>
            <w:tcW w:w="0" w:type="auto"/>
            <w:vMerge/>
            <w:tcBorders>
              <w:top w:val="nil"/>
              <w:left w:val="single" w:sz="8" w:space="0" w:color="auto"/>
              <w:bottom w:val="single" w:sz="8" w:space="0" w:color="auto"/>
              <w:right w:val="single" w:sz="8" w:space="0" w:color="auto"/>
            </w:tcBorders>
            <w:vAlign w:val="center"/>
            <w:hideMark/>
          </w:tcPr>
          <w:p w14:paraId="0037B4C2"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1E151F"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股东人数有限的被审计单位股东之间存在争议</w:t>
            </w:r>
          </w:p>
        </w:tc>
      </w:tr>
      <w:tr w:rsidR="0024032E" w14:paraId="2A7B4554" w14:textId="77777777" w:rsidTr="0024032E">
        <w:trPr>
          <w:trHeight w:val="836"/>
          <w:jc w:val="center"/>
        </w:trPr>
        <w:tc>
          <w:tcPr>
            <w:tcW w:w="0" w:type="auto"/>
            <w:vMerge/>
            <w:tcBorders>
              <w:top w:val="nil"/>
              <w:left w:val="single" w:sz="8" w:space="0" w:color="auto"/>
              <w:bottom w:val="single" w:sz="8" w:space="0" w:color="auto"/>
              <w:right w:val="single" w:sz="8" w:space="0" w:color="auto"/>
            </w:tcBorders>
            <w:vAlign w:val="center"/>
            <w:hideMark/>
          </w:tcPr>
          <w:p w14:paraId="1711B23D"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EF7C2B"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管理层总是试图基于重要性原则解释处于临界水平的或不适当的会计处理</w:t>
            </w:r>
          </w:p>
        </w:tc>
      </w:tr>
    </w:tbl>
    <w:p w14:paraId="561F7AD6" w14:textId="77777777" w:rsidR="0024032E" w:rsidRPr="0024032E" w:rsidRDefault="0024032E" w:rsidP="0024032E">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3539"/>
        <w:gridCol w:w="4966"/>
      </w:tblGrid>
      <w:tr w:rsidR="0024032E" w14:paraId="64EB98BC" w14:textId="77777777" w:rsidTr="0024032E">
        <w:trPr>
          <w:trHeight w:val="598"/>
          <w:jc w:val="center"/>
        </w:trPr>
        <w:tc>
          <w:tcPr>
            <w:tcW w:w="35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B83CFC" w14:textId="77777777" w:rsidR="0024032E" w:rsidRDefault="0024032E" w:rsidP="0024032E">
            <w:pPr>
              <w:pStyle w:val="aa"/>
              <w:tabs>
                <w:tab w:val="bar" w:pos="5880"/>
              </w:tabs>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舞弊风险因素细类</w:t>
            </w:r>
          </w:p>
        </w:tc>
        <w:tc>
          <w:tcPr>
            <w:tcW w:w="49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7084FD7" w14:textId="77777777" w:rsidR="0024032E" w:rsidRDefault="0024032E" w:rsidP="0024032E">
            <w:pPr>
              <w:pStyle w:val="aa"/>
              <w:tabs>
                <w:tab w:val="bar" w:pos="5880"/>
              </w:tabs>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具体示例</w:t>
            </w:r>
          </w:p>
        </w:tc>
      </w:tr>
      <w:tr w:rsidR="0024032E" w14:paraId="123A4CB3" w14:textId="77777777" w:rsidTr="0024032E">
        <w:trPr>
          <w:trHeight w:val="848"/>
          <w:jc w:val="center"/>
        </w:trPr>
        <w:tc>
          <w:tcPr>
            <w:tcW w:w="3539"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4F55E3"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b）管理层与现任或前任注册会计师之间的关系紧张</w:t>
            </w:r>
            <w:r>
              <w:rPr>
                <w:rFonts w:cs="Calibri" w:hint="eastAsia"/>
                <w:b/>
                <w:bCs/>
                <w:color w:val="FF0000"/>
                <w:sz w:val="21"/>
                <w:szCs w:val="21"/>
              </w:rPr>
              <w:t>【剑拔弩张】</w:t>
            </w: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9ECD64"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在会计、审计或报告事项上经常与现任或前任注册会计师产生争议</w:t>
            </w:r>
          </w:p>
        </w:tc>
      </w:tr>
      <w:tr w:rsidR="0024032E" w14:paraId="16C508C0" w14:textId="77777777" w:rsidTr="0024032E">
        <w:trPr>
          <w:trHeight w:val="832"/>
          <w:jc w:val="center"/>
        </w:trPr>
        <w:tc>
          <w:tcPr>
            <w:tcW w:w="0" w:type="auto"/>
            <w:vMerge/>
            <w:tcBorders>
              <w:top w:val="nil"/>
              <w:left w:val="single" w:sz="8" w:space="0" w:color="auto"/>
              <w:bottom w:val="single" w:sz="8" w:space="0" w:color="auto"/>
              <w:right w:val="single" w:sz="8" w:space="0" w:color="auto"/>
            </w:tcBorders>
            <w:vAlign w:val="center"/>
            <w:hideMark/>
          </w:tcPr>
          <w:p w14:paraId="619D1A8F"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10CE3E"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对注册会计师提出不合理的要求，如对完成审计工作或出具审计报告提出不合理的时间限制</w:t>
            </w:r>
            <w:r>
              <w:rPr>
                <w:rFonts w:cs="Calibri" w:hint="eastAsia"/>
                <w:b/>
                <w:bCs/>
                <w:color w:val="FF0000"/>
                <w:sz w:val="21"/>
                <w:szCs w:val="21"/>
              </w:rPr>
              <w:t>（★）</w:t>
            </w:r>
          </w:p>
        </w:tc>
      </w:tr>
      <w:tr w:rsidR="0024032E" w14:paraId="5B81EE59" w14:textId="77777777" w:rsidTr="0024032E">
        <w:trPr>
          <w:trHeight w:val="844"/>
          <w:jc w:val="center"/>
        </w:trPr>
        <w:tc>
          <w:tcPr>
            <w:tcW w:w="0" w:type="auto"/>
            <w:vMerge/>
            <w:tcBorders>
              <w:top w:val="nil"/>
              <w:left w:val="single" w:sz="8" w:space="0" w:color="auto"/>
              <w:bottom w:val="single" w:sz="8" w:space="0" w:color="auto"/>
              <w:right w:val="single" w:sz="8" w:space="0" w:color="auto"/>
            </w:tcBorders>
            <w:vAlign w:val="center"/>
            <w:hideMark/>
          </w:tcPr>
          <w:p w14:paraId="1FED7AA1"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8633E6"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对注册会计师接触某些人员、信息或与治理层进行有效沟通施加不适当的限制</w:t>
            </w:r>
            <w:r>
              <w:rPr>
                <w:rFonts w:cs="Calibri" w:hint="eastAsia"/>
                <w:b/>
                <w:bCs/>
                <w:color w:val="FF0000"/>
                <w:sz w:val="21"/>
                <w:szCs w:val="21"/>
              </w:rPr>
              <w:t>（★）</w:t>
            </w:r>
          </w:p>
        </w:tc>
      </w:tr>
      <w:tr w:rsidR="0024032E" w14:paraId="6E5C28FB" w14:textId="77777777" w:rsidTr="0024032E">
        <w:trPr>
          <w:trHeight w:val="983"/>
          <w:jc w:val="center"/>
        </w:trPr>
        <w:tc>
          <w:tcPr>
            <w:tcW w:w="0" w:type="auto"/>
            <w:vMerge/>
            <w:tcBorders>
              <w:top w:val="nil"/>
              <w:left w:val="single" w:sz="8" w:space="0" w:color="auto"/>
              <w:bottom w:val="single" w:sz="8" w:space="0" w:color="auto"/>
              <w:right w:val="single" w:sz="8" w:space="0" w:color="auto"/>
            </w:tcBorders>
            <w:vAlign w:val="center"/>
            <w:hideMark/>
          </w:tcPr>
          <w:p w14:paraId="22A1A679" w14:textId="77777777" w:rsidR="0024032E" w:rsidRDefault="0024032E" w:rsidP="0024032E">
            <w:pPr>
              <w:rPr>
                <w:rFonts w:eastAsia="微软雅黑" w:cs="Calibri"/>
                <w:color w:val="333333"/>
                <w:szCs w:val="21"/>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7C3724" w14:textId="77777777" w:rsidR="0024032E" w:rsidRDefault="0024032E" w:rsidP="0024032E">
            <w:pPr>
              <w:pStyle w:val="aa"/>
              <w:tabs>
                <w:tab w:val="bar" w:pos="5880"/>
              </w:tabs>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管理层对注册会计师表现出盛气凌人的态度，特别是试图影响注册会计师的工作范围，或者影响对执行审计业务的人员或被咨询人员的选择和保持</w:t>
            </w:r>
          </w:p>
        </w:tc>
      </w:tr>
    </w:tbl>
    <w:p w14:paraId="609D1B45" w14:textId="77777777" w:rsidR="0024032E" w:rsidRDefault="0024032E" w:rsidP="0024032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（2）侵占资产——动机或压力</w:t>
      </w:r>
    </w:p>
    <w:tbl>
      <w:tblPr>
        <w:tblW w:w="8505" w:type="dxa"/>
        <w:jc w:val="center"/>
        <w:tblCellMar>
          <w:left w:w="0" w:type="dxa"/>
          <w:right w:w="0" w:type="dxa"/>
        </w:tblCellMar>
        <w:tblLook w:val="04A0" w:firstRow="1" w:lastRow="0" w:firstColumn="1" w:lastColumn="0" w:noHBand="0" w:noVBand="1"/>
      </w:tblPr>
      <w:tblGrid>
        <w:gridCol w:w="3481"/>
        <w:gridCol w:w="5024"/>
      </w:tblGrid>
      <w:tr w:rsidR="0024032E" w14:paraId="35CF0329" w14:textId="77777777" w:rsidTr="0024032E">
        <w:trPr>
          <w:trHeight w:val="476"/>
          <w:jc w:val="center"/>
        </w:trPr>
        <w:tc>
          <w:tcPr>
            <w:tcW w:w="34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2C0A19"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舞弊风险因素细类</w:t>
            </w:r>
          </w:p>
        </w:tc>
        <w:tc>
          <w:tcPr>
            <w:tcW w:w="502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28C275D"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具体示例</w:t>
            </w:r>
          </w:p>
        </w:tc>
      </w:tr>
      <w:tr w:rsidR="0024032E" w14:paraId="3209CA10" w14:textId="77777777" w:rsidTr="0024032E">
        <w:trPr>
          <w:trHeight w:val="1036"/>
          <w:jc w:val="center"/>
        </w:trPr>
        <w:tc>
          <w:tcPr>
            <w:tcW w:w="348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916B5"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a）个人的生活方式或财务状况问题</w:t>
            </w:r>
          </w:p>
        </w:tc>
        <w:tc>
          <w:tcPr>
            <w:tcW w:w="50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A8FD4A"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接触现金或其他易被侵占（通过盗窃）资产的管理层或员工负有个人债务，可能会产生侵占这些资产的压力</w:t>
            </w:r>
          </w:p>
        </w:tc>
      </w:tr>
      <w:tr w:rsidR="0024032E" w14:paraId="70A489D5" w14:textId="77777777" w:rsidTr="0024032E">
        <w:trPr>
          <w:trHeight w:val="544"/>
          <w:jc w:val="center"/>
        </w:trPr>
        <w:tc>
          <w:tcPr>
            <w:tcW w:w="348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999AE9"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b）接触现金或其他易被盗窃资产的员工与被审计单位之间存在的紧张关系</w:t>
            </w:r>
          </w:p>
        </w:tc>
        <w:tc>
          <w:tcPr>
            <w:tcW w:w="50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D8A0FA"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已知或预期会发生裁员</w:t>
            </w:r>
          </w:p>
        </w:tc>
      </w:tr>
      <w:tr w:rsidR="0024032E" w14:paraId="0B2504DF" w14:textId="77777777" w:rsidTr="0024032E">
        <w:trPr>
          <w:trHeight w:val="562"/>
          <w:jc w:val="center"/>
        </w:trPr>
        <w:tc>
          <w:tcPr>
            <w:tcW w:w="0" w:type="auto"/>
            <w:vMerge/>
            <w:tcBorders>
              <w:top w:val="nil"/>
              <w:left w:val="single" w:sz="8" w:space="0" w:color="auto"/>
              <w:bottom w:val="single" w:sz="8" w:space="0" w:color="auto"/>
              <w:right w:val="single" w:sz="8" w:space="0" w:color="auto"/>
            </w:tcBorders>
            <w:vAlign w:val="center"/>
            <w:hideMark/>
          </w:tcPr>
          <w:p w14:paraId="7348A9AF" w14:textId="77777777" w:rsidR="0024032E" w:rsidRDefault="0024032E" w:rsidP="0024032E">
            <w:pPr>
              <w:rPr>
                <w:rFonts w:eastAsia="微软雅黑" w:cs="Calibri"/>
                <w:color w:val="333333"/>
                <w:szCs w:val="21"/>
              </w:rPr>
            </w:pPr>
          </w:p>
        </w:tc>
        <w:tc>
          <w:tcPr>
            <w:tcW w:w="50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A2A1C6"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近期或预期员工报酬或福利计划发生变动</w:t>
            </w:r>
          </w:p>
        </w:tc>
      </w:tr>
      <w:tr w:rsidR="0024032E" w14:paraId="58C7F720" w14:textId="77777777" w:rsidTr="0024032E">
        <w:trPr>
          <w:trHeight w:val="519"/>
          <w:jc w:val="center"/>
        </w:trPr>
        <w:tc>
          <w:tcPr>
            <w:tcW w:w="0" w:type="auto"/>
            <w:vMerge/>
            <w:tcBorders>
              <w:top w:val="nil"/>
              <w:left w:val="single" w:sz="8" w:space="0" w:color="auto"/>
              <w:bottom w:val="single" w:sz="8" w:space="0" w:color="auto"/>
              <w:right w:val="single" w:sz="8" w:space="0" w:color="auto"/>
            </w:tcBorders>
            <w:vAlign w:val="center"/>
            <w:hideMark/>
          </w:tcPr>
          <w:p w14:paraId="26388D9E" w14:textId="77777777" w:rsidR="0024032E" w:rsidRDefault="0024032E" w:rsidP="0024032E">
            <w:pPr>
              <w:rPr>
                <w:rFonts w:eastAsia="微软雅黑" w:cs="Calibri"/>
                <w:color w:val="333333"/>
                <w:szCs w:val="21"/>
              </w:rPr>
            </w:pPr>
          </w:p>
        </w:tc>
        <w:tc>
          <w:tcPr>
            <w:tcW w:w="50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9DBF7D"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晋升、报酬或其他奖励与预期不符</w:t>
            </w:r>
          </w:p>
        </w:tc>
      </w:tr>
    </w:tbl>
    <w:p w14:paraId="0A6062DE" w14:textId="77777777" w:rsidR="0024032E" w:rsidRDefault="0024032E" w:rsidP="0024032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（2）侵占资产——机会</w:t>
      </w:r>
    </w:p>
    <w:tbl>
      <w:tblPr>
        <w:tblW w:w="8505" w:type="dxa"/>
        <w:jc w:val="center"/>
        <w:tblCellMar>
          <w:left w:w="0" w:type="dxa"/>
          <w:right w:w="0" w:type="dxa"/>
        </w:tblCellMar>
        <w:tblLook w:val="04A0" w:firstRow="1" w:lastRow="0" w:firstColumn="1" w:lastColumn="0" w:noHBand="0" w:noVBand="1"/>
      </w:tblPr>
      <w:tblGrid>
        <w:gridCol w:w="3036"/>
        <w:gridCol w:w="5469"/>
      </w:tblGrid>
      <w:tr w:rsidR="0024032E" w14:paraId="550B1C69" w14:textId="77777777" w:rsidTr="0024032E">
        <w:trPr>
          <w:trHeight w:val="453"/>
          <w:jc w:val="center"/>
        </w:trPr>
        <w:tc>
          <w:tcPr>
            <w:tcW w:w="30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BD82C4"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舞弊风险因素细类</w:t>
            </w:r>
          </w:p>
        </w:tc>
        <w:tc>
          <w:tcPr>
            <w:tcW w:w="54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74E61CF"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具体示例</w:t>
            </w:r>
          </w:p>
        </w:tc>
      </w:tr>
      <w:tr w:rsidR="0024032E" w14:paraId="520828CF" w14:textId="77777777" w:rsidTr="0024032E">
        <w:trPr>
          <w:trHeight w:val="495"/>
          <w:jc w:val="center"/>
        </w:trPr>
        <w:tc>
          <w:tcPr>
            <w:tcW w:w="303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4DDCA9"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a）资产的某些特性或特定情形可能增加其被侵占的可能性</w:t>
            </w: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17042F"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持有或处理大额现金</w:t>
            </w:r>
          </w:p>
        </w:tc>
      </w:tr>
      <w:tr w:rsidR="0024032E" w14:paraId="714AA5FE" w14:textId="77777777" w:rsidTr="0024032E">
        <w:trPr>
          <w:trHeight w:val="495"/>
          <w:jc w:val="center"/>
        </w:trPr>
        <w:tc>
          <w:tcPr>
            <w:tcW w:w="0" w:type="auto"/>
            <w:vMerge/>
            <w:tcBorders>
              <w:top w:val="nil"/>
              <w:left w:val="single" w:sz="8" w:space="0" w:color="auto"/>
              <w:bottom w:val="single" w:sz="8" w:space="0" w:color="auto"/>
              <w:right w:val="single" w:sz="8" w:space="0" w:color="auto"/>
            </w:tcBorders>
            <w:vAlign w:val="center"/>
            <w:hideMark/>
          </w:tcPr>
          <w:p w14:paraId="1E126DB6"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0790CB"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体积小、价值高或需求较大的存货</w:t>
            </w:r>
          </w:p>
        </w:tc>
      </w:tr>
      <w:tr w:rsidR="0024032E" w14:paraId="766CD3CE" w14:textId="77777777" w:rsidTr="0024032E">
        <w:trPr>
          <w:trHeight w:val="504"/>
          <w:jc w:val="center"/>
        </w:trPr>
        <w:tc>
          <w:tcPr>
            <w:tcW w:w="0" w:type="auto"/>
            <w:vMerge/>
            <w:tcBorders>
              <w:top w:val="nil"/>
              <w:left w:val="single" w:sz="8" w:space="0" w:color="auto"/>
              <w:bottom w:val="single" w:sz="8" w:space="0" w:color="auto"/>
              <w:right w:val="single" w:sz="8" w:space="0" w:color="auto"/>
            </w:tcBorders>
            <w:vAlign w:val="center"/>
            <w:hideMark/>
          </w:tcPr>
          <w:p w14:paraId="57CEF0D7"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FA53C7"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易于转手的资产，如无记名债券、钻石或计算机芯片</w:t>
            </w:r>
          </w:p>
        </w:tc>
      </w:tr>
      <w:tr w:rsidR="0024032E" w14:paraId="65F79CF5" w14:textId="77777777" w:rsidTr="0024032E">
        <w:trPr>
          <w:trHeight w:val="568"/>
          <w:jc w:val="center"/>
        </w:trPr>
        <w:tc>
          <w:tcPr>
            <w:tcW w:w="0" w:type="auto"/>
            <w:vMerge/>
            <w:tcBorders>
              <w:top w:val="nil"/>
              <w:left w:val="single" w:sz="8" w:space="0" w:color="auto"/>
              <w:bottom w:val="single" w:sz="8" w:space="0" w:color="auto"/>
              <w:right w:val="single" w:sz="8" w:space="0" w:color="auto"/>
            </w:tcBorders>
            <w:vAlign w:val="center"/>
            <w:hideMark/>
          </w:tcPr>
          <w:p w14:paraId="48066FDC"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FE25A9"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体积小、易于销售或不易识别所有权归属的固定资产</w:t>
            </w:r>
          </w:p>
        </w:tc>
      </w:tr>
      <w:tr w:rsidR="0024032E" w14:paraId="4B04DF53" w14:textId="77777777" w:rsidTr="0024032E">
        <w:trPr>
          <w:trHeight w:val="456"/>
          <w:jc w:val="center"/>
        </w:trPr>
        <w:tc>
          <w:tcPr>
            <w:tcW w:w="303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D57AA"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b）与资产相关的不恰当的内部控制可能增加资产被侵占的可能性</w:t>
            </w: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290DD8"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管理层对负责保管资产的员工监管不足</w:t>
            </w:r>
          </w:p>
        </w:tc>
      </w:tr>
      <w:tr w:rsidR="0024032E" w14:paraId="2A5D797B" w14:textId="77777777" w:rsidTr="0024032E">
        <w:trPr>
          <w:trHeight w:val="456"/>
          <w:jc w:val="center"/>
        </w:trPr>
        <w:tc>
          <w:tcPr>
            <w:tcW w:w="0" w:type="auto"/>
            <w:vMerge/>
            <w:tcBorders>
              <w:top w:val="nil"/>
              <w:left w:val="single" w:sz="8" w:space="0" w:color="auto"/>
              <w:bottom w:val="single" w:sz="8" w:space="0" w:color="auto"/>
              <w:right w:val="single" w:sz="8" w:space="0" w:color="auto"/>
            </w:tcBorders>
            <w:vAlign w:val="center"/>
            <w:hideMark/>
          </w:tcPr>
          <w:p w14:paraId="14F8546A"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B1125"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对接触资产的员工选聘不严格</w:t>
            </w:r>
          </w:p>
        </w:tc>
      </w:tr>
      <w:tr w:rsidR="0024032E" w14:paraId="71F5A3E3" w14:textId="77777777" w:rsidTr="0024032E">
        <w:trPr>
          <w:trHeight w:val="456"/>
          <w:jc w:val="center"/>
        </w:trPr>
        <w:tc>
          <w:tcPr>
            <w:tcW w:w="0" w:type="auto"/>
            <w:vMerge/>
            <w:tcBorders>
              <w:top w:val="nil"/>
              <w:left w:val="single" w:sz="8" w:space="0" w:color="auto"/>
              <w:bottom w:val="single" w:sz="8" w:space="0" w:color="auto"/>
              <w:right w:val="single" w:sz="8" w:space="0" w:color="auto"/>
            </w:tcBorders>
            <w:vAlign w:val="center"/>
            <w:hideMark/>
          </w:tcPr>
          <w:p w14:paraId="5F0A30A2"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8A599"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对资产的记录不充分</w:t>
            </w:r>
          </w:p>
        </w:tc>
      </w:tr>
      <w:tr w:rsidR="0024032E" w14:paraId="11645E3B" w14:textId="77777777" w:rsidTr="0024032E">
        <w:trPr>
          <w:trHeight w:val="456"/>
          <w:jc w:val="center"/>
        </w:trPr>
        <w:tc>
          <w:tcPr>
            <w:tcW w:w="0" w:type="auto"/>
            <w:vMerge/>
            <w:tcBorders>
              <w:top w:val="nil"/>
              <w:left w:val="single" w:sz="8" w:space="0" w:color="auto"/>
              <w:bottom w:val="single" w:sz="8" w:space="0" w:color="auto"/>
              <w:right w:val="single" w:sz="8" w:space="0" w:color="auto"/>
            </w:tcBorders>
            <w:vAlign w:val="center"/>
            <w:hideMark/>
          </w:tcPr>
          <w:p w14:paraId="779D3C57"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20BFA1"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对交易的授权及批准制度不健全</w:t>
            </w:r>
          </w:p>
        </w:tc>
      </w:tr>
      <w:tr w:rsidR="0024032E" w14:paraId="19DC70AD" w14:textId="77777777" w:rsidTr="0024032E">
        <w:trPr>
          <w:trHeight w:val="533"/>
          <w:jc w:val="center"/>
        </w:trPr>
        <w:tc>
          <w:tcPr>
            <w:tcW w:w="0" w:type="auto"/>
            <w:vMerge/>
            <w:tcBorders>
              <w:top w:val="nil"/>
              <w:left w:val="single" w:sz="8" w:space="0" w:color="auto"/>
              <w:bottom w:val="single" w:sz="8" w:space="0" w:color="auto"/>
              <w:right w:val="single" w:sz="8" w:space="0" w:color="auto"/>
            </w:tcBorders>
            <w:vAlign w:val="center"/>
            <w:hideMark/>
          </w:tcPr>
          <w:p w14:paraId="527FAFA2"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81CE85"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对现金、投资、存货或固定资产等的实物保管措施不充分</w:t>
            </w:r>
          </w:p>
        </w:tc>
      </w:tr>
      <w:tr w:rsidR="0024032E" w14:paraId="1C11674E" w14:textId="77777777" w:rsidTr="0024032E">
        <w:trPr>
          <w:trHeight w:val="456"/>
          <w:jc w:val="center"/>
        </w:trPr>
        <w:tc>
          <w:tcPr>
            <w:tcW w:w="0" w:type="auto"/>
            <w:vMerge/>
            <w:tcBorders>
              <w:top w:val="nil"/>
              <w:left w:val="single" w:sz="8" w:space="0" w:color="auto"/>
              <w:bottom w:val="single" w:sz="8" w:space="0" w:color="auto"/>
              <w:right w:val="single" w:sz="8" w:space="0" w:color="auto"/>
            </w:tcBorders>
            <w:vAlign w:val="center"/>
            <w:hideMark/>
          </w:tcPr>
          <w:p w14:paraId="38DB64B4"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B32EA6"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未对资产作出完整、及时的核对调节</w:t>
            </w:r>
          </w:p>
        </w:tc>
      </w:tr>
      <w:tr w:rsidR="0024032E" w14:paraId="27735C66" w14:textId="77777777" w:rsidTr="0024032E">
        <w:trPr>
          <w:trHeight w:val="456"/>
          <w:jc w:val="center"/>
        </w:trPr>
        <w:tc>
          <w:tcPr>
            <w:tcW w:w="0" w:type="auto"/>
            <w:vMerge/>
            <w:tcBorders>
              <w:top w:val="nil"/>
              <w:left w:val="single" w:sz="8" w:space="0" w:color="auto"/>
              <w:bottom w:val="single" w:sz="8" w:space="0" w:color="auto"/>
              <w:right w:val="single" w:sz="8" w:space="0" w:color="auto"/>
            </w:tcBorders>
            <w:vAlign w:val="center"/>
            <w:hideMark/>
          </w:tcPr>
          <w:p w14:paraId="62B4DC5F"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771BD3"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职责分离或独立审核不充分</w:t>
            </w:r>
          </w:p>
        </w:tc>
      </w:tr>
      <w:tr w:rsidR="0024032E" w14:paraId="184D79A3" w14:textId="77777777" w:rsidTr="0024032E">
        <w:trPr>
          <w:trHeight w:val="456"/>
          <w:jc w:val="center"/>
        </w:trPr>
        <w:tc>
          <w:tcPr>
            <w:tcW w:w="0" w:type="auto"/>
            <w:vMerge/>
            <w:tcBorders>
              <w:top w:val="nil"/>
              <w:left w:val="single" w:sz="8" w:space="0" w:color="auto"/>
              <w:bottom w:val="single" w:sz="8" w:space="0" w:color="auto"/>
              <w:right w:val="single" w:sz="8" w:space="0" w:color="auto"/>
            </w:tcBorders>
            <w:vAlign w:val="center"/>
            <w:hideMark/>
          </w:tcPr>
          <w:p w14:paraId="0FAC7A5E"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DF1C4C"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对高级管理人员的支出的监督不足</w:t>
            </w:r>
            <w:r>
              <w:rPr>
                <w:rFonts w:cs="Calibri" w:hint="eastAsia"/>
                <w:b/>
                <w:bCs/>
                <w:color w:val="FF0000"/>
                <w:sz w:val="21"/>
                <w:szCs w:val="21"/>
              </w:rPr>
              <w:t>（★）</w:t>
            </w:r>
          </w:p>
        </w:tc>
      </w:tr>
      <w:tr w:rsidR="0024032E" w14:paraId="603ECEB8" w14:textId="77777777" w:rsidTr="0024032E">
        <w:trPr>
          <w:trHeight w:val="456"/>
          <w:jc w:val="center"/>
        </w:trPr>
        <w:tc>
          <w:tcPr>
            <w:tcW w:w="0" w:type="auto"/>
            <w:vMerge/>
            <w:tcBorders>
              <w:top w:val="nil"/>
              <w:left w:val="single" w:sz="8" w:space="0" w:color="auto"/>
              <w:bottom w:val="single" w:sz="8" w:space="0" w:color="auto"/>
              <w:right w:val="single" w:sz="8" w:space="0" w:color="auto"/>
            </w:tcBorders>
            <w:vAlign w:val="center"/>
            <w:hideMark/>
          </w:tcPr>
          <w:p w14:paraId="6F401683"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AC978E"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未对交易作出及时、适当的记录</w:t>
            </w:r>
          </w:p>
        </w:tc>
      </w:tr>
      <w:tr w:rsidR="0024032E" w14:paraId="3A9D360B" w14:textId="77777777" w:rsidTr="0024032E">
        <w:trPr>
          <w:trHeight w:val="533"/>
          <w:jc w:val="center"/>
        </w:trPr>
        <w:tc>
          <w:tcPr>
            <w:tcW w:w="0" w:type="auto"/>
            <w:vMerge/>
            <w:tcBorders>
              <w:top w:val="nil"/>
              <w:left w:val="single" w:sz="8" w:space="0" w:color="auto"/>
              <w:bottom w:val="single" w:sz="8" w:space="0" w:color="auto"/>
              <w:right w:val="single" w:sz="8" w:space="0" w:color="auto"/>
            </w:tcBorders>
            <w:vAlign w:val="center"/>
            <w:hideMark/>
          </w:tcPr>
          <w:p w14:paraId="648D4228"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FE627"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对处于关键控制岗位的员工未实行强制休假制度</w:t>
            </w:r>
          </w:p>
        </w:tc>
      </w:tr>
      <w:tr w:rsidR="0024032E" w14:paraId="784160AB" w14:textId="77777777" w:rsidTr="0024032E">
        <w:trPr>
          <w:trHeight w:val="710"/>
          <w:jc w:val="center"/>
        </w:trPr>
        <w:tc>
          <w:tcPr>
            <w:tcW w:w="0" w:type="auto"/>
            <w:vMerge/>
            <w:tcBorders>
              <w:top w:val="nil"/>
              <w:left w:val="single" w:sz="8" w:space="0" w:color="auto"/>
              <w:bottom w:val="single" w:sz="8" w:space="0" w:color="auto"/>
              <w:right w:val="single" w:sz="8" w:space="0" w:color="auto"/>
            </w:tcBorders>
            <w:vAlign w:val="center"/>
            <w:hideMark/>
          </w:tcPr>
          <w:p w14:paraId="3C2F0F99"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7644FC"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管理层对信息技术缺乏了解，从而使信息技术人员有机会侵占资产</w:t>
            </w:r>
          </w:p>
        </w:tc>
      </w:tr>
      <w:tr w:rsidR="0024032E" w14:paraId="7EBB5DBB" w14:textId="77777777" w:rsidTr="0024032E">
        <w:trPr>
          <w:trHeight w:val="533"/>
          <w:jc w:val="center"/>
        </w:trPr>
        <w:tc>
          <w:tcPr>
            <w:tcW w:w="0" w:type="auto"/>
            <w:vMerge/>
            <w:tcBorders>
              <w:top w:val="nil"/>
              <w:left w:val="single" w:sz="8" w:space="0" w:color="auto"/>
              <w:bottom w:val="single" w:sz="8" w:space="0" w:color="auto"/>
              <w:right w:val="single" w:sz="8" w:space="0" w:color="auto"/>
            </w:tcBorders>
            <w:vAlign w:val="center"/>
            <w:hideMark/>
          </w:tcPr>
          <w:p w14:paraId="7F267A53" w14:textId="77777777" w:rsidR="0024032E" w:rsidRDefault="0024032E" w:rsidP="0024032E">
            <w:pPr>
              <w:rPr>
                <w:rFonts w:eastAsia="微软雅黑" w:cs="Calibri"/>
                <w:color w:val="333333"/>
                <w:szCs w:val="21"/>
              </w:rPr>
            </w:pPr>
          </w:p>
        </w:tc>
        <w:tc>
          <w:tcPr>
            <w:tcW w:w="5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2FCC40"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对自动生成的记录的访问控制不充分</w:t>
            </w:r>
          </w:p>
        </w:tc>
      </w:tr>
    </w:tbl>
    <w:p w14:paraId="7507CEC3" w14:textId="77777777" w:rsidR="0024032E" w:rsidRDefault="0024032E" w:rsidP="0024032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（2）侵占资产——态度或借口</w:t>
      </w:r>
    </w:p>
    <w:tbl>
      <w:tblPr>
        <w:tblW w:w="8505" w:type="dxa"/>
        <w:jc w:val="center"/>
        <w:tblCellMar>
          <w:left w:w="0" w:type="dxa"/>
          <w:right w:w="0" w:type="dxa"/>
        </w:tblCellMar>
        <w:tblLook w:val="04A0" w:firstRow="1" w:lastRow="0" w:firstColumn="1" w:lastColumn="0" w:noHBand="0" w:noVBand="1"/>
      </w:tblPr>
      <w:tblGrid>
        <w:gridCol w:w="3819"/>
        <w:gridCol w:w="4686"/>
      </w:tblGrid>
      <w:tr w:rsidR="0024032E" w14:paraId="333D5477" w14:textId="77777777" w:rsidTr="0024032E">
        <w:trPr>
          <w:trHeight w:val="432"/>
          <w:jc w:val="center"/>
        </w:trPr>
        <w:tc>
          <w:tcPr>
            <w:tcW w:w="37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93FB1C"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lastRenderedPageBreak/>
              <w:t>舞弊风险因素细类</w:t>
            </w:r>
          </w:p>
        </w:tc>
        <w:tc>
          <w:tcPr>
            <w:tcW w:w="47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154D26"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具体示例</w:t>
            </w:r>
          </w:p>
        </w:tc>
      </w:tr>
      <w:tr w:rsidR="0024032E" w14:paraId="2D534872" w14:textId="77777777" w:rsidTr="0024032E">
        <w:trPr>
          <w:trHeight w:val="429"/>
          <w:jc w:val="center"/>
        </w:trPr>
        <w:tc>
          <w:tcPr>
            <w:tcW w:w="373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DE32C5"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a）管理层或员工不重视相关控制</w:t>
            </w:r>
          </w:p>
        </w:tc>
        <w:tc>
          <w:tcPr>
            <w:tcW w:w="47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4E8BBB"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忽视监控或降低与侵占资产相关的风险的必要性</w:t>
            </w:r>
          </w:p>
        </w:tc>
      </w:tr>
      <w:tr w:rsidR="0024032E" w14:paraId="6935691E" w14:textId="77777777" w:rsidTr="0024032E">
        <w:trPr>
          <w:trHeight w:val="977"/>
          <w:jc w:val="center"/>
        </w:trPr>
        <w:tc>
          <w:tcPr>
            <w:tcW w:w="0" w:type="auto"/>
            <w:vMerge/>
            <w:tcBorders>
              <w:top w:val="nil"/>
              <w:left w:val="single" w:sz="8" w:space="0" w:color="auto"/>
              <w:bottom w:val="single" w:sz="8" w:space="0" w:color="auto"/>
              <w:right w:val="single" w:sz="8" w:space="0" w:color="auto"/>
            </w:tcBorders>
            <w:vAlign w:val="center"/>
            <w:hideMark/>
          </w:tcPr>
          <w:p w14:paraId="6F0F0A23" w14:textId="77777777" w:rsidR="0024032E" w:rsidRDefault="0024032E" w:rsidP="0024032E">
            <w:pPr>
              <w:rPr>
                <w:rFonts w:eastAsia="微软雅黑" w:cs="Calibri"/>
                <w:color w:val="333333"/>
                <w:szCs w:val="21"/>
              </w:rPr>
            </w:pPr>
          </w:p>
        </w:tc>
        <w:tc>
          <w:tcPr>
            <w:tcW w:w="47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04E0EB"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忽视与侵占资产相关的内部控制，如凌驾于现有的控制之上或未对已知的内部控制缺陷采取适当的补救措施</w:t>
            </w:r>
          </w:p>
        </w:tc>
      </w:tr>
      <w:tr w:rsidR="0024032E" w14:paraId="17FACBC2" w14:textId="77777777" w:rsidTr="0024032E">
        <w:trPr>
          <w:trHeight w:val="692"/>
          <w:jc w:val="center"/>
        </w:trPr>
        <w:tc>
          <w:tcPr>
            <w:tcW w:w="0" w:type="auto"/>
            <w:vMerge/>
            <w:tcBorders>
              <w:top w:val="nil"/>
              <w:left w:val="single" w:sz="8" w:space="0" w:color="auto"/>
              <w:bottom w:val="single" w:sz="8" w:space="0" w:color="auto"/>
              <w:right w:val="single" w:sz="8" w:space="0" w:color="auto"/>
            </w:tcBorders>
            <w:vAlign w:val="center"/>
            <w:hideMark/>
          </w:tcPr>
          <w:p w14:paraId="410E8442" w14:textId="77777777" w:rsidR="0024032E" w:rsidRDefault="0024032E" w:rsidP="0024032E">
            <w:pPr>
              <w:rPr>
                <w:rFonts w:eastAsia="微软雅黑" w:cs="Calibri"/>
                <w:color w:val="333333"/>
                <w:szCs w:val="21"/>
              </w:rPr>
            </w:pPr>
          </w:p>
        </w:tc>
        <w:tc>
          <w:tcPr>
            <w:tcW w:w="47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F4A214"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被审计单位人员在行为或生活方式方面发生的变化可能表明资产已被侵占</w:t>
            </w:r>
          </w:p>
        </w:tc>
      </w:tr>
      <w:tr w:rsidR="0024032E" w14:paraId="4A53E5D6" w14:textId="77777777" w:rsidTr="0024032E">
        <w:trPr>
          <w:trHeight w:val="417"/>
          <w:jc w:val="center"/>
        </w:trPr>
        <w:tc>
          <w:tcPr>
            <w:tcW w:w="0" w:type="auto"/>
            <w:vMerge/>
            <w:tcBorders>
              <w:top w:val="nil"/>
              <w:left w:val="single" w:sz="8" w:space="0" w:color="auto"/>
              <w:bottom w:val="single" w:sz="8" w:space="0" w:color="auto"/>
              <w:right w:val="single" w:sz="8" w:space="0" w:color="auto"/>
            </w:tcBorders>
            <w:vAlign w:val="center"/>
            <w:hideMark/>
          </w:tcPr>
          <w:p w14:paraId="0B6799F0" w14:textId="77777777" w:rsidR="0024032E" w:rsidRDefault="0024032E" w:rsidP="0024032E">
            <w:pPr>
              <w:rPr>
                <w:rFonts w:eastAsia="微软雅黑" w:cs="Calibri"/>
                <w:color w:val="333333"/>
                <w:szCs w:val="21"/>
              </w:rPr>
            </w:pPr>
          </w:p>
        </w:tc>
        <w:tc>
          <w:tcPr>
            <w:tcW w:w="47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9321A"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容忍小额盗窃资产的行为</w:t>
            </w:r>
          </w:p>
        </w:tc>
      </w:tr>
      <w:tr w:rsidR="0024032E" w14:paraId="738668B2" w14:textId="77777777" w:rsidTr="0024032E">
        <w:trPr>
          <w:trHeight w:val="471"/>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A52D25"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b）对被审计单位存在不满甚至敌对情绪</w:t>
            </w:r>
          </w:p>
        </w:tc>
        <w:tc>
          <w:tcPr>
            <w:tcW w:w="47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C19538"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被审计单位人员的行为表明其对被审计单位感到不满，或对被审计单位对待员工的态度感到不满</w:t>
            </w:r>
          </w:p>
        </w:tc>
      </w:tr>
    </w:tbl>
    <w:p w14:paraId="066B6F53" w14:textId="77777777" w:rsidR="0024032E" w:rsidRDefault="0024032E" w:rsidP="0024032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"http://webupload.admin.dongao.com/biz/handout/img/2019/20190524/20190524093818993001.png"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6.75pt">
            <v:imagedata r:id="rId7" r:href="rId8"/>
          </v:shape>
        </w:pict>
      </w:r>
      <w:r>
        <w:rPr>
          <w:rFonts w:ascii="Calibri" w:eastAsia="微软雅黑" w:hAnsi="Calibri" w:cs="Calibri"/>
          <w:color w:val="3F3F3F"/>
          <w:sz w:val="21"/>
          <w:szCs w:val="21"/>
        </w:rPr>
        <w:fldChar w:fldCharType="end"/>
      </w:r>
    </w:p>
    <w:p w14:paraId="629A83F7"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CC57924"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1EC52ED3"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下列舞弊风险因素中，与实施舞弊的动机或压力相关的是（　　）。</w:t>
      </w:r>
    </w:p>
    <w:p w14:paraId="0DA218D7"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A.组织结构过于复杂，存在异常的法律实体或管理层级</w:t>
      </w:r>
    </w:p>
    <w:p w14:paraId="1E9FAED3"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B.非财务管理人员过度参与会计政策的选择或重大会计估计的确定</w:t>
      </w:r>
    </w:p>
    <w:p w14:paraId="6F028966"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C.职责分离或独立审核不充分</w:t>
      </w:r>
    </w:p>
    <w:p w14:paraId="4F5E0976"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D.管理层在被审计单位中拥有重大经济利益</w:t>
      </w:r>
    </w:p>
    <w:p w14:paraId="659DD400"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72DADF8F"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【点评】选项A选项C均属于舞弊的“机会”，选项B属于舞弊的“态度或借口”。</w:t>
      </w:r>
    </w:p>
    <w:p w14:paraId="51BF6FCD"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多项选择题【2014年真题】</w:t>
      </w:r>
    </w:p>
    <w:p w14:paraId="3830F93E"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下列情形中，注册会计师认为被审计单位可能为管理层提供实施舞弊机会的有（　　）。</w:t>
      </w:r>
    </w:p>
    <w:p w14:paraId="49D69D55"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A.被审计单位从事科技含量高、研发周期长的经营业务</w:t>
      </w:r>
    </w:p>
    <w:p w14:paraId="495EAF9A"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B.被审计单位大量采用分销渠道销售产品</w:t>
      </w:r>
    </w:p>
    <w:p w14:paraId="50838C19"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C.被审计单位高级管理人员变更频繁</w:t>
      </w:r>
    </w:p>
    <w:p w14:paraId="61A27D29"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D.管理层拥有被审计单位10%的股份</w:t>
      </w:r>
    </w:p>
    <w:p w14:paraId="31A8852E"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290A1625"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【点评】选项A、选项B和选项C均属于舞弊的“机会”；选项D属于舞弊的“动机或压力”。</w:t>
      </w:r>
    </w:p>
    <w:p w14:paraId="03005A85"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多项选择题【2009年真题】</w:t>
      </w:r>
    </w:p>
    <w:p w14:paraId="3F9D41F6"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在下列情形中，可能表明管理层存在舞弊借口的有（　　）。</w:t>
      </w:r>
    </w:p>
    <w:p w14:paraId="0EF84334"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A.对注册会计师施加限制，使其难以接触某些人员</w:t>
      </w:r>
    </w:p>
    <w:p w14:paraId="6536DB49"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B.管理层没有及时纠正已发现的内部控制重大缺陷</w:t>
      </w:r>
    </w:p>
    <w:p w14:paraId="04875E9C"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C.管理层过分强调保持或提高公司股票价格或盈利水平</w:t>
      </w:r>
    </w:p>
    <w:p w14:paraId="5845270A"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D.高层管理人员、法律顾问或治理层频繁变更</w:t>
      </w:r>
    </w:p>
    <w:p w14:paraId="6FF79674"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0853C898"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【点评】选项D属于管理层舞弊的机会。</w:t>
      </w:r>
    </w:p>
    <w:p w14:paraId="11432ACA"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多项选择题【2015年真题】</w:t>
      </w:r>
      <w:r>
        <w:rPr>
          <w:rFonts w:cs="Calibri" w:hint="eastAsia"/>
          <w:b/>
          <w:bCs/>
          <w:color w:val="FF0000"/>
          <w:sz w:val="21"/>
          <w:szCs w:val="21"/>
        </w:rPr>
        <w:t>【不按套路出牌】</w:t>
      </w:r>
    </w:p>
    <w:p w14:paraId="58CD4A5E"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下列舞弊风险因素中，与编制虚假财务报告相关的有（　　）。</w:t>
      </w:r>
    </w:p>
    <w:p w14:paraId="56AAE0D2"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A.利用商业中介进行交易，但缺乏明显的商业理由</w:t>
      </w:r>
    </w:p>
    <w:p w14:paraId="747FCEF9"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B.在非所有者管理的主体中，管理层由一人或少数人控制，且缺乏补偿性控制</w:t>
      </w:r>
    </w:p>
    <w:p w14:paraId="66341BDE"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C.对高级管理人员支出的监督不足</w:t>
      </w:r>
    </w:p>
    <w:p w14:paraId="781E05C3"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D.会计系统和信息系统无效</w:t>
      </w:r>
    </w:p>
    <w:p w14:paraId="32CFFC2E"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【答案】ABD</w:t>
      </w:r>
    </w:p>
    <w:p w14:paraId="700A51BE"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【点评】选项A和选项B属于与编制虚假财务报告相关的“机会”因素；选项C属于与侵占资产相关的“机会”因素；选项D属于与编制虚假财务报告相关的“机会”因素。</w:t>
      </w:r>
    </w:p>
    <w:p w14:paraId="56EEC87A"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218DE43D"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下列舞弊风险因素中，与编制虚假财务报告的态度或借口相关的是（　　）。</w:t>
      </w:r>
    </w:p>
    <w:p w14:paraId="5B79AB8F"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A.管理层为被审计单位的债务提供了担保</w:t>
      </w:r>
    </w:p>
    <w:p w14:paraId="65B77E04"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B.治理层对财务报告过程和内部控制实施的监督无效</w:t>
      </w:r>
    </w:p>
    <w:p w14:paraId="4B6A3CF7"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C.管理层总是试图基于重要性原则解释处于临界水平的会计处理</w:t>
      </w:r>
    </w:p>
    <w:p w14:paraId="45B19D95"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D.管理层容忍员工小额盗窃资产的行为</w:t>
      </w:r>
    </w:p>
    <w:p w14:paraId="49F72C67"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2A6F4C01"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【点评】选项A与编制虚假财务报告的动机或压力相关；选项B与编制虚假财务报告的机会相关；选项D与侵占资产的态度或借口相关。</w:t>
      </w:r>
    </w:p>
    <w:p w14:paraId="0AC37B03"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0852E1DC"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下列舞弊风险因素中，与编制虚假财务报告的机会相关的是（　　）。</w:t>
      </w:r>
    </w:p>
    <w:p w14:paraId="6EAF5823"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A.被审计单位需要为重大研发项目或资本性支出融资以保持竞争力</w:t>
      </w:r>
    </w:p>
    <w:p w14:paraId="57D51ECA"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B.被审计单位管理层过于关注保持或提高股票价格或利润趋势</w:t>
      </w:r>
    </w:p>
    <w:p w14:paraId="260B10C3"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C.被审计单位对保管处于偏远地区的资产的员工监督不足</w:t>
      </w:r>
    </w:p>
    <w:p w14:paraId="118ED977"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D.被审计单位与未经审计的关联企业进行重大交易</w:t>
      </w:r>
    </w:p>
    <w:p w14:paraId="30396ECB"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265C1CF1"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【点评】选项A与编制虚假财务报告的动机或压力相关；选项B与编制虚假财务报告的态度或借口相关；选项C与侵占资产的机会相关。</w:t>
      </w:r>
    </w:p>
    <w:p w14:paraId="36CF100F"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3.实施分析程序</w:t>
      </w:r>
    </w:p>
    <w:p w14:paraId="40A7E65E"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在实施分析程序以了解被审计单位及其环境时，注册会计师应当评价识别出的异常或偏离预期的关系（包括与收入账户有关的关系），是否表明存在由于舞弊导致的重大错报风险。</w:t>
      </w:r>
    </w:p>
    <w:p w14:paraId="043D729A"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4.考虑其他信息</w:t>
      </w:r>
    </w:p>
    <w:p w14:paraId="4462383D"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其他信息可能来源于项目组</w:t>
      </w:r>
      <w:r>
        <w:rPr>
          <w:rFonts w:cs="Calibri" w:hint="eastAsia"/>
          <w:b/>
          <w:bCs/>
          <w:color w:val="FF0000"/>
          <w:sz w:val="21"/>
          <w:szCs w:val="21"/>
        </w:rPr>
        <w:t>内部的讨论</w:t>
      </w:r>
      <w:r>
        <w:rPr>
          <w:rFonts w:cs="Calibri" w:hint="eastAsia"/>
          <w:color w:val="3F3F3F"/>
          <w:sz w:val="21"/>
          <w:szCs w:val="21"/>
        </w:rPr>
        <w:t>、</w:t>
      </w:r>
      <w:r>
        <w:rPr>
          <w:rFonts w:cs="Calibri" w:hint="eastAsia"/>
          <w:b/>
          <w:bCs/>
          <w:color w:val="FF0000"/>
          <w:sz w:val="21"/>
          <w:szCs w:val="21"/>
        </w:rPr>
        <w:t>客户承接</w:t>
      </w:r>
      <w:r>
        <w:rPr>
          <w:rFonts w:cs="Calibri" w:hint="eastAsia"/>
          <w:color w:val="3F3F3F"/>
          <w:sz w:val="21"/>
          <w:szCs w:val="21"/>
        </w:rPr>
        <w:t>或续约过程以及向被审计单位提供其他服务所获得的经验。</w:t>
      </w:r>
    </w:p>
    <w:p w14:paraId="07146224"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5.组织项目组讨论</w:t>
      </w:r>
    </w:p>
    <w:p w14:paraId="3405BAB9" w14:textId="77777777" w:rsidR="0024032E" w:rsidRDefault="0024032E" w:rsidP="0024032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（1）目的</w:t>
      </w:r>
    </w:p>
    <w:p w14:paraId="5AD91529"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a）具有较多经验的项目组成员与其他成员</w:t>
      </w:r>
      <w:r>
        <w:rPr>
          <w:rFonts w:cs="Calibri" w:hint="eastAsia"/>
          <w:b/>
          <w:bCs/>
          <w:color w:val="FF0000"/>
          <w:sz w:val="21"/>
          <w:szCs w:val="21"/>
        </w:rPr>
        <w:t>分享</w:t>
      </w:r>
      <w:r>
        <w:rPr>
          <w:rFonts w:cs="Calibri" w:hint="eastAsia"/>
          <w:color w:val="3F3F3F"/>
          <w:sz w:val="21"/>
          <w:szCs w:val="21"/>
        </w:rPr>
        <w:t>对舞弊导致的重大错报的方式和领域的</w:t>
      </w:r>
      <w:r>
        <w:rPr>
          <w:rFonts w:cs="Calibri" w:hint="eastAsia"/>
          <w:b/>
          <w:bCs/>
          <w:color w:val="FF0000"/>
          <w:sz w:val="21"/>
          <w:szCs w:val="21"/>
        </w:rPr>
        <w:t>见解</w:t>
      </w:r>
      <w:r>
        <w:rPr>
          <w:rFonts w:cs="Calibri" w:hint="eastAsia"/>
          <w:color w:val="3F3F3F"/>
          <w:sz w:val="21"/>
          <w:szCs w:val="21"/>
        </w:rPr>
        <w:t>；</w:t>
      </w:r>
    </w:p>
    <w:p w14:paraId="550DAA73"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b）针对舞弊导致的重大错报的方式和领域考虑适当的</w:t>
      </w:r>
      <w:r>
        <w:rPr>
          <w:rFonts w:cs="Calibri" w:hint="eastAsia"/>
          <w:b/>
          <w:bCs/>
          <w:color w:val="FF0000"/>
          <w:sz w:val="21"/>
          <w:szCs w:val="21"/>
        </w:rPr>
        <w:t>应对措施</w:t>
      </w:r>
      <w:r>
        <w:rPr>
          <w:rFonts w:cs="Calibri" w:hint="eastAsia"/>
          <w:color w:val="3F3F3F"/>
          <w:sz w:val="21"/>
          <w:szCs w:val="21"/>
        </w:rPr>
        <w:t>，并确定分派哪些项目组成员实施特定的审计程序；</w:t>
      </w:r>
    </w:p>
    <w:p w14:paraId="0850CE7B"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c）确定如何在项目组成员中共享实施审计程序的结果，以及如何</w:t>
      </w:r>
      <w:r>
        <w:rPr>
          <w:rFonts w:cs="Calibri" w:hint="eastAsia"/>
          <w:b/>
          <w:bCs/>
          <w:color w:val="FF0000"/>
          <w:sz w:val="21"/>
          <w:szCs w:val="21"/>
        </w:rPr>
        <w:t>处理</w:t>
      </w:r>
      <w:r>
        <w:rPr>
          <w:rFonts w:cs="Calibri" w:hint="eastAsia"/>
          <w:color w:val="3F3F3F"/>
          <w:sz w:val="21"/>
          <w:szCs w:val="21"/>
        </w:rPr>
        <w:t>可能引起注册会计师注意的舞弊指控。</w:t>
      </w:r>
    </w:p>
    <w:p w14:paraId="1F0DE9DA" w14:textId="77777777" w:rsidR="0024032E" w:rsidRDefault="0024032E" w:rsidP="0024032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（2）内容</w:t>
      </w:r>
      <w:r>
        <w:rPr>
          <w:rFonts w:cs="Calibri" w:hint="eastAsia"/>
          <w:b/>
          <w:bCs/>
          <w:color w:val="FF0000"/>
          <w:sz w:val="21"/>
          <w:szCs w:val="21"/>
        </w:rPr>
        <w:t>【理解/眼熟】</w:t>
      </w:r>
    </w:p>
    <w:tbl>
      <w:tblPr>
        <w:tblW w:w="8505" w:type="dxa"/>
        <w:jc w:val="center"/>
        <w:tblCellMar>
          <w:left w:w="0" w:type="dxa"/>
          <w:right w:w="0" w:type="dxa"/>
        </w:tblCellMar>
        <w:tblLook w:val="04A0" w:firstRow="1" w:lastRow="0" w:firstColumn="1" w:lastColumn="0" w:noHBand="0" w:noVBand="1"/>
      </w:tblPr>
      <w:tblGrid>
        <w:gridCol w:w="1271"/>
        <w:gridCol w:w="7234"/>
      </w:tblGrid>
      <w:tr w:rsidR="0024032E" w14:paraId="5B2E45D2" w14:textId="77777777" w:rsidTr="0024032E">
        <w:trPr>
          <w:trHeight w:val="658"/>
          <w:jc w:val="center"/>
        </w:trPr>
        <w:tc>
          <w:tcPr>
            <w:tcW w:w="12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D10744"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角度</w:t>
            </w:r>
          </w:p>
        </w:tc>
        <w:tc>
          <w:tcPr>
            <w:tcW w:w="7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10A8F3"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24032E" w14:paraId="5FF480A3" w14:textId="77777777" w:rsidTr="0024032E">
        <w:trPr>
          <w:trHeight w:val="2259"/>
          <w:jc w:val="center"/>
        </w:trPr>
        <w:tc>
          <w:tcPr>
            <w:tcW w:w="12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397770"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致险因素</w:t>
            </w:r>
          </w:p>
        </w:tc>
        <w:tc>
          <w:tcPr>
            <w:tcW w:w="72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A7B79D"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a）项目组成员认为财务报表易于发生由于舞弊导致的重大错报的</w:t>
            </w:r>
            <w:r>
              <w:rPr>
                <w:rFonts w:cs="Calibri" w:hint="eastAsia"/>
                <w:b/>
                <w:bCs/>
                <w:color w:val="FF0000"/>
                <w:sz w:val="21"/>
                <w:szCs w:val="21"/>
              </w:rPr>
              <w:t>方式和领域</w:t>
            </w:r>
            <w:r>
              <w:rPr>
                <w:rFonts w:cs="Calibri" w:hint="eastAsia"/>
                <w:color w:val="333333"/>
                <w:sz w:val="21"/>
                <w:szCs w:val="21"/>
              </w:rPr>
              <w:t>、管理层可能编制和隐瞒虚假财务报告的方式以及侵占资产的方式等</w:t>
            </w:r>
          </w:p>
          <w:p w14:paraId="593BD727"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b）已知悉的对被审计单位产生影响的外部和内部因素，这些因素可能产生动机或压力使管理层或其他人员实施舞弊、可能提供实施舞弊的机会、可能表明存在为舞弊行为寻找借口的文化或环境</w:t>
            </w:r>
          </w:p>
          <w:p w14:paraId="67B9DA31"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c）管理层</w:t>
            </w:r>
            <w:r>
              <w:rPr>
                <w:rFonts w:cs="Calibri" w:hint="eastAsia"/>
                <w:b/>
                <w:bCs/>
                <w:color w:val="FF0000"/>
                <w:sz w:val="21"/>
                <w:szCs w:val="21"/>
              </w:rPr>
              <w:t>凌驾</w:t>
            </w:r>
            <w:r>
              <w:rPr>
                <w:rFonts w:cs="Calibri" w:hint="eastAsia"/>
                <w:color w:val="333333"/>
                <w:sz w:val="21"/>
                <w:szCs w:val="21"/>
              </w:rPr>
              <w:t>于控制之上的风险</w:t>
            </w:r>
          </w:p>
        </w:tc>
      </w:tr>
      <w:tr w:rsidR="0024032E" w14:paraId="0EFE12D5" w14:textId="77777777" w:rsidTr="0024032E">
        <w:trPr>
          <w:trHeight w:val="2258"/>
          <w:jc w:val="center"/>
        </w:trPr>
        <w:tc>
          <w:tcPr>
            <w:tcW w:w="12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F7CA33"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舞弊情形</w:t>
            </w:r>
          </w:p>
        </w:tc>
        <w:tc>
          <w:tcPr>
            <w:tcW w:w="72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14F053"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d）可能表明管理层操纵利润的</w:t>
            </w:r>
            <w:r>
              <w:rPr>
                <w:rFonts w:cs="Calibri" w:hint="eastAsia"/>
                <w:b/>
                <w:bCs/>
                <w:color w:val="FF0000"/>
                <w:sz w:val="21"/>
                <w:szCs w:val="21"/>
              </w:rPr>
              <w:t>迹象</w:t>
            </w:r>
            <w:r>
              <w:rPr>
                <w:rFonts w:cs="Calibri" w:hint="eastAsia"/>
                <w:color w:val="333333"/>
                <w:sz w:val="21"/>
                <w:szCs w:val="21"/>
              </w:rPr>
              <w:t>，以及管理层可能采取的导致虚假财务报告的利润操纵</w:t>
            </w:r>
            <w:r>
              <w:rPr>
                <w:rFonts w:cs="Calibri" w:hint="eastAsia"/>
                <w:b/>
                <w:bCs/>
                <w:color w:val="FF0000"/>
                <w:sz w:val="21"/>
                <w:szCs w:val="21"/>
              </w:rPr>
              <w:t>手段</w:t>
            </w:r>
          </w:p>
          <w:p w14:paraId="70548C45"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e）对接触现金或其他易被侵占资产的员工，管理层对其实施监督的情况</w:t>
            </w:r>
          </w:p>
          <w:p w14:paraId="76963763"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f）注意到的管理层或员工在行为或生活方式上出现的</w:t>
            </w:r>
            <w:r>
              <w:rPr>
                <w:rFonts w:cs="Calibri" w:hint="eastAsia"/>
                <w:b/>
                <w:bCs/>
                <w:color w:val="FF0000"/>
                <w:sz w:val="21"/>
                <w:szCs w:val="21"/>
              </w:rPr>
              <w:t>异常</w:t>
            </w:r>
            <w:r>
              <w:rPr>
                <w:rFonts w:cs="Calibri" w:hint="eastAsia"/>
                <w:color w:val="333333"/>
                <w:sz w:val="21"/>
                <w:szCs w:val="21"/>
              </w:rPr>
              <w:t>或无法解释的变化</w:t>
            </w:r>
          </w:p>
          <w:p w14:paraId="7BD7C8C6"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g）遇到的哪些</w:t>
            </w:r>
            <w:r>
              <w:rPr>
                <w:rFonts w:cs="Calibri" w:hint="eastAsia"/>
                <w:b/>
                <w:bCs/>
                <w:color w:val="FF0000"/>
                <w:sz w:val="21"/>
                <w:szCs w:val="21"/>
              </w:rPr>
              <w:t>情形</w:t>
            </w:r>
            <w:r>
              <w:rPr>
                <w:rFonts w:cs="Calibri" w:hint="eastAsia"/>
                <w:color w:val="333333"/>
                <w:sz w:val="21"/>
                <w:szCs w:val="21"/>
              </w:rPr>
              <w:t>可能表明存在舞弊</w:t>
            </w:r>
          </w:p>
          <w:p w14:paraId="203E3EDB"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h）注册会计师注意到的</w:t>
            </w:r>
            <w:r>
              <w:rPr>
                <w:rFonts w:cs="Calibri" w:hint="eastAsia"/>
                <w:b/>
                <w:bCs/>
                <w:color w:val="FF0000"/>
                <w:sz w:val="21"/>
                <w:szCs w:val="21"/>
              </w:rPr>
              <w:t>舞弊指控</w:t>
            </w:r>
          </w:p>
        </w:tc>
      </w:tr>
      <w:tr w:rsidR="0024032E" w14:paraId="03236E6D" w14:textId="77777777" w:rsidTr="0024032E">
        <w:trPr>
          <w:trHeight w:val="1259"/>
          <w:jc w:val="center"/>
        </w:trPr>
        <w:tc>
          <w:tcPr>
            <w:tcW w:w="12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251C7E"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应对措施</w:t>
            </w:r>
          </w:p>
        </w:tc>
        <w:tc>
          <w:tcPr>
            <w:tcW w:w="72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C2E091"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i）如何在拟实施审计程序的性质、时间安排和范围中增加</w:t>
            </w:r>
            <w:r>
              <w:rPr>
                <w:rFonts w:cs="Calibri" w:hint="eastAsia"/>
                <w:b/>
                <w:bCs/>
                <w:color w:val="FF0000"/>
                <w:sz w:val="21"/>
                <w:szCs w:val="21"/>
              </w:rPr>
              <w:t>不可预见性</w:t>
            </w:r>
          </w:p>
          <w:p w14:paraId="752E0FDC"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j）为应对由于舞弊导致财务报表发生重大错报的可能性而选择实施的审计</w:t>
            </w:r>
            <w:r>
              <w:rPr>
                <w:rFonts w:cs="Calibri" w:hint="eastAsia"/>
                <w:b/>
                <w:bCs/>
                <w:color w:val="FF0000"/>
                <w:sz w:val="21"/>
                <w:szCs w:val="21"/>
              </w:rPr>
              <w:t>程序</w:t>
            </w:r>
            <w:r>
              <w:rPr>
                <w:rFonts w:cs="Calibri" w:hint="eastAsia"/>
                <w:color w:val="333333"/>
                <w:sz w:val="21"/>
                <w:szCs w:val="21"/>
              </w:rPr>
              <w:t>，以及特定类型的审计程序是否比其他审计程序更为有效</w:t>
            </w:r>
          </w:p>
        </w:tc>
      </w:tr>
      <w:tr w:rsidR="0024032E" w14:paraId="5C539D09" w14:textId="77777777" w:rsidTr="0024032E">
        <w:trPr>
          <w:trHeight w:val="942"/>
          <w:jc w:val="center"/>
        </w:trPr>
        <w:tc>
          <w:tcPr>
            <w:tcW w:w="12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4FF6B0" w14:textId="77777777" w:rsidR="0024032E" w:rsidRDefault="0024032E" w:rsidP="0024032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职业怀疑</w:t>
            </w:r>
          </w:p>
        </w:tc>
        <w:tc>
          <w:tcPr>
            <w:tcW w:w="72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B75C0F" w14:textId="77777777" w:rsidR="0024032E" w:rsidRDefault="0024032E" w:rsidP="0024032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k）</w:t>
            </w:r>
            <w:r>
              <w:rPr>
                <w:rFonts w:cs="Calibri" w:hint="eastAsia"/>
                <w:b/>
                <w:bCs/>
                <w:color w:val="FF0000"/>
                <w:sz w:val="21"/>
                <w:szCs w:val="21"/>
              </w:rPr>
              <w:t>强调</w:t>
            </w:r>
            <w:r>
              <w:rPr>
                <w:rFonts w:cs="Calibri" w:hint="eastAsia"/>
                <w:color w:val="333333"/>
                <w:sz w:val="21"/>
                <w:szCs w:val="21"/>
              </w:rPr>
              <w:t>在整个审计过程中对由于舞弊导致重大错报的可能性保持适当关注的重要性</w:t>
            </w:r>
          </w:p>
        </w:tc>
      </w:tr>
    </w:tbl>
    <w:p w14:paraId="0EBC372B"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59D1861"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56BD1E13"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下列程序中，通常不用于评估舞弊风险的是（　　）。</w:t>
      </w:r>
    </w:p>
    <w:p w14:paraId="30379AC4"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A.询问治理层、管理层和内部审计人员</w:t>
      </w:r>
    </w:p>
    <w:p w14:paraId="60391F34"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B.考虑在客户接受或保持过程中获取的信息</w:t>
      </w:r>
    </w:p>
    <w:p w14:paraId="0A6EEB1B"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C.实施实质性分析程序</w:t>
      </w:r>
    </w:p>
    <w:p w14:paraId="5C3E1CC9"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D.组织项目组内部讨论</w:t>
      </w:r>
    </w:p>
    <w:p w14:paraId="55E32AC7"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06ECF361"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【点评】注册会计师应当评价在实施分析程序以</w:t>
      </w:r>
      <w:r>
        <w:rPr>
          <w:rFonts w:cs="Calibri" w:hint="eastAsia"/>
          <w:b/>
          <w:bCs/>
          <w:color w:val="FF0000"/>
          <w:sz w:val="21"/>
          <w:szCs w:val="21"/>
        </w:rPr>
        <w:t>了解被审计单位及其环境时</w:t>
      </w:r>
      <w:r>
        <w:rPr>
          <w:rFonts w:cs="Calibri" w:hint="eastAsia"/>
          <w:color w:val="3F3F3F"/>
          <w:sz w:val="21"/>
          <w:szCs w:val="21"/>
        </w:rPr>
        <w:t>，所识别出的异常或偏离预期的关系，是否表明存在由于舞弊导致的重大错报风险。在此阶段，主要体现为</w:t>
      </w:r>
      <w:r>
        <w:rPr>
          <w:rFonts w:cs="Calibri" w:hint="eastAsia"/>
          <w:b/>
          <w:bCs/>
          <w:color w:val="FF0000"/>
          <w:sz w:val="21"/>
          <w:szCs w:val="21"/>
        </w:rPr>
        <w:t>分析程序运用于风险评估</w:t>
      </w:r>
      <w:r>
        <w:rPr>
          <w:rFonts w:cs="Calibri" w:hint="eastAsia"/>
          <w:color w:val="3F3F3F"/>
          <w:sz w:val="21"/>
          <w:szCs w:val="21"/>
        </w:rPr>
        <w:t>，而非实质性程序。</w:t>
      </w:r>
    </w:p>
    <w:p w14:paraId="4B4196F8"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多项选择题【2010年真题】</w:t>
      </w:r>
    </w:p>
    <w:p w14:paraId="2E4993EB"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在组织审计项目组讨论舞弊风险时，注册会计师认为应当讨论的内容有（　　）。</w:t>
      </w:r>
    </w:p>
    <w:p w14:paraId="57BC6075"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A.被审计单位发生舞弊导致的重大错报风险的领域及方式</w:t>
      </w:r>
    </w:p>
    <w:p w14:paraId="70CD4A48"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B.被审计单位存在的舞弊风险因素</w:t>
      </w:r>
    </w:p>
    <w:p w14:paraId="0EA7ADEF"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C.被审计单位管理层凌驾于内部控制之上的可能性</w:t>
      </w:r>
    </w:p>
    <w:p w14:paraId="51C87461"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D.审计项目组应对舞弊导致的重大错报风险的审计程序</w:t>
      </w:r>
    </w:p>
    <w:p w14:paraId="12257CD1"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43320DA8"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【点评】应对本题，看似考查原文背记，实则考查对知识点</w:t>
      </w:r>
      <w:r>
        <w:rPr>
          <w:rFonts w:cs="Calibri" w:hint="eastAsia"/>
          <w:b/>
          <w:bCs/>
          <w:color w:val="FF0000"/>
          <w:sz w:val="21"/>
          <w:szCs w:val="21"/>
        </w:rPr>
        <w:t>理解和归纳</w:t>
      </w:r>
      <w:r>
        <w:rPr>
          <w:rFonts w:cs="Calibri" w:hint="eastAsia"/>
          <w:color w:val="3F3F3F"/>
          <w:sz w:val="21"/>
          <w:szCs w:val="21"/>
        </w:rPr>
        <w:t>的能力；如果同学们通过死记硬背学习本知识点，投入产出比过大。选项A和选项B属于“致险因素”的范畴，选项C属于“舞弊情形”的范畴，选项D属于“应对措施”的范畴，均应当在组织项目组讨论时予以关注。</w:t>
      </w:r>
    </w:p>
    <w:p w14:paraId="7242B48E"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三、识别和评估舞弊导致的重大错报风险</w:t>
      </w:r>
      <w:r>
        <w:rPr>
          <w:rFonts w:cs="Calibri" w:hint="eastAsia"/>
          <w:b/>
          <w:bCs/>
          <w:color w:val="FF0000"/>
          <w:sz w:val="21"/>
          <w:szCs w:val="21"/>
        </w:rPr>
        <w:t>【单选题/简答题高频考点】【链接第9章】</w:t>
      </w:r>
    </w:p>
    <w:p w14:paraId="04159337" w14:textId="77777777" w:rsidR="0024032E" w:rsidRDefault="0024032E" w:rsidP="0024032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"http://webupload.admin.dongao.com/biz/handout/img/2019/20190524/20190524093818343002.png"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52pt">
            <v:imagedata r:id="rId9" r:href="rId10"/>
          </v:shape>
        </w:pict>
      </w:r>
      <w:r>
        <w:rPr>
          <w:rFonts w:ascii="Calibri" w:eastAsia="微软雅黑" w:hAnsi="Calibri" w:cs="Calibri"/>
          <w:color w:val="3F3F3F"/>
          <w:sz w:val="21"/>
          <w:szCs w:val="21"/>
        </w:rPr>
        <w:fldChar w:fldCharType="end"/>
      </w:r>
    </w:p>
    <w:p w14:paraId="4ABD608C"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1.舞弊导致的重大错报风险属于</w:t>
      </w:r>
      <w:r>
        <w:rPr>
          <w:rFonts w:cs="Calibri" w:hint="eastAsia"/>
          <w:b/>
          <w:bCs/>
          <w:color w:val="FF0000"/>
          <w:sz w:val="21"/>
          <w:szCs w:val="21"/>
        </w:rPr>
        <w:t>特别风险</w:t>
      </w:r>
      <w:r>
        <w:rPr>
          <w:rFonts w:cs="Calibri" w:hint="eastAsia"/>
          <w:color w:val="3F3F3F"/>
          <w:sz w:val="21"/>
          <w:szCs w:val="21"/>
        </w:rPr>
        <w:t>。</w:t>
      </w:r>
    </w:p>
    <w:p w14:paraId="5E2DC435"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2.注册会计师应当基于</w:t>
      </w:r>
      <w:r>
        <w:rPr>
          <w:rFonts w:cs="Calibri" w:hint="eastAsia"/>
          <w:b/>
          <w:bCs/>
          <w:color w:val="FF0000"/>
          <w:sz w:val="21"/>
          <w:szCs w:val="21"/>
        </w:rPr>
        <w:t>收入确认存在舞弊风险</w:t>
      </w:r>
      <w:r>
        <w:rPr>
          <w:rFonts w:cs="Calibri" w:hint="eastAsia"/>
          <w:color w:val="3F3F3F"/>
          <w:sz w:val="21"/>
          <w:szCs w:val="21"/>
        </w:rPr>
        <w:t>的假定，评价哪些类型的收入、收入交易或认定导致舞弊风险。</w:t>
      </w:r>
    </w:p>
    <w:p w14:paraId="1CCD0DEE"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3.如</w:t>
      </w:r>
      <w:r>
        <w:rPr>
          <w:rFonts w:cs="Calibri" w:hint="eastAsia"/>
          <w:b/>
          <w:bCs/>
          <w:color w:val="FF0000"/>
          <w:sz w:val="21"/>
          <w:szCs w:val="21"/>
        </w:rPr>
        <w:t>未将</w:t>
      </w:r>
      <w:r>
        <w:rPr>
          <w:rFonts w:cs="Calibri" w:hint="eastAsia"/>
          <w:color w:val="3F3F3F"/>
          <w:sz w:val="21"/>
          <w:szCs w:val="21"/>
        </w:rPr>
        <w:t>收入确认作为由于舞弊导致的重大错报风险领域，应在工作底稿中记录得出该结论的理由。</w:t>
      </w:r>
    </w:p>
    <w:p w14:paraId="019C33CA"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07B7511"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单项选择题【2012年真题】</w:t>
      </w:r>
    </w:p>
    <w:p w14:paraId="7B46FF37"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在识别和评估重大错报风险时，下列各项中，注册会计师应当假定存在舞弊风险的是（　　）。</w:t>
      </w:r>
    </w:p>
    <w:p w14:paraId="6DB9D7D0"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A.复杂衍生金融工具的计价</w:t>
      </w:r>
    </w:p>
    <w:p w14:paraId="0D994A11"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B.存货的可变现净值</w:t>
      </w:r>
    </w:p>
    <w:p w14:paraId="4CBB1942"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C.收入确认</w:t>
      </w:r>
    </w:p>
    <w:p w14:paraId="40C4E3D3"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D.应付账款的完整性</w:t>
      </w:r>
    </w:p>
    <w:p w14:paraId="5C64F03D"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27614527"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【点评】注册会计师应当基于</w:t>
      </w:r>
      <w:r>
        <w:rPr>
          <w:rFonts w:cs="Calibri" w:hint="eastAsia"/>
          <w:b/>
          <w:bCs/>
          <w:color w:val="FF0000"/>
          <w:sz w:val="21"/>
          <w:szCs w:val="21"/>
        </w:rPr>
        <w:t>收入确认</w:t>
      </w:r>
      <w:r>
        <w:rPr>
          <w:rFonts w:cs="Calibri" w:hint="eastAsia"/>
          <w:color w:val="3F3F3F"/>
          <w:sz w:val="21"/>
          <w:szCs w:val="21"/>
        </w:rPr>
        <w:t>存在</w:t>
      </w:r>
      <w:r>
        <w:rPr>
          <w:rFonts w:cs="Calibri" w:hint="eastAsia"/>
          <w:b/>
          <w:bCs/>
          <w:color w:val="FF0000"/>
          <w:sz w:val="21"/>
          <w:szCs w:val="21"/>
        </w:rPr>
        <w:t>舞弊风险</w:t>
      </w:r>
      <w:r>
        <w:rPr>
          <w:rFonts w:cs="Calibri" w:hint="eastAsia"/>
          <w:color w:val="3F3F3F"/>
          <w:sz w:val="21"/>
          <w:szCs w:val="21"/>
        </w:rPr>
        <w:t>的假定，评价哪些类型的收入、收入交易或认定导致舞弊风险。</w:t>
      </w:r>
    </w:p>
    <w:p w14:paraId="59A6BFB5" w14:textId="77777777" w:rsidR="0024032E" w:rsidRDefault="0024032E" w:rsidP="0024032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单项选择题【2014年真题】</w:t>
      </w:r>
    </w:p>
    <w:p w14:paraId="6D157B16"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下列有关舞弊导致的重大错报风险的说法中，错误的是（　　）。</w:t>
      </w:r>
    </w:p>
    <w:p w14:paraId="6C1FF041"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A.编制虚假财务报告导致的重大错报风险，大于侵占资产导致的重大错报风险</w:t>
      </w:r>
    </w:p>
    <w:p w14:paraId="2050D1CB"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B.舞弊导致的重大错报未被发现的风险，大于错误导致的重大错报未被发现的风险</w:t>
      </w:r>
    </w:p>
    <w:p w14:paraId="578D2D0A"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C.所有被审计单位都存在管理层凌驾于控制之上的风险</w:t>
      </w:r>
    </w:p>
    <w:p w14:paraId="5E05BFBC"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D.收入确认存在舞弊风险的假定可能不适用于所有审计项目</w:t>
      </w:r>
    </w:p>
    <w:p w14:paraId="1D9966BE"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21073987" w14:textId="77777777" w:rsidR="0024032E" w:rsidRDefault="0024032E" w:rsidP="0024032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【点评】选项A中，编制虚假财务报告导致的重大错报风险与侵占资产导致的重大错报风险之间</w:t>
      </w:r>
      <w:r>
        <w:rPr>
          <w:rFonts w:cs="Calibri" w:hint="eastAsia"/>
          <w:b/>
          <w:bCs/>
          <w:color w:val="FF0000"/>
          <w:sz w:val="21"/>
          <w:szCs w:val="21"/>
        </w:rPr>
        <w:t>没有</w:t>
      </w:r>
      <w:r>
        <w:rPr>
          <w:rFonts w:cs="Calibri" w:hint="eastAsia"/>
          <w:color w:val="3F3F3F"/>
          <w:sz w:val="21"/>
          <w:szCs w:val="21"/>
        </w:rPr>
        <w:t>必然的高低关系；选项B中，舞弊导致的重大错报未被发现的风险，</w:t>
      </w:r>
      <w:r>
        <w:rPr>
          <w:rFonts w:cs="Calibri" w:hint="eastAsia"/>
          <w:b/>
          <w:bCs/>
          <w:color w:val="FF0000"/>
          <w:sz w:val="21"/>
          <w:szCs w:val="21"/>
        </w:rPr>
        <w:t>大于</w:t>
      </w:r>
      <w:r>
        <w:rPr>
          <w:rFonts w:cs="Calibri" w:hint="eastAsia"/>
          <w:color w:val="3F3F3F"/>
          <w:sz w:val="21"/>
          <w:szCs w:val="21"/>
        </w:rPr>
        <w:t>错误导致的重大错报未被发现的风险；选项C中，由于管理层在被审计单位的地位，管理层凌驾于控制之上的风险在</w:t>
      </w:r>
      <w:r>
        <w:rPr>
          <w:rFonts w:cs="Calibri" w:hint="eastAsia"/>
          <w:b/>
          <w:bCs/>
          <w:color w:val="FF0000"/>
          <w:sz w:val="21"/>
          <w:szCs w:val="21"/>
        </w:rPr>
        <w:t>所有</w:t>
      </w:r>
      <w:r>
        <w:rPr>
          <w:rFonts w:cs="Calibri" w:hint="eastAsia"/>
          <w:color w:val="3F3F3F"/>
          <w:sz w:val="21"/>
          <w:szCs w:val="21"/>
        </w:rPr>
        <w:t>被审计单位中</w:t>
      </w:r>
      <w:r>
        <w:rPr>
          <w:rFonts w:cs="Calibri" w:hint="eastAsia"/>
          <w:b/>
          <w:bCs/>
          <w:color w:val="FF0000"/>
          <w:sz w:val="21"/>
          <w:szCs w:val="21"/>
        </w:rPr>
        <w:t>都会存在</w:t>
      </w:r>
      <w:r>
        <w:rPr>
          <w:rFonts w:cs="Calibri" w:hint="eastAsia"/>
          <w:color w:val="3F3F3F"/>
          <w:sz w:val="21"/>
          <w:szCs w:val="21"/>
        </w:rPr>
        <w:t>；选项D中，如果认为收入确认存在舞弊风险的假定不适用于业务的具体情况，从而未将收入确认作为由于舞弊导致的重大错报风险领域，注册会计师应当在审计工作底稿中记录得出该结论的理由。</w:t>
      </w:r>
    </w:p>
    <w:p w14:paraId="2D36B3DB" w14:textId="77777777" w:rsidR="0024032E" w:rsidRDefault="0024032E" w:rsidP="0024032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69E9ACC" w14:textId="77777777" w:rsidR="0024032E" w:rsidRDefault="0024032E" w:rsidP="0024032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"http://webupload.admin.dongao.com/biz/handout/img/2019/20190524/20190524093818946003.png"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37pt">
            <v:imagedata r:id="rId11" r:href="rId12"/>
          </v:shape>
        </w:pict>
      </w:r>
      <w:r>
        <w:rPr>
          <w:rFonts w:ascii="Calibri" w:eastAsia="微软雅黑" w:hAnsi="Calibri" w:cs="Calibri"/>
          <w:color w:val="3F3F3F"/>
          <w:sz w:val="21"/>
          <w:szCs w:val="21"/>
        </w:rPr>
        <w:fldChar w:fldCharType="end"/>
      </w:r>
    </w:p>
    <w:p w14:paraId="2DA54D77" w14:textId="77777777" w:rsidR="0024032E" w:rsidRDefault="0024032E" w:rsidP="0024032E">
      <w:pPr>
        <w:shd w:val="clear" w:color="auto" w:fill="FFFFFF"/>
        <w:rPr>
          <w:rFonts w:ascii="微软雅黑" w:eastAsia="微软雅黑" w:hAnsi="微软雅黑" w:cs="宋体"/>
          <w:color w:val="3F3F3F"/>
          <w:szCs w:val="21"/>
        </w:rPr>
      </w:pPr>
    </w:p>
    <w:p w14:paraId="3999A167" w14:textId="77777777" w:rsidR="00271D8C" w:rsidRPr="0024032E" w:rsidRDefault="00271D8C" w:rsidP="0024032E">
      <w:pPr>
        <w:rPr>
          <w:rFonts w:hint="eastAsia"/>
        </w:rPr>
      </w:pPr>
    </w:p>
    <w:sectPr w:rsidR="00271D8C" w:rsidRPr="0024032E" w:rsidSect="001F62DD">
      <w:headerReference w:type="default" r:id="rId13"/>
      <w:footerReference w:type="default" r:id="rId1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882FF" w14:textId="77777777" w:rsidR="005C0758" w:rsidRDefault="005C0758" w:rsidP="00CD53C5">
      <w:r>
        <w:separator/>
      </w:r>
    </w:p>
  </w:endnote>
  <w:endnote w:type="continuationSeparator" w:id="0">
    <w:p w14:paraId="50F566BA" w14:textId="77777777" w:rsidR="005C0758" w:rsidRDefault="005C0758"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28D09493" w14:textId="77777777" w:rsidTr="007B0BFD">
      <w:trPr>
        <w:trHeight w:val="274"/>
      </w:trPr>
      <w:tc>
        <w:tcPr>
          <w:tcW w:w="2050" w:type="dxa"/>
          <w:shd w:val="clear" w:color="auto" w:fill="auto"/>
          <w:vAlign w:val="center"/>
        </w:tcPr>
        <w:p w14:paraId="3F42E14D"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visibility:visible">
                <v:imagedata r:id="rId1" o:title=""/>
              </v:shape>
            </w:pict>
          </w:r>
        </w:p>
      </w:tc>
      <w:tc>
        <w:tcPr>
          <w:tcW w:w="3742" w:type="dxa"/>
          <w:shd w:val="clear" w:color="auto" w:fill="auto"/>
          <w:vAlign w:val="center"/>
        </w:tcPr>
        <w:p w14:paraId="03CA19B3"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7B488984"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64E09C8C"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1B7B8" w14:textId="77777777" w:rsidR="005C0758" w:rsidRDefault="005C0758" w:rsidP="00CD53C5">
      <w:r>
        <w:separator/>
      </w:r>
    </w:p>
  </w:footnote>
  <w:footnote w:type="continuationSeparator" w:id="0">
    <w:p w14:paraId="3AC9B1E8" w14:textId="77777777" w:rsidR="005C0758" w:rsidRDefault="005C0758"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5F27AE96" w14:textId="77777777" w:rsidTr="007B0BFD">
      <w:trPr>
        <w:trHeight w:val="501"/>
      </w:trPr>
      <w:tc>
        <w:tcPr>
          <w:tcW w:w="4272" w:type="dxa"/>
          <w:shd w:val="clear" w:color="auto" w:fill="auto"/>
          <w:vAlign w:val="center"/>
        </w:tcPr>
        <w:p w14:paraId="5ACBFF27" w14:textId="77777777" w:rsidR="001545C6" w:rsidRPr="001F62DD" w:rsidRDefault="0024032E"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F085EBF" w14:textId="77777777" w:rsidR="001545C6" w:rsidRPr="004D61E7" w:rsidRDefault="0024032E"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第十三章</w:t>
          </w:r>
          <w:r>
            <w:rPr>
              <w:rFonts w:ascii="微软雅黑" w:eastAsia="微软雅黑" w:hAnsi="微软雅黑"/>
              <w:sz w:val="24"/>
              <w:szCs w:val="24"/>
            </w:rPr>
            <w:t>+对舞弊和法律法规的考虑</w:t>
          </w:r>
        </w:p>
      </w:tc>
    </w:tr>
  </w:tbl>
  <w:p w14:paraId="10618B3C"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4032E"/>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0758"/>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51772"/>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4159182"/>
  <w15:docId w15:val="{CF214B75-5CFA-4338-9EFE-7DA379C6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442338193">
      <w:bodyDiv w:val="1"/>
      <w:marLeft w:val="0"/>
      <w:marRight w:val="0"/>
      <w:marTop w:val="0"/>
      <w:marBottom w:val="0"/>
      <w:divBdr>
        <w:top w:val="none" w:sz="0" w:space="0" w:color="auto"/>
        <w:left w:val="none" w:sz="0" w:space="0" w:color="auto"/>
        <w:bottom w:val="none" w:sz="0" w:space="0" w:color="auto"/>
        <w:right w:val="none" w:sz="0" w:space="0" w:color="auto"/>
      </w:divBdr>
      <w:divsChild>
        <w:div w:id="692606647">
          <w:marLeft w:val="0"/>
          <w:marRight w:val="0"/>
          <w:marTop w:val="0"/>
          <w:marBottom w:val="0"/>
          <w:divBdr>
            <w:top w:val="none" w:sz="0" w:space="0" w:color="auto"/>
            <w:left w:val="none" w:sz="0" w:space="0" w:color="auto"/>
            <w:bottom w:val="none" w:sz="0" w:space="0" w:color="auto"/>
            <w:right w:val="none" w:sz="0" w:space="0" w:color="auto"/>
          </w:divBdr>
          <w:divsChild>
            <w:div w:id="1209797463">
              <w:marLeft w:val="0"/>
              <w:marRight w:val="0"/>
              <w:marTop w:val="0"/>
              <w:marBottom w:val="0"/>
              <w:divBdr>
                <w:top w:val="none" w:sz="0" w:space="0" w:color="auto"/>
                <w:left w:val="none" w:sz="0" w:space="0" w:color="auto"/>
                <w:bottom w:val="none" w:sz="0" w:space="0" w:color="auto"/>
                <w:right w:val="none" w:sz="0" w:space="0" w:color="auto"/>
              </w:divBdr>
              <w:divsChild>
                <w:div w:id="643437154">
                  <w:marLeft w:val="0"/>
                  <w:marRight w:val="0"/>
                  <w:marTop w:val="0"/>
                  <w:marBottom w:val="0"/>
                  <w:divBdr>
                    <w:top w:val="none" w:sz="0" w:space="0" w:color="auto"/>
                    <w:left w:val="none" w:sz="0" w:space="0" w:color="auto"/>
                    <w:bottom w:val="none" w:sz="0" w:space="0" w:color="auto"/>
                    <w:right w:val="none" w:sz="0" w:space="0" w:color="auto"/>
                  </w:divBdr>
                </w:div>
                <w:div w:id="19608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014918988">
      <w:bodyDiv w:val="1"/>
      <w:marLeft w:val="0"/>
      <w:marRight w:val="0"/>
      <w:marTop w:val="0"/>
      <w:marBottom w:val="0"/>
      <w:divBdr>
        <w:top w:val="none" w:sz="0" w:space="0" w:color="auto"/>
        <w:left w:val="none" w:sz="0" w:space="0" w:color="auto"/>
        <w:bottom w:val="none" w:sz="0" w:space="0" w:color="auto"/>
        <w:right w:val="none" w:sz="0" w:space="0" w:color="auto"/>
      </w:divBdr>
      <w:divsChild>
        <w:div w:id="2137527564">
          <w:marLeft w:val="0"/>
          <w:marRight w:val="0"/>
          <w:marTop w:val="0"/>
          <w:marBottom w:val="0"/>
          <w:divBdr>
            <w:top w:val="none" w:sz="0" w:space="0" w:color="auto"/>
            <w:left w:val="none" w:sz="0" w:space="0" w:color="auto"/>
            <w:bottom w:val="none" w:sz="0" w:space="0" w:color="auto"/>
            <w:right w:val="none" w:sz="0" w:space="0" w:color="auto"/>
          </w:divBdr>
          <w:divsChild>
            <w:div w:id="156917748">
              <w:marLeft w:val="0"/>
              <w:marRight w:val="0"/>
              <w:marTop w:val="0"/>
              <w:marBottom w:val="0"/>
              <w:divBdr>
                <w:top w:val="none" w:sz="0" w:space="0" w:color="auto"/>
                <w:left w:val="none" w:sz="0" w:space="0" w:color="auto"/>
                <w:bottom w:val="none" w:sz="0" w:space="0" w:color="auto"/>
                <w:right w:val="none" w:sz="0" w:space="0" w:color="auto"/>
              </w:divBdr>
            </w:div>
            <w:div w:id="290330951">
              <w:marLeft w:val="0"/>
              <w:marRight w:val="0"/>
              <w:marTop w:val="0"/>
              <w:marBottom w:val="0"/>
              <w:divBdr>
                <w:top w:val="none" w:sz="0" w:space="0" w:color="auto"/>
                <w:left w:val="none" w:sz="0" w:space="0" w:color="auto"/>
                <w:bottom w:val="none" w:sz="0" w:space="0" w:color="auto"/>
                <w:right w:val="none" w:sz="0" w:space="0" w:color="auto"/>
              </w:divBdr>
            </w:div>
            <w:div w:id="334384232">
              <w:marLeft w:val="0"/>
              <w:marRight w:val="0"/>
              <w:marTop w:val="0"/>
              <w:marBottom w:val="0"/>
              <w:divBdr>
                <w:top w:val="none" w:sz="0" w:space="0" w:color="auto"/>
                <w:left w:val="none" w:sz="0" w:space="0" w:color="auto"/>
                <w:bottom w:val="none" w:sz="0" w:space="0" w:color="auto"/>
                <w:right w:val="none" w:sz="0" w:space="0" w:color="auto"/>
              </w:divBdr>
            </w:div>
            <w:div w:id="418794715">
              <w:marLeft w:val="0"/>
              <w:marRight w:val="0"/>
              <w:marTop w:val="0"/>
              <w:marBottom w:val="0"/>
              <w:divBdr>
                <w:top w:val="none" w:sz="0" w:space="0" w:color="auto"/>
                <w:left w:val="none" w:sz="0" w:space="0" w:color="auto"/>
                <w:bottom w:val="none" w:sz="0" w:space="0" w:color="auto"/>
                <w:right w:val="none" w:sz="0" w:space="0" w:color="auto"/>
              </w:divBdr>
            </w:div>
            <w:div w:id="502597404">
              <w:marLeft w:val="0"/>
              <w:marRight w:val="0"/>
              <w:marTop w:val="0"/>
              <w:marBottom w:val="0"/>
              <w:divBdr>
                <w:top w:val="none" w:sz="0" w:space="0" w:color="auto"/>
                <w:left w:val="none" w:sz="0" w:space="0" w:color="auto"/>
                <w:bottom w:val="none" w:sz="0" w:space="0" w:color="auto"/>
                <w:right w:val="none" w:sz="0" w:space="0" w:color="auto"/>
              </w:divBdr>
            </w:div>
            <w:div w:id="514733660">
              <w:marLeft w:val="0"/>
              <w:marRight w:val="0"/>
              <w:marTop w:val="0"/>
              <w:marBottom w:val="0"/>
              <w:divBdr>
                <w:top w:val="none" w:sz="0" w:space="0" w:color="auto"/>
                <w:left w:val="none" w:sz="0" w:space="0" w:color="auto"/>
                <w:bottom w:val="none" w:sz="0" w:space="0" w:color="auto"/>
                <w:right w:val="none" w:sz="0" w:space="0" w:color="auto"/>
              </w:divBdr>
            </w:div>
            <w:div w:id="544411550">
              <w:marLeft w:val="0"/>
              <w:marRight w:val="0"/>
              <w:marTop w:val="0"/>
              <w:marBottom w:val="0"/>
              <w:divBdr>
                <w:top w:val="none" w:sz="0" w:space="0" w:color="auto"/>
                <w:left w:val="none" w:sz="0" w:space="0" w:color="auto"/>
                <w:bottom w:val="none" w:sz="0" w:space="0" w:color="auto"/>
                <w:right w:val="none" w:sz="0" w:space="0" w:color="auto"/>
              </w:divBdr>
            </w:div>
            <w:div w:id="569461335">
              <w:marLeft w:val="0"/>
              <w:marRight w:val="0"/>
              <w:marTop w:val="0"/>
              <w:marBottom w:val="0"/>
              <w:divBdr>
                <w:top w:val="none" w:sz="0" w:space="0" w:color="auto"/>
                <w:left w:val="none" w:sz="0" w:space="0" w:color="auto"/>
                <w:bottom w:val="none" w:sz="0" w:space="0" w:color="auto"/>
                <w:right w:val="none" w:sz="0" w:space="0" w:color="auto"/>
              </w:divBdr>
            </w:div>
            <w:div w:id="698049725">
              <w:marLeft w:val="0"/>
              <w:marRight w:val="0"/>
              <w:marTop w:val="0"/>
              <w:marBottom w:val="0"/>
              <w:divBdr>
                <w:top w:val="none" w:sz="0" w:space="0" w:color="auto"/>
                <w:left w:val="none" w:sz="0" w:space="0" w:color="auto"/>
                <w:bottom w:val="none" w:sz="0" w:space="0" w:color="auto"/>
                <w:right w:val="none" w:sz="0" w:space="0" w:color="auto"/>
              </w:divBdr>
            </w:div>
            <w:div w:id="721833889">
              <w:marLeft w:val="0"/>
              <w:marRight w:val="0"/>
              <w:marTop w:val="0"/>
              <w:marBottom w:val="0"/>
              <w:divBdr>
                <w:top w:val="none" w:sz="0" w:space="0" w:color="auto"/>
                <w:left w:val="none" w:sz="0" w:space="0" w:color="auto"/>
                <w:bottom w:val="none" w:sz="0" w:space="0" w:color="auto"/>
                <w:right w:val="none" w:sz="0" w:space="0" w:color="auto"/>
              </w:divBdr>
            </w:div>
            <w:div w:id="1073746693">
              <w:marLeft w:val="0"/>
              <w:marRight w:val="0"/>
              <w:marTop w:val="0"/>
              <w:marBottom w:val="0"/>
              <w:divBdr>
                <w:top w:val="none" w:sz="0" w:space="0" w:color="auto"/>
                <w:left w:val="none" w:sz="0" w:space="0" w:color="auto"/>
                <w:bottom w:val="none" w:sz="0" w:space="0" w:color="auto"/>
                <w:right w:val="none" w:sz="0" w:space="0" w:color="auto"/>
              </w:divBdr>
            </w:div>
            <w:div w:id="1091047821">
              <w:marLeft w:val="0"/>
              <w:marRight w:val="0"/>
              <w:marTop w:val="0"/>
              <w:marBottom w:val="0"/>
              <w:divBdr>
                <w:top w:val="none" w:sz="0" w:space="0" w:color="auto"/>
                <w:left w:val="none" w:sz="0" w:space="0" w:color="auto"/>
                <w:bottom w:val="none" w:sz="0" w:space="0" w:color="auto"/>
                <w:right w:val="none" w:sz="0" w:space="0" w:color="auto"/>
              </w:divBdr>
            </w:div>
            <w:div w:id="1264339305">
              <w:marLeft w:val="0"/>
              <w:marRight w:val="0"/>
              <w:marTop w:val="0"/>
              <w:marBottom w:val="0"/>
              <w:divBdr>
                <w:top w:val="none" w:sz="0" w:space="0" w:color="auto"/>
                <w:left w:val="none" w:sz="0" w:space="0" w:color="auto"/>
                <w:bottom w:val="none" w:sz="0" w:space="0" w:color="auto"/>
                <w:right w:val="none" w:sz="0" w:space="0" w:color="auto"/>
              </w:divBdr>
            </w:div>
            <w:div w:id="1354763739">
              <w:marLeft w:val="0"/>
              <w:marRight w:val="0"/>
              <w:marTop w:val="0"/>
              <w:marBottom w:val="0"/>
              <w:divBdr>
                <w:top w:val="none" w:sz="0" w:space="0" w:color="auto"/>
                <w:left w:val="none" w:sz="0" w:space="0" w:color="auto"/>
                <w:bottom w:val="none" w:sz="0" w:space="0" w:color="auto"/>
                <w:right w:val="none" w:sz="0" w:space="0" w:color="auto"/>
              </w:divBdr>
            </w:div>
            <w:div w:id="1397388940">
              <w:marLeft w:val="0"/>
              <w:marRight w:val="0"/>
              <w:marTop w:val="0"/>
              <w:marBottom w:val="0"/>
              <w:divBdr>
                <w:top w:val="none" w:sz="0" w:space="0" w:color="auto"/>
                <w:left w:val="none" w:sz="0" w:space="0" w:color="auto"/>
                <w:bottom w:val="none" w:sz="0" w:space="0" w:color="auto"/>
                <w:right w:val="none" w:sz="0" w:space="0" w:color="auto"/>
              </w:divBdr>
            </w:div>
            <w:div w:id="1608074409">
              <w:marLeft w:val="0"/>
              <w:marRight w:val="0"/>
              <w:marTop w:val="0"/>
              <w:marBottom w:val="0"/>
              <w:divBdr>
                <w:top w:val="none" w:sz="0" w:space="0" w:color="auto"/>
                <w:left w:val="none" w:sz="0" w:space="0" w:color="auto"/>
                <w:bottom w:val="none" w:sz="0" w:space="0" w:color="auto"/>
                <w:right w:val="none" w:sz="0" w:space="0" w:color="auto"/>
              </w:divBdr>
            </w:div>
            <w:div w:id="1871915242">
              <w:marLeft w:val="0"/>
              <w:marRight w:val="0"/>
              <w:marTop w:val="0"/>
              <w:marBottom w:val="0"/>
              <w:divBdr>
                <w:top w:val="none" w:sz="0" w:space="0" w:color="auto"/>
                <w:left w:val="none" w:sz="0" w:space="0" w:color="auto"/>
                <w:bottom w:val="none" w:sz="0" w:space="0" w:color="auto"/>
                <w:right w:val="none" w:sz="0" w:space="0" w:color="auto"/>
              </w:divBdr>
            </w:div>
            <w:div w:id="20571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24/20190524093818993001.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524/2019052409381894600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ebupload.admin.dongao.com/biz/handout/img/2019/20190524/20190524093818343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44986-518F-4777-B204-6676D901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