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45218" w14:textId="77777777" w:rsidR="0012006A" w:rsidRDefault="0012006A" w:rsidP="0012006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第四编</w:t>
      </w:r>
      <w:r>
        <w:rPr>
          <w:rFonts w:cs="Calibri" w:hint="eastAsia"/>
          <w:b/>
          <w:bCs/>
          <w:color w:val="3F3F3F"/>
          <w:sz w:val="50"/>
          <w:szCs w:val="50"/>
        </w:rPr>
        <w:t>•</w:t>
      </w:r>
      <w:r>
        <w:rPr>
          <w:rFonts w:ascii="楷体" w:eastAsia="楷体" w:hAnsi="楷体" w:cs="Calibri" w:hint="eastAsia"/>
          <w:b/>
          <w:bCs/>
          <w:color w:val="3F3F3F"/>
          <w:sz w:val="50"/>
          <w:szCs w:val="50"/>
        </w:rPr>
        <w:t>第十三章</w:t>
      </w:r>
      <w:r>
        <w:rPr>
          <w:rFonts w:cs="Calibri" w:hint="eastAsia"/>
          <w:b/>
          <w:bCs/>
          <w:color w:val="3F3F3F"/>
          <w:sz w:val="50"/>
          <w:szCs w:val="50"/>
        </w:rPr>
        <w:t>•</w:t>
      </w:r>
      <w:r>
        <w:rPr>
          <w:rFonts w:ascii="楷体" w:eastAsia="楷体" w:hAnsi="楷体" w:cs="Calibri" w:hint="eastAsia"/>
          <w:b/>
          <w:bCs/>
          <w:color w:val="3F3F3F"/>
          <w:sz w:val="50"/>
          <w:szCs w:val="50"/>
        </w:rPr>
        <w:t>对舞弊和法律法规的考虑</w:t>
      </w:r>
    </w:p>
    <w:p w14:paraId="25FE3AB0" w14:textId="77777777" w:rsidR="0012006A" w:rsidRDefault="0012006A" w:rsidP="0012006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51E2EDB" w14:textId="77777777" w:rsidR="0012006A" w:rsidRDefault="0012006A" w:rsidP="0012006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财务报表审计中与舞弊相关的责任</w:t>
      </w:r>
    </w:p>
    <w:p w14:paraId="11F854E3" w14:textId="77777777" w:rsidR="0012006A" w:rsidRDefault="0012006A" w:rsidP="0012006A">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五、会计分录测试</w:t>
      </w:r>
    </w:p>
    <w:p w14:paraId="7EDD4D52"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（一）对注册会计师的要求</w:t>
      </w:r>
      <w:r>
        <w:rPr>
          <w:rFonts w:cs="Calibri" w:hint="eastAsia"/>
          <w:b/>
          <w:bCs/>
          <w:color w:val="FF0000"/>
          <w:sz w:val="21"/>
          <w:szCs w:val="21"/>
        </w:rPr>
        <w:t>【单选题考点】</w:t>
      </w:r>
    </w:p>
    <w:p w14:paraId="0AEC4039"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所有</w:t>
      </w:r>
      <w:r>
        <w:rPr>
          <w:rFonts w:cs="Calibri" w:hint="eastAsia"/>
          <w:color w:val="3F3F3F"/>
          <w:sz w:val="21"/>
          <w:szCs w:val="21"/>
        </w:rPr>
        <w:t>被审计单位都存在管理层凌驾于控制之上的风险；</w:t>
      </w:r>
    </w:p>
    <w:p w14:paraId="246880E2"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2.在</w:t>
      </w:r>
      <w:r>
        <w:rPr>
          <w:rFonts w:cs="Calibri" w:hint="eastAsia"/>
          <w:b/>
          <w:bCs/>
          <w:color w:val="FF0000"/>
          <w:sz w:val="21"/>
          <w:szCs w:val="21"/>
        </w:rPr>
        <w:t>所有</w:t>
      </w:r>
      <w:r>
        <w:rPr>
          <w:rFonts w:cs="Calibri" w:hint="eastAsia"/>
          <w:color w:val="3F3F3F"/>
          <w:sz w:val="21"/>
          <w:szCs w:val="21"/>
        </w:rPr>
        <w:t>财务报表审计业务中，注册会计师</w:t>
      </w:r>
      <w:r>
        <w:rPr>
          <w:rFonts w:cs="Calibri" w:hint="eastAsia"/>
          <w:b/>
          <w:bCs/>
          <w:color w:val="FF0000"/>
          <w:sz w:val="21"/>
          <w:szCs w:val="21"/>
        </w:rPr>
        <w:t>都需要</w:t>
      </w:r>
      <w:r>
        <w:rPr>
          <w:rFonts w:cs="Calibri" w:hint="eastAsia"/>
          <w:color w:val="3F3F3F"/>
          <w:sz w:val="21"/>
          <w:szCs w:val="21"/>
        </w:rPr>
        <w:t>专门针对管理层凌驾于控制之上的风险设计和实施会计分录测试。</w:t>
      </w:r>
    </w:p>
    <w:p w14:paraId="58251E17" w14:textId="77777777" w:rsidR="0012006A" w:rsidRDefault="0012006A" w:rsidP="0012006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"http://webupload.admin.dongao.com/biz/handout/img/2019/20190527/20190527134911241001.png"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4.5pt">
            <v:imagedata r:id="rId7" r:href="rId8"/>
          </v:shape>
        </w:pict>
      </w:r>
      <w:r>
        <w:rPr>
          <w:rFonts w:ascii="Calibri" w:eastAsia="微软雅黑" w:hAnsi="Calibri" w:cs="Calibri"/>
          <w:color w:val="3F3F3F"/>
          <w:sz w:val="21"/>
          <w:szCs w:val="21"/>
        </w:rPr>
        <w:fldChar w:fldCharType="end"/>
      </w:r>
    </w:p>
    <w:p w14:paraId="230036D8"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（二）会计分录和其他调整的类型</w:t>
      </w:r>
    </w:p>
    <w:p w14:paraId="5A44B1D1"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会计分录</w:t>
      </w:r>
      <w:r>
        <w:rPr>
          <w:rFonts w:cs="Calibri" w:hint="eastAsia"/>
          <w:b/>
          <w:bCs/>
          <w:color w:val="FF0000"/>
          <w:sz w:val="21"/>
          <w:szCs w:val="21"/>
        </w:rPr>
        <w:t>测试的对象</w:t>
      </w:r>
      <w:r>
        <w:rPr>
          <w:rFonts w:cs="Calibri" w:hint="eastAsia"/>
          <w:color w:val="3F3F3F"/>
          <w:sz w:val="21"/>
          <w:szCs w:val="21"/>
        </w:rPr>
        <w:t>是与被审计财务报表相关的所有会计分录和其他调整，</w:t>
      </w:r>
      <w:r>
        <w:rPr>
          <w:rFonts w:cs="Calibri" w:hint="eastAsia"/>
          <w:b/>
          <w:bCs/>
          <w:color w:val="FF0000"/>
          <w:sz w:val="21"/>
          <w:szCs w:val="21"/>
        </w:rPr>
        <w:t>包括</w:t>
      </w:r>
      <w:r>
        <w:rPr>
          <w:rFonts w:cs="Calibri" w:hint="eastAsia"/>
          <w:color w:val="3F3F3F"/>
          <w:sz w:val="21"/>
          <w:szCs w:val="21"/>
        </w:rPr>
        <w:t>编制合并报表时作出的调整分录和抵销分录。分录和调整分为下列三种：</w:t>
      </w:r>
    </w:p>
    <w:tbl>
      <w:tblPr>
        <w:tblW w:w="8505" w:type="dxa"/>
        <w:jc w:val="center"/>
        <w:tblCellMar>
          <w:left w:w="0" w:type="dxa"/>
          <w:right w:w="0" w:type="dxa"/>
        </w:tblCellMar>
        <w:tblLook w:val="04A0" w:firstRow="1" w:lastRow="0" w:firstColumn="1" w:lastColumn="0" w:noHBand="0" w:noVBand="1"/>
      </w:tblPr>
      <w:tblGrid>
        <w:gridCol w:w="2085"/>
        <w:gridCol w:w="6420"/>
      </w:tblGrid>
      <w:tr w:rsidR="0012006A" w14:paraId="71E39065" w14:textId="77777777" w:rsidTr="0012006A">
        <w:trPr>
          <w:trHeight w:val="93"/>
          <w:jc w:val="center"/>
        </w:trPr>
        <w:tc>
          <w:tcPr>
            <w:tcW w:w="20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66855B"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64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16B326"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12006A" w14:paraId="01EBCC50" w14:textId="77777777" w:rsidTr="0012006A">
        <w:trPr>
          <w:trHeight w:val="558"/>
          <w:jc w:val="center"/>
        </w:trPr>
        <w:tc>
          <w:tcPr>
            <w:tcW w:w="20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27597E" w14:textId="77777777" w:rsidR="0012006A" w:rsidRDefault="0012006A" w:rsidP="0012006A">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1.标准会计分录</w:t>
            </w:r>
          </w:p>
        </w:tc>
        <w:tc>
          <w:tcPr>
            <w:tcW w:w="64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A118B4"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（1）记录内容：记录日常经营活动或经常性的会计估计</w:t>
            </w:r>
          </w:p>
          <w:p w14:paraId="113D9ABE"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（2）记录人员：通常由会计人员作出或会计系统自动生成</w:t>
            </w:r>
          </w:p>
          <w:p w14:paraId="03662D7D"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（3）影响因素：受信息系统一般控制和其他系统性控制的影响</w:t>
            </w:r>
          </w:p>
        </w:tc>
      </w:tr>
      <w:tr w:rsidR="0012006A" w14:paraId="4FA2EF17" w14:textId="77777777" w:rsidTr="0012006A">
        <w:trPr>
          <w:trHeight w:val="558"/>
          <w:jc w:val="center"/>
        </w:trPr>
        <w:tc>
          <w:tcPr>
            <w:tcW w:w="20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09B982" w14:textId="77777777" w:rsidR="0012006A" w:rsidRDefault="0012006A" w:rsidP="0012006A">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2.非标准会计分录</w:t>
            </w:r>
          </w:p>
        </w:tc>
        <w:tc>
          <w:tcPr>
            <w:tcW w:w="64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1E7CA7"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（1）记录内容：记录日常经营活动之外的事项或异常交易，可能包括</w:t>
            </w:r>
            <w:r>
              <w:rPr>
                <w:rFonts w:cs="Calibri" w:hint="eastAsia"/>
                <w:b/>
                <w:bCs/>
                <w:color w:val="FF0000"/>
                <w:sz w:val="21"/>
                <w:szCs w:val="21"/>
              </w:rPr>
              <w:t>特殊资产减值准备的计提</w:t>
            </w:r>
            <w:r>
              <w:rPr>
                <w:rFonts w:cs="Calibri" w:hint="eastAsia"/>
                <w:color w:val="333333"/>
                <w:sz w:val="21"/>
                <w:szCs w:val="21"/>
              </w:rPr>
              <w:t>、</w:t>
            </w:r>
            <w:r>
              <w:rPr>
                <w:rFonts w:cs="Calibri" w:hint="eastAsia"/>
                <w:b/>
                <w:bCs/>
                <w:color w:val="FF0000"/>
                <w:sz w:val="21"/>
                <w:szCs w:val="21"/>
              </w:rPr>
              <w:t>期末调整分录</w:t>
            </w:r>
            <w:r>
              <w:rPr>
                <w:rFonts w:cs="Calibri" w:hint="eastAsia"/>
                <w:color w:val="333333"/>
                <w:sz w:val="21"/>
                <w:szCs w:val="21"/>
              </w:rPr>
              <w:t>等</w:t>
            </w:r>
          </w:p>
          <w:p w14:paraId="3AA10E00"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（2）特征：此类分录通常容易被管理层用来操纵利润，并且可能涉及任何报表项目，非标准会计分录可能具有</w:t>
            </w:r>
            <w:r>
              <w:rPr>
                <w:rFonts w:cs="Calibri" w:hint="eastAsia"/>
                <w:b/>
                <w:bCs/>
                <w:color w:val="FF0000"/>
                <w:sz w:val="21"/>
                <w:szCs w:val="21"/>
              </w:rPr>
              <w:t>较高</w:t>
            </w:r>
            <w:r>
              <w:rPr>
                <w:rFonts w:cs="Calibri" w:hint="eastAsia"/>
                <w:color w:val="333333"/>
                <w:sz w:val="21"/>
                <w:szCs w:val="21"/>
              </w:rPr>
              <w:t>的重大错报风险</w:t>
            </w:r>
          </w:p>
        </w:tc>
      </w:tr>
      <w:tr w:rsidR="0012006A" w14:paraId="7EF134AE" w14:textId="77777777" w:rsidTr="0012006A">
        <w:trPr>
          <w:trHeight w:val="60"/>
          <w:jc w:val="center"/>
        </w:trPr>
        <w:tc>
          <w:tcPr>
            <w:tcW w:w="20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BB1E12" w14:textId="77777777" w:rsidR="0012006A" w:rsidRDefault="0012006A" w:rsidP="0012006A">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3.其他调整</w:t>
            </w:r>
          </w:p>
        </w:tc>
        <w:tc>
          <w:tcPr>
            <w:tcW w:w="64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7D74C6"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（1）记录内容：包括为编制合并报表作出的调整分录和</w:t>
            </w:r>
            <w:r>
              <w:rPr>
                <w:rFonts w:cs="Calibri" w:hint="eastAsia"/>
                <w:b/>
                <w:bCs/>
                <w:color w:val="FF0000"/>
                <w:sz w:val="21"/>
                <w:szCs w:val="21"/>
              </w:rPr>
              <w:t>抵销分录</w:t>
            </w:r>
            <w:r>
              <w:rPr>
                <w:rFonts w:cs="Calibri" w:hint="eastAsia"/>
                <w:color w:val="333333"/>
                <w:sz w:val="21"/>
                <w:szCs w:val="21"/>
              </w:rPr>
              <w:t>、</w:t>
            </w:r>
            <w:r>
              <w:rPr>
                <w:rFonts w:cs="Calibri" w:hint="eastAsia"/>
                <w:b/>
                <w:bCs/>
                <w:color w:val="FF0000"/>
                <w:sz w:val="21"/>
                <w:szCs w:val="21"/>
              </w:rPr>
              <w:t>重分类调整</w:t>
            </w:r>
            <w:r>
              <w:rPr>
                <w:rFonts w:cs="Calibri" w:hint="eastAsia"/>
                <w:color w:val="333333"/>
                <w:sz w:val="21"/>
                <w:szCs w:val="21"/>
              </w:rPr>
              <w:t>等</w:t>
            </w:r>
          </w:p>
          <w:p w14:paraId="50F5C0C5"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（2）特征：其他调整可能</w:t>
            </w:r>
            <w:r>
              <w:rPr>
                <w:rFonts w:cs="Calibri" w:hint="eastAsia"/>
                <w:b/>
                <w:bCs/>
                <w:color w:val="FF0000"/>
                <w:sz w:val="21"/>
                <w:szCs w:val="21"/>
              </w:rPr>
              <w:t>不受</w:t>
            </w:r>
            <w:r>
              <w:rPr>
                <w:rFonts w:cs="Calibri" w:hint="eastAsia"/>
                <w:color w:val="333333"/>
                <w:sz w:val="21"/>
                <w:szCs w:val="21"/>
              </w:rPr>
              <w:t>内部控制的影响</w:t>
            </w:r>
          </w:p>
        </w:tc>
      </w:tr>
    </w:tbl>
    <w:p w14:paraId="067F05BA" w14:textId="77777777" w:rsidR="0012006A" w:rsidRDefault="0012006A" w:rsidP="0012006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"http://webupload.admin.dongao.com/biz/handout/img/2019/20190527/20190527134911950002.png"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64pt">
            <v:imagedata r:id="rId9" r:href="rId10"/>
          </v:shape>
        </w:pict>
      </w:r>
      <w:r>
        <w:rPr>
          <w:rFonts w:ascii="Calibri" w:eastAsia="微软雅黑" w:hAnsi="Calibri" w:cs="Calibri"/>
          <w:color w:val="3F3F3F"/>
          <w:sz w:val="21"/>
          <w:szCs w:val="21"/>
        </w:rPr>
        <w:fldChar w:fldCharType="end"/>
      </w:r>
    </w:p>
    <w:p w14:paraId="520B76A1"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（三）会计分录和其他调整的测试步骤</w:t>
      </w:r>
      <w:r>
        <w:rPr>
          <w:rFonts w:cs="Calibri" w:hint="eastAsia"/>
          <w:b/>
          <w:bCs/>
          <w:color w:val="FF0000"/>
          <w:sz w:val="21"/>
          <w:szCs w:val="21"/>
        </w:rPr>
        <w:t>【简答题考点】</w:t>
      </w:r>
    </w:p>
    <w:tbl>
      <w:tblPr>
        <w:tblW w:w="8505" w:type="dxa"/>
        <w:jc w:val="center"/>
        <w:tblCellMar>
          <w:left w:w="0" w:type="dxa"/>
          <w:right w:w="0" w:type="dxa"/>
        </w:tblCellMar>
        <w:tblLook w:val="04A0" w:firstRow="1" w:lastRow="0" w:firstColumn="1" w:lastColumn="0" w:noHBand="0" w:noVBand="1"/>
      </w:tblPr>
      <w:tblGrid>
        <w:gridCol w:w="1500"/>
        <w:gridCol w:w="7005"/>
      </w:tblGrid>
      <w:tr w:rsidR="0012006A" w14:paraId="0E614220" w14:textId="77777777" w:rsidTr="0012006A">
        <w:trPr>
          <w:trHeight w:val="126"/>
          <w:jc w:val="center"/>
        </w:trPr>
        <w:tc>
          <w:tcPr>
            <w:tcW w:w="1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D2D1F6"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步骤</w:t>
            </w:r>
          </w:p>
        </w:tc>
        <w:tc>
          <w:tcPr>
            <w:tcW w:w="70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ECD8B2E"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12006A" w14:paraId="368FB3B9" w14:textId="77777777" w:rsidTr="0012006A">
        <w:trPr>
          <w:trHeight w:val="378"/>
          <w:jc w:val="center"/>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27401"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1.考虑控制</w:t>
            </w:r>
          </w:p>
        </w:tc>
        <w:tc>
          <w:tcPr>
            <w:tcW w:w="70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9934E9"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了解</w:t>
            </w:r>
            <w:r>
              <w:rPr>
                <w:rFonts w:cs="Calibri" w:hint="eastAsia"/>
                <w:color w:val="333333"/>
                <w:sz w:val="21"/>
                <w:szCs w:val="21"/>
              </w:rPr>
              <w:t>被审计单位的财务报告流程以及针对分录和其他调整的控制，</w:t>
            </w:r>
            <w:r>
              <w:rPr>
                <w:rFonts w:cs="Calibri" w:hint="eastAsia"/>
                <w:b/>
                <w:bCs/>
                <w:color w:val="FF0000"/>
                <w:sz w:val="21"/>
                <w:szCs w:val="21"/>
              </w:rPr>
              <w:t>必要时测试</w:t>
            </w:r>
            <w:r>
              <w:rPr>
                <w:rFonts w:cs="Calibri" w:hint="eastAsia"/>
                <w:color w:val="333333"/>
                <w:sz w:val="21"/>
                <w:szCs w:val="21"/>
              </w:rPr>
              <w:t>相关控制的运行有效性</w:t>
            </w:r>
          </w:p>
        </w:tc>
      </w:tr>
      <w:tr w:rsidR="0012006A" w14:paraId="3F876470" w14:textId="77777777" w:rsidTr="0012006A">
        <w:trPr>
          <w:trHeight w:val="252"/>
          <w:jc w:val="center"/>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EE9B52"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2.确定总体</w:t>
            </w:r>
          </w:p>
        </w:tc>
        <w:tc>
          <w:tcPr>
            <w:tcW w:w="70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C96DD4"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确定待测试分录和其他调整的总体，并测试总体的</w:t>
            </w:r>
            <w:r>
              <w:rPr>
                <w:rFonts w:cs="Calibri" w:hint="eastAsia"/>
                <w:b/>
                <w:bCs/>
                <w:color w:val="FF0000"/>
                <w:sz w:val="21"/>
                <w:szCs w:val="21"/>
              </w:rPr>
              <w:t>完整性</w:t>
            </w:r>
          </w:p>
        </w:tc>
      </w:tr>
      <w:tr w:rsidR="0012006A" w14:paraId="0BE0A74F" w14:textId="77777777" w:rsidTr="0012006A">
        <w:trPr>
          <w:trHeight w:val="126"/>
          <w:jc w:val="center"/>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24F16E"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3.选取项目</w:t>
            </w:r>
          </w:p>
        </w:tc>
        <w:tc>
          <w:tcPr>
            <w:tcW w:w="70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4EF382"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从总体中</w:t>
            </w:r>
            <w:r>
              <w:rPr>
                <w:rFonts w:cs="Calibri" w:hint="eastAsia"/>
                <w:b/>
                <w:bCs/>
                <w:color w:val="FF0000"/>
                <w:sz w:val="21"/>
                <w:szCs w:val="21"/>
              </w:rPr>
              <w:t>选取</w:t>
            </w:r>
            <w:r>
              <w:rPr>
                <w:rFonts w:cs="Calibri" w:hint="eastAsia"/>
                <w:color w:val="333333"/>
                <w:sz w:val="21"/>
                <w:szCs w:val="21"/>
              </w:rPr>
              <w:t>待测试的会计分录及其他调整</w:t>
            </w:r>
          </w:p>
        </w:tc>
      </w:tr>
      <w:tr w:rsidR="0012006A" w14:paraId="68378E58" w14:textId="77777777" w:rsidTr="0012006A">
        <w:trPr>
          <w:trHeight w:val="378"/>
          <w:jc w:val="center"/>
        </w:trPr>
        <w:tc>
          <w:tcPr>
            <w:tcW w:w="15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7F3673"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4.执行测试</w:t>
            </w:r>
          </w:p>
        </w:tc>
        <w:tc>
          <w:tcPr>
            <w:tcW w:w="70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58AED2"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测试</w:t>
            </w:r>
            <w:r>
              <w:rPr>
                <w:rFonts w:cs="Calibri" w:hint="eastAsia"/>
                <w:color w:val="333333"/>
                <w:sz w:val="21"/>
                <w:szCs w:val="21"/>
              </w:rPr>
              <w:t>选取的分录及调整，并记录测试结果。在实施测试时，采用计算机辅助审计技术或电子表格，可以显著提高会计分录测试的效率和效果</w:t>
            </w:r>
          </w:p>
        </w:tc>
      </w:tr>
    </w:tbl>
    <w:p w14:paraId="365CC0ED" w14:textId="77777777" w:rsidR="0012006A" w:rsidRDefault="0012006A" w:rsidP="0012006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"http://webupload.admin.dongao.com/biz/handout/img/2019/20190527/20190527134911182003.png"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184.5pt">
            <v:imagedata r:id="rId11" r:href="rId12"/>
          </v:shape>
        </w:pict>
      </w:r>
      <w:r>
        <w:rPr>
          <w:rFonts w:ascii="Calibri" w:eastAsia="微软雅黑" w:hAnsi="Calibri" w:cs="Calibri"/>
          <w:color w:val="3F3F3F"/>
          <w:sz w:val="21"/>
          <w:szCs w:val="21"/>
        </w:rPr>
        <w:fldChar w:fldCharType="end"/>
      </w:r>
    </w:p>
    <w:p w14:paraId="1F6220B6"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（四）针对会计分录和其他调整的控制</w:t>
      </w:r>
    </w:p>
    <w:tbl>
      <w:tblPr>
        <w:tblW w:w="8505" w:type="dxa"/>
        <w:jc w:val="center"/>
        <w:tblCellMar>
          <w:left w:w="0" w:type="dxa"/>
          <w:right w:w="0" w:type="dxa"/>
        </w:tblCellMar>
        <w:tblLook w:val="04A0" w:firstRow="1" w:lastRow="0" w:firstColumn="1" w:lastColumn="0" w:noHBand="0" w:noVBand="1"/>
      </w:tblPr>
      <w:tblGrid>
        <w:gridCol w:w="1521"/>
        <w:gridCol w:w="6984"/>
      </w:tblGrid>
      <w:tr w:rsidR="0012006A" w14:paraId="0152E8CB" w14:textId="77777777" w:rsidTr="0012006A">
        <w:trPr>
          <w:trHeight w:val="146"/>
          <w:jc w:val="center"/>
        </w:trPr>
        <w:tc>
          <w:tcPr>
            <w:tcW w:w="15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8DAD14"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69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0358C44"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12006A" w14:paraId="0C6AC5DE" w14:textId="77777777" w:rsidTr="0012006A">
        <w:trPr>
          <w:trHeight w:val="293"/>
          <w:jc w:val="center"/>
        </w:trPr>
        <w:tc>
          <w:tcPr>
            <w:tcW w:w="15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7049"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职责分离</w:t>
            </w:r>
          </w:p>
        </w:tc>
        <w:tc>
          <w:tcPr>
            <w:tcW w:w="6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1597BB"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针对分录和其他调整的授权、过账、审核、核对等方面设置</w:t>
            </w:r>
            <w:r>
              <w:rPr>
                <w:rFonts w:cs="Calibri" w:hint="eastAsia"/>
                <w:b/>
                <w:bCs/>
                <w:color w:val="FF0000"/>
                <w:sz w:val="21"/>
                <w:szCs w:val="21"/>
              </w:rPr>
              <w:t>职责分离</w:t>
            </w:r>
          </w:p>
        </w:tc>
      </w:tr>
      <w:tr w:rsidR="0012006A" w14:paraId="177DEF8E" w14:textId="77777777" w:rsidTr="0012006A">
        <w:trPr>
          <w:trHeight w:val="293"/>
          <w:jc w:val="center"/>
        </w:trPr>
        <w:tc>
          <w:tcPr>
            <w:tcW w:w="15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357C75"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访问权限</w:t>
            </w:r>
          </w:p>
        </w:tc>
        <w:tc>
          <w:tcPr>
            <w:tcW w:w="6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F49827"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在会计系统中设置系统</w:t>
            </w:r>
            <w:r>
              <w:rPr>
                <w:rFonts w:cs="Calibri" w:hint="eastAsia"/>
                <w:b/>
                <w:bCs/>
                <w:color w:val="FF0000"/>
                <w:sz w:val="21"/>
                <w:szCs w:val="21"/>
              </w:rPr>
              <w:t>访问权限</w:t>
            </w:r>
            <w:r>
              <w:rPr>
                <w:rFonts w:cs="Calibri" w:hint="eastAsia"/>
                <w:color w:val="333333"/>
                <w:sz w:val="21"/>
                <w:szCs w:val="21"/>
              </w:rPr>
              <w:t>，用以控制会计分录的记录权和审批权</w:t>
            </w:r>
          </w:p>
        </w:tc>
      </w:tr>
      <w:tr w:rsidR="0012006A" w14:paraId="16298CA6" w14:textId="77777777" w:rsidTr="0012006A">
        <w:trPr>
          <w:trHeight w:val="275"/>
          <w:jc w:val="center"/>
        </w:trPr>
        <w:tc>
          <w:tcPr>
            <w:tcW w:w="15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5BD6D4"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控制措施</w:t>
            </w:r>
          </w:p>
        </w:tc>
        <w:tc>
          <w:tcPr>
            <w:tcW w:w="6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D5E5B"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用以防止并发现虚假分录或未经授权的更改的控制</w:t>
            </w:r>
            <w:r>
              <w:rPr>
                <w:rFonts w:cs="Calibri" w:hint="eastAsia"/>
                <w:b/>
                <w:bCs/>
                <w:color w:val="FF0000"/>
                <w:sz w:val="21"/>
                <w:szCs w:val="21"/>
              </w:rPr>
              <w:t>措施</w:t>
            </w:r>
          </w:p>
        </w:tc>
      </w:tr>
      <w:tr w:rsidR="0012006A" w14:paraId="044A0DE0" w14:textId="77777777" w:rsidTr="0012006A">
        <w:trPr>
          <w:trHeight w:val="413"/>
          <w:jc w:val="center"/>
        </w:trPr>
        <w:tc>
          <w:tcPr>
            <w:tcW w:w="15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0569A3"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持续监督</w:t>
            </w:r>
          </w:p>
        </w:tc>
        <w:tc>
          <w:tcPr>
            <w:tcW w:w="6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B267F0"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由管理层、治理层或其他适当人员对分录记录和过入总账以及在编制财务报表过程中作出其他调整的过程进行</w:t>
            </w:r>
            <w:r>
              <w:rPr>
                <w:rFonts w:cs="Calibri" w:hint="eastAsia"/>
                <w:b/>
                <w:bCs/>
                <w:color w:val="FF0000"/>
                <w:sz w:val="21"/>
                <w:szCs w:val="21"/>
              </w:rPr>
              <w:t>监督</w:t>
            </w:r>
          </w:p>
        </w:tc>
      </w:tr>
      <w:tr w:rsidR="0012006A" w14:paraId="48A9E2D5" w14:textId="77777777" w:rsidTr="0012006A">
        <w:trPr>
          <w:trHeight w:val="146"/>
          <w:jc w:val="center"/>
        </w:trPr>
        <w:tc>
          <w:tcPr>
            <w:tcW w:w="15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02F9E2"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定期测试</w:t>
            </w:r>
          </w:p>
        </w:tc>
        <w:tc>
          <w:tcPr>
            <w:tcW w:w="6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390CB9"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由内部审计人员</w:t>
            </w:r>
            <w:r>
              <w:rPr>
                <w:rFonts w:cs="Calibri" w:hint="eastAsia"/>
                <w:b/>
                <w:bCs/>
                <w:color w:val="FF0000"/>
                <w:sz w:val="21"/>
                <w:szCs w:val="21"/>
              </w:rPr>
              <w:t>定期测试</w:t>
            </w:r>
            <w:r>
              <w:rPr>
                <w:rFonts w:cs="Calibri" w:hint="eastAsia"/>
                <w:color w:val="333333"/>
                <w:sz w:val="21"/>
                <w:szCs w:val="21"/>
              </w:rPr>
              <w:t>控制运行的有效性</w:t>
            </w:r>
          </w:p>
        </w:tc>
      </w:tr>
    </w:tbl>
    <w:p w14:paraId="386FE61D"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（五）确定待测试的总体并测试完整性</w:t>
      </w:r>
    </w:p>
    <w:p w14:paraId="37DBAD1E"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1.确定待测试的总体</w:t>
      </w:r>
      <w:r>
        <w:rPr>
          <w:rFonts w:cs="Calibri" w:hint="eastAsia"/>
          <w:b/>
          <w:bCs/>
          <w:color w:val="FF0000"/>
          <w:sz w:val="21"/>
          <w:szCs w:val="21"/>
        </w:rPr>
        <w:t>【简答题考点】</w:t>
      </w:r>
    </w:p>
    <w:p w14:paraId="018D35CA"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（1）虚假分录和调整通常在期末作出，审计准则要求注册会计师选择</w:t>
      </w:r>
      <w:r>
        <w:rPr>
          <w:rFonts w:cs="Calibri" w:hint="eastAsia"/>
          <w:b/>
          <w:bCs/>
          <w:color w:val="FF0000"/>
          <w:sz w:val="21"/>
          <w:szCs w:val="21"/>
        </w:rPr>
        <w:t>报告期末</w:t>
      </w:r>
      <w:r>
        <w:rPr>
          <w:rFonts w:cs="Calibri" w:hint="eastAsia"/>
          <w:color w:val="3F3F3F"/>
          <w:sz w:val="21"/>
          <w:szCs w:val="21"/>
        </w:rPr>
        <w:t>的分录和调整进行测试；</w:t>
      </w:r>
    </w:p>
    <w:p w14:paraId="21552A5A"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（2）舞弊导致的重大错报可能发生于整个会计期间，审计准则</w:t>
      </w:r>
      <w:r>
        <w:rPr>
          <w:rFonts w:cs="Calibri" w:hint="eastAsia"/>
          <w:b/>
          <w:bCs/>
          <w:color w:val="FF0000"/>
          <w:sz w:val="21"/>
          <w:szCs w:val="21"/>
        </w:rPr>
        <w:t>要求</w:t>
      </w:r>
      <w:r>
        <w:rPr>
          <w:rFonts w:cs="Calibri" w:hint="eastAsia"/>
          <w:color w:val="3F3F3F"/>
          <w:sz w:val="21"/>
          <w:szCs w:val="21"/>
        </w:rPr>
        <w:t>注册会计师考虑是否有必要</w:t>
      </w:r>
      <w:r>
        <w:rPr>
          <w:rFonts w:cs="Calibri" w:hint="eastAsia"/>
          <w:b/>
          <w:bCs/>
          <w:color w:val="FF0000"/>
          <w:sz w:val="21"/>
          <w:szCs w:val="21"/>
        </w:rPr>
        <w:t>测试整个会计期间</w:t>
      </w:r>
      <w:r>
        <w:rPr>
          <w:rFonts w:cs="Calibri" w:hint="eastAsia"/>
          <w:color w:val="3F3F3F"/>
          <w:sz w:val="21"/>
          <w:szCs w:val="21"/>
        </w:rPr>
        <w:t>的分录和其他调整。</w:t>
      </w:r>
    </w:p>
    <w:p w14:paraId="5B46795D"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2.测试总体的完整性</w:t>
      </w:r>
    </w:p>
    <w:p w14:paraId="39AAD2BE"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（1）对注册会计师的要求</w:t>
      </w:r>
      <w:r>
        <w:rPr>
          <w:rFonts w:cs="Calibri" w:hint="eastAsia"/>
          <w:b/>
          <w:bCs/>
          <w:color w:val="FF0000"/>
          <w:sz w:val="21"/>
          <w:szCs w:val="21"/>
        </w:rPr>
        <w:t>【简答题考点】</w:t>
      </w:r>
    </w:p>
    <w:p w14:paraId="69639F08"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确定待测试会计分录和其他调整的总体后，注册会计师</w:t>
      </w:r>
      <w:r>
        <w:rPr>
          <w:rFonts w:cs="Calibri" w:hint="eastAsia"/>
          <w:b/>
          <w:bCs/>
          <w:color w:val="FF0000"/>
          <w:sz w:val="21"/>
          <w:szCs w:val="21"/>
        </w:rPr>
        <w:t>需要</w:t>
      </w:r>
      <w:r>
        <w:rPr>
          <w:rFonts w:cs="Calibri" w:hint="eastAsia"/>
          <w:color w:val="3F3F3F"/>
          <w:sz w:val="21"/>
          <w:szCs w:val="21"/>
        </w:rPr>
        <w:t>针对该总体实施审计程序</w:t>
      </w:r>
      <w:r>
        <w:rPr>
          <w:rFonts w:cs="Calibri" w:hint="eastAsia"/>
          <w:b/>
          <w:bCs/>
          <w:color w:val="FF0000"/>
          <w:sz w:val="21"/>
          <w:szCs w:val="21"/>
        </w:rPr>
        <w:t>以确定总体的完整性</w:t>
      </w:r>
      <w:r>
        <w:rPr>
          <w:rFonts w:cs="Calibri" w:hint="eastAsia"/>
          <w:color w:val="3F3F3F"/>
          <w:sz w:val="21"/>
          <w:szCs w:val="21"/>
        </w:rPr>
        <w:t>；</w:t>
      </w:r>
    </w:p>
    <w:p w14:paraId="2DD8F835"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（2）考虑因素</w:t>
      </w:r>
      <w:r>
        <w:rPr>
          <w:rFonts w:cs="Calibri" w:hint="eastAsia"/>
          <w:b/>
          <w:bCs/>
          <w:color w:val="FF0000"/>
          <w:sz w:val="21"/>
          <w:szCs w:val="21"/>
        </w:rPr>
        <w:t>【多选题考点】</w:t>
      </w:r>
    </w:p>
    <w:p w14:paraId="77B6DE38"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a）由于舞弊导致的财务报表</w:t>
      </w:r>
      <w:r>
        <w:rPr>
          <w:rFonts w:cs="Calibri" w:hint="eastAsia"/>
          <w:b/>
          <w:bCs/>
          <w:color w:val="FF0000"/>
          <w:sz w:val="21"/>
          <w:szCs w:val="21"/>
        </w:rPr>
        <w:t>重大错报风险</w:t>
      </w:r>
      <w:r>
        <w:rPr>
          <w:rFonts w:cs="Calibri" w:hint="eastAsia"/>
          <w:color w:val="3F3F3F"/>
          <w:sz w:val="21"/>
          <w:szCs w:val="21"/>
        </w:rPr>
        <w:t>；</w:t>
      </w:r>
    </w:p>
    <w:p w14:paraId="3D7809CC"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b）对被审计单位</w:t>
      </w:r>
      <w:r>
        <w:rPr>
          <w:rFonts w:cs="Calibri" w:hint="eastAsia"/>
          <w:b/>
          <w:bCs/>
          <w:color w:val="FF0000"/>
          <w:sz w:val="21"/>
          <w:szCs w:val="21"/>
        </w:rPr>
        <w:t>财务报告流程</w:t>
      </w:r>
      <w:r>
        <w:rPr>
          <w:rFonts w:cs="Calibri" w:hint="eastAsia"/>
          <w:color w:val="3F3F3F"/>
          <w:sz w:val="21"/>
          <w:szCs w:val="21"/>
        </w:rPr>
        <w:t>的了解。</w:t>
      </w:r>
    </w:p>
    <w:p w14:paraId="411CAFE6"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（3）测试程序</w:t>
      </w:r>
    </w:p>
    <w:p w14:paraId="0494EDC4"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a）从会计信息系统中</w:t>
      </w:r>
      <w:r>
        <w:rPr>
          <w:rFonts w:cs="Calibri" w:hint="eastAsia"/>
          <w:b/>
          <w:bCs/>
          <w:color w:val="FF0000"/>
          <w:sz w:val="21"/>
          <w:szCs w:val="21"/>
        </w:rPr>
        <w:t>导出</w:t>
      </w:r>
      <w:r>
        <w:rPr>
          <w:rFonts w:cs="Calibri" w:hint="eastAsia"/>
          <w:color w:val="3F3F3F"/>
          <w:sz w:val="21"/>
          <w:szCs w:val="21"/>
        </w:rPr>
        <w:t>所有待测试分录和调整；</w:t>
      </w:r>
    </w:p>
    <w:p w14:paraId="60721832"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b）加计所有分录和调整的本期发生额，与科目余额表中的各科目本期</w:t>
      </w:r>
      <w:r>
        <w:rPr>
          <w:rFonts w:cs="Calibri" w:hint="eastAsia"/>
          <w:b/>
          <w:bCs/>
          <w:color w:val="FF0000"/>
          <w:sz w:val="21"/>
          <w:szCs w:val="21"/>
        </w:rPr>
        <w:t>发生额</w:t>
      </w:r>
      <w:r>
        <w:rPr>
          <w:rFonts w:cs="Calibri" w:hint="eastAsia"/>
          <w:color w:val="3F3F3F"/>
          <w:sz w:val="21"/>
          <w:szCs w:val="21"/>
        </w:rPr>
        <w:t>核对相符；</w:t>
      </w:r>
    </w:p>
    <w:p w14:paraId="14172583"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c）将系统生成的重要账户余额与明细账和总账及科目余额表中的</w:t>
      </w:r>
      <w:r>
        <w:rPr>
          <w:rFonts w:cs="Calibri" w:hint="eastAsia"/>
          <w:b/>
          <w:bCs/>
          <w:color w:val="FF0000"/>
          <w:sz w:val="21"/>
          <w:szCs w:val="21"/>
        </w:rPr>
        <w:t>余额</w:t>
      </w:r>
      <w:r>
        <w:rPr>
          <w:rFonts w:cs="Calibri" w:hint="eastAsia"/>
          <w:color w:val="3F3F3F"/>
          <w:sz w:val="21"/>
          <w:szCs w:val="21"/>
        </w:rPr>
        <w:t>核对，测试计算准确性；</w:t>
      </w:r>
    </w:p>
    <w:p w14:paraId="5706C2EB"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d）检查所有</w:t>
      </w:r>
      <w:r>
        <w:rPr>
          <w:rFonts w:cs="Calibri" w:hint="eastAsia"/>
          <w:b/>
          <w:bCs/>
          <w:color w:val="FF0000"/>
          <w:sz w:val="21"/>
          <w:szCs w:val="21"/>
        </w:rPr>
        <w:t>结账</w:t>
      </w:r>
      <w:r>
        <w:rPr>
          <w:rFonts w:cs="Calibri" w:hint="eastAsia"/>
          <w:color w:val="3F3F3F"/>
          <w:sz w:val="21"/>
          <w:szCs w:val="21"/>
        </w:rPr>
        <w:t>后作出的与本期财务报表有关的分录和其他调整，测试其完整性；</w:t>
      </w:r>
    </w:p>
    <w:p w14:paraId="39709148"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e）将总账与财务</w:t>
      </w:r>
      <w:r>
        <w:rPr>
          <w:rFonts w:cs="Calibri" w:hint="eastAsia"/>
          <w:b/>
          <w:bCs/>
          <w:color w:val="FF0000"/>
          <w:sz w:val="21"/>
          <w:szCs w:val="21"/>
        </w:rPr>
        <w:t>报表</w:t>
      </w:r>
      <w:r>
        <w:rPr>
          <w:rFonts w:cs="Calibri" w:hint="eastAsia"/>
          <w:color w:val="3F3F3F"/>
          <w:sz w:val="21"/>
          <w:szCs w:val="21"/>
        </w:rPr>
        <w:t>核对，以检查是否存在其他调整。</w:t>
      </w:r>
    </w:p>
    <w:p w14:paraId="2E823DD1" w14:textId="77777777" w:rsidR="0012006A" w:rsidRDefault="0012006A" w:rsidP="0012006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"http://webupload.admin.dongao.com/biz/handout/img/2019/20190527/20190527134911611004.png"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194.25pt">
            <v:imagedata r:id="rId13" r:href="rId14"/>
          </v:shape>
        </w:pict>
      </w:r>
      <w:r>
        <w:rPr>
          <w:rFonts w:ascii="Calibri" w:eastAsia="微软雅黑" w:hAnsi="Calibri" w:cs="Calibri"/>
          <w:color w:val="3F3F3F"/>
          <w:sz w:val="21"/>
          <w:szCs w:val="21"/>
        </w:rPr>
        <w:fldChar w:fldCharType="end"/>
      </w:r>
    </w:p>
    <w:p w14:paraId="558A396A" w14:textId="77777777" w:rsidR="0012006A" w:rsidRDefault="0012006A" w:rsidP="0012006A">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（六）选取并测试会计分录和其他调整时考虑的因素</w:t>
      </w:r>
    </w:p>
    <w:p w14:paraId="32C98414"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注册会计师可以考虑</w:t>
      </w:r>
      <w:r>
        <w:rPr>
          <w:rFonts w:cs="Calibri" w:hint="eastAsia"/>
          <w:b/>
          <w:bCs/>
          <w:color w:val="FF0000"/>
          <w:sz w:val="21"/>
          <w:szCs w:val="21"/>
        </w:rPr>
        <w:t>6项因素</w:t>
      </w:r>
      <w:r>
        <w:rPr>
          <w:rFonts w:cs="Calibri" w:hint="eastAsia"/>
          <w:color w:val="3F3F3F"/>
          <w:sz w:val="21"/>
          <w:szCs w:val="21"/>
        </w:rPr>
        <w:t>，此外由于会计分录测试的主要</w:t>
      </w:r>
      <w:r>
        <w:rPr>
          <w:rFonts w:cs="Calibri" w:hint="eastAsia"/>
          <w:b/>
          <w:bCs/>
          <w:color w:val="FF0000"/>
          <w:sz w:val="21"/>
          <w:szCs w:val="21"/>
        </w:rPr>
        <w:t>目的</w:t>
      </w:r>
      <w:r>
        <w:rPr>
          <w:rFonts w:cs="Calibri" w:hint="eastAsia"/>
          <w:color w:val="3F3F3F"/>
          <w:sz w:val="21"/>
          <w:szCs w:val="21"/>
        </w:rPr>
        <w:t>是应对管理层凌驾于内部控制之上的风险，因此，注册会计师在选取并测试会计分录和其他调整时</w:t>
      </w:r>
      <w:r>
        <w:rPr>
          <w:rFonts w:cs="Calibri" w:hint="eastAsia"/>
          <w:b/>
          <w:bCs/>
          <w:color w:val="FF0000"/>
          <w:sz w:val="21"/>
          <w:szCs w:val="21"/>
        </w:rPr>
        <w:t>增加不可预见性</w:t>
      </w:r>
      <w:r>
        <w:rPr>
          <w:rFonts w:cs="Calibri" w:hint="eastAsia"/>
          <w:color w:val="3F3F3F"/>
          <w:sz w:val="21"/>
          <w:szCs w:val="21"/>
        </w:rPr>
        <w:t>。</w:t>
      </w:r>
    </w:p>
    <w:p w14:paraId="77DCD4AB"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注册会计师可以考虑6项因素：</w:t>
      </w:r>
    </w:p>
    <w:tbl>
      <w:tblPr>
        <w:tblW w:w="8505" w:type="dxa"/>
        <w:jc w:val="center"/>
        <w:tblCellMar>
          <w:left w:w="0" w:type="dxa"/>
          <w:right w:w="0" w:type="dxa"/>
        </w:tblCellMar>
        <w:tblLook w:val="04A0" w:firstRow="1" w:lastRow="0" w:firstColumn="1" w:lastColumn="0" w:noHBand="0" w:noVBand="1"/>
      </w:tblPr>
      <w:tblGrid>
        <w:gridCol w:w="8505"/>
      </w:tblGrid>
      <w:tr w:rsidR="0012006A" w14:paraId="058B4D1C" w14:textId="77777777" w:rsidTr="0012006A">
        <w:trPr>
          <w:trHeight w:val="111"/>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D7A96B" w14:textId="77777777" w:rsidR="0012006A" w:rsidRDefault="0012006A" w:rsidP="0012006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r>
      <w:tr w:rsidR="0012006A" w14:paraId="16BBE0C6" w14:textId="77777777" w:rsidTr="0012006A">
        <w:trPr>
          <w:trHeight w:val="11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19D98D"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1.对由于舞弊导致的重大错报风险的评估</w:t>
            </w:r>
          </w:p>
        </w:tc>
      </w:tr>
      <w:tr w:rsidR="0012006A" w14:paraId="107B3720" w14:textId="77777777" w:rsidTr="0012006A">
        <w:trPr>
          <w:trHeight w:val="598"/>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AACAA5"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2.对会计分录和其他调整已实施的控制</w:t>
            </w:r>
          </w:p>
          <w:p w14:paraId="732CF70D"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（1）控制运行的有效性测试有效，可以缩小所需实施的实质性程序的范围</w:t>
            </w:r>
          </w:p>
          <w:p w14:paraId="1F0EA922"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（2）但应注意的是，注册会计师需要充分考虑管理层凌驾于控制之上的风险</w:t>
            </w:r>
          </w:p>
        </w:tc>
      </w:tr>
      <w:tr w:rsidR="0012006A" w14:paraId="7AE12624" w14:textId="77777777" w:rsidTr="0012006A">
        <w:trPr>
          <w:trHeight w:val="11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E7BD3"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3.被审计单位的财务报告过程以及所能获取的证据的性质</w:t>
            </w:r>
          </w:p>
        </w:tc>
      </w:tr>
      <w:tr w:rsidR="0012006A" w14:paraId="0F7E2421" w14:textId="77777777" w:rsidTr="0012006A">
        <w:trPr>
          <w:trHeight w:val="11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8120C6"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4.虚假会计分录或其他调整的</w:t>
            </w:r>
            <w:r>
              <w:rPr>
                <w:rFonts w:cs="Calibri" w:hint="eastAsia"/>
                <w:b/>
                <w:bCs/>
                <w:color w:val="FF0000"/>
                <w:sz w:val="21"/>
                <w:szCs w:val="21"/>
              </w:rPr>
              <w:t>特征【多选题考点】</w:t>
            </w:r>
          </w:p>
          <w:p w14:paraId="36D322C6"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（1）分录涉及不相关，异常或很少使用的</w:t>
            </w:r>
            <w:r>
              <w:rPr>
                <w:rFonts w:cs="Calibri" w:hint="eastAsia"/>
                <w:b/>
                <w:bCs/>
                <w:color w:val="FF0000"/>
                <w:sz w:val="21"/>
                <w:szCs w:val="21"/>
              </w:rPr>
              <w:t>账户</w:t>
            </w:r>
          </w:p>
          <w:p w14:paraId="5CE9CD69"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（2）分录由平时不负责作出会计分录的</w:t>
            </w:r>
            <w:r>
              <w:rPr>
                <w:rFonts w:cs="Calibri" w:hint="eastAsia"/>
                <w:b/>
                <w:bCs/>
                <w:color w:val="FF0000"/>
                <w:sz w:val="21"/>
                <w:szCs w:val="21"/>
              </w:rPr>
              <w:t>人员</w:t>
            </w:r>
            <w:r>
              <w:rPr>
                <w:rFonts w:cs="Calibri" w:hint="eastAsia"/>
                <w:color w:val="333333"/>
                <w:sz w:val="21"/>
                <w:szCs w:val="21"/>
              </w:rPr>
              <w:t>作出</w:t>
            </w:r>
          </w:p>
          <w:p w14:paraId="107A19ED"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（3）分录在</w:t>
            </w:r>
            <w:r>
              <w:rPr>
                <w:rFonts w:cs="Calibri" w:hint="eastAsia"/>
                <w:b/>
                <w:bCs/>
                <w:color w:val="FF0000"/>
                <w:sz w:val="21"/>
                <w:szCs w:val="21"/>
              </w:rPr>
              <w:t>期末</w:t>
            </w:r>
            <w:r>
              <w:rPr>
                <w:rFonts w:cs="Calibri" w:hint="eastAsia"/>
                <w:color w:val="333333"/>
                <w:sz w:val="21"/>
                <w:szCs w:val="21"/>
              </w:rPr>
              <w:t>或结账过程中作出，且没有或只有</w:t>
            </w:r>
            <w:r>
              <w:rPr>
                <w:rFonts w:cs="Calibri" w:hint="eastAsia"/>
                <w:b/>
                <w:bCs/>
                <w:color w:val="FF0000"/>
                <w:sz w:val="21"/>
                <w:szCs w:val="21"/>
              </w:rPr>
              <w:t>很少的解释或描述</w:t>
            </w:r>
          </w:p>
          <w:p w14:paraId="37415857"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（4）分录在编制财务报表之前或编制过程中作出且</w:t>
            </w:r>
            <w:r>
              <w:rPr>
                <w:rFonts w:cs="Calibri" w:hint="eastAsia"/>
                <w:b/>
                <w:bCs/>
                <w:color w:val="FF0000"/>
                <w:sz w:val="21"/>
                <w:szCs w:val="21"/>
              </w:rPr>
              <w:t>没有科目代码</w:t>
            </w:r>
          </w:p>
          <w:p w14:paraId="60E6C0C5"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（5）分录金额为</w:t>
            </w:r>
            <w:r>
              <w:rPr>
                <w:rFonts w:cs="Calibri" w:hint="eastAsia"/>
                <w:b/>
                <w:bCs/>
                <w:color w:val="FF0000"/>
                <w:sz w:val="21"/>
                <w:szCs w:val="21"/>
              </w:rPr>
              <w:t>约整数</w:t>
            </w:r>
            <w:r>
              <w:rPr>
                <w:rFonts w:cs="Calibri" w:hint="eastAsia"/>
                <w:color w:val="333333"/>
                <w:sz w:val="21"/>
                <w:szCs w:val="21"/>
              </w:rPr>
              <w:t>或尾数一致</w:t>
            </w:r>
          </w:p>
        </w:tc>
      </w:tr>
    </w:tbl>
    <w:p w14:paraId="753CC24D" w14:textId="77777777" w:rsidR="0012006A" w:rsidRPr="0012006A" w:rsidRDefault="0012006A" w:rsidP="0012006A">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8505"/>
      </w:tblGrid>
      <w:tr w:rsidR="0012006A" w14:paraId="1290CBE2" w14:textId="77777777" w:rsidTr="0012006A">
        <w:trPr>
          <w:trHeight w:val="111"/>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F70CA5"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b/>
                <w:bCs/>
                <w:color w:val="FF0000"/>
                <w:sz w:val="21"/>
                <w:szCs w:val="21"/>
              </w:rPr>
              <w:t>账户</w:t>
            </w:r>
            <w:r>
              <w:rPr>
                <w:rFonts w:cs="Calibri" w:hint="eastAsia"/>
                <w:color w:val="333333"/>
                <w:sz w:val="21"/>
                <w:szCs w:val="21"/>
              </w:rPr>
              <w:t>的性质和复杂程度</w:t>
            </w:r>
          </w:p>
          <w:p w14:paraId="3EACD568"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不恰当的会计分录或其他调整可能体现在</w:t>
            </w:r>
          </w:p>
          <w:p w14:paraId="0783CADB"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（1）包含复杂或性质异常的交易的账户</w:t>
            </w:r>
          </w:p>
          <w:p w14:paraId="6609DF64"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（2）包含重大估计及期末调整的账户</w:t>
            </w:r>
          </w:p>
          <w:p w14:paraId="23CBE322"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（3）过去易于发生错报的账户</w:t>
            </w:r>
          </w:p>
          <w:p w14:paraId="5FD56717"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（4）未及时调节的账户，或含有尚未调节差异的账户</w:t>
            </w:r>
          </w:p>
          <w:p w14:paraId="18E0D219"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（5）包含集团内部不同公司间交易的账户</w:t>
            </w:r>
          </w:p>
          <w:p w14:paraId="03E8BC69"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（6）其他</w:t>
            </w:r>
            <w:r>
              <w:rPr>
                <w:rFonts w:cs="Calibri" w:hint="eastAsia"/>
                <w:b/>
                <w:bCs/>
                <w:color w:val="FF0000"/>
                <w:sz w:val="21"/>
                <w:szCs w:val="21"/>
              </w:rPr>
              <w:t>虽不具备</w:t>
            </w:r>
            <w:r>
              <w:rPr>
                <w:rFonts w:cs="Calibri" w:hint="eastAsia"/>
                <w:color w:val="333333"/>
                <w:sz w:val="21"/>
                <w:szCs w:val="21"/>
              </w:rPr>
              <w:t>上述特征但与已识别的由于舞弊导致的重大错报风险相关的账户。在审计拥有</w:t>
            </w:r>
            <w:r>
              <w:rPr>
                <w:rFonts w:cs="Calibri" w:hint="eastAsia"/>
                <w:b/>
                <w:bCs/>
                <w:color w:val="FF0000"/>
                <w:sz w:val="21"/>
                <w:szCs w:val="21"/>
              </w:rPr>
              <w:t>多个组成部</w:t>
            </w:r>
            <w:r>
              <w:rPr>
                <w:rFonts w:cs="Calibri" w:hint="eastAsia"/>
                <w:color w:val="333333"/>
                <w:sz w:val="21"/>
                <w:szCs w:val="21"/>
              </w:rPr>
              <w:t>分的被审计单位时，注册会计师需考虑从</w:t>
            </w:r>
            <w:r>
              <w:rPr>
                <w:rFonts w:cs="Calibri" w:hint="eastAsia"/>
                <w:b/>
                <w:bCs/>
                <w:color w:val="FF0000"/>
                <w:sz w:val="21"/>
                <w:szCs w:val="21"/>
              </w:rPr>
              <w:t>不同</w:t>
            </w:r>
            <w:r>
              <w:rPr>
                <w:rFonts w:cs="Calibri" w:hint="eastAsia"/>
                <w:color w:val="333333"/>
                <w:sz w:val="21"/>
                <w:szCs w:val="21"/>
              </w:rPr>
              <w:t>的组成部分选取会计分录进行测试</w:t>
            </w:r>
          </w:p>
        </w:tc>
      </w:tr>
      <w:tr w:rsidR="0012006A" w14:paraId="544D01FD" w14:textId="77777777" w:rsidTr="0012006A">
        <w:trPr>
          <w:trHeight w:val="11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EA585E" w14:textId="77777777" w:rsidR="0012006A" w:rsidRDefault="0012006A" w:rsidP="0012006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6.在日常经营活动之外处理的会计分录或其他调整</w:t>
            </w:r>
          </w:p>
        </w:tc>
      </w:tr>
    </w:tbl>
    <w:p w14:paraId="295219B5" w14:textId="77777777" w:rsidR="0012006A" w:rsidRDefault="0012006A" w:rsidP="0012006A">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DB10394" w14:textId="77777777" w:rsidR="0012006A" w:rsidRDefault="0012006A" w:rsidP="0012006A">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多项选择题【2016年真题】</w:t>
      </w:r>
    </w:p>
    <w:p w14:paraId="1AE321E7"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下列有关会计分录测试的说法中，正确的有（　　）。</w:t>
      </w:r>
    </w:p>
    <w:p w14:paraId="16986C4B"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A.在所有财务报表审计业务中，注册会计师均应当实施会计分录测试</w:t>
      </w:r>
    </w:p>
    <w:p w14:paraId="707F36C2"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B.注册会计师应当对待测试会计分录总体实施完整性测试</w:t>
      </w:r>
    </w:p>
    <w:p w14:paraId="5B64B58C"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C.即使被审计单位对会计分录和其他调整实施的控制有效，注册会计师也不可以缩小会计分录的测试范围</w:t>
      </w:r>
    </w:p>
    <w:p w14:paraId="4195AC7A"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D.会计分录测试的对象包括被审计单位编制合并财务报表时作出的抵销分录</w:t>
      </w:r>
    </w:p>
    <w:p w14:paraId="26069E63"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[答案]ABD</w:t>
      </w:r>
    </w:p>
    <w:p w14:paraId="66F6FC2D"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[点评]被审计单位对会计分录和其他调整实施的控制有效，注册会计师可以缩小会计分录的测试范围，但需要充分考虑管理层凌驾于控制之上的风险，选项C错误。</w:t>
      </w:r>
    </w:p>
    <w:p w14:paraId="2C353DBD" w14:textId="77777777" w:rsidR="0012006A" w:rsidRDefault="0012006A" w:rsidP="0012006A">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118E4B03"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下列有关注册会计师执行会计分录测试的说法中，正确的有（　　）。</w:t>
      </w:r>
    </w:p>
    <w:p w14:paraId="1AE07348"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A.执行会计分录测试的主要目的在于应对管理层凌驾于内部控制之上的风险</w:t>
      </w:r>
    </w:p>
    <w:p w14:paraId="2FB345AF"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B.会计分录测试的对象应当包括为编制合并财务报表而作出的重分类调整</w:t>
      </w:r>
    </w:p>
    <w:p w14:paraId="0B850AB7"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C.注册会计师应当测试整个会计期间作出的会计分录和其他调整</w:t>
      </w:r>
    </w:p>
    <w:p w14:paraId="09F8D48B"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D.注册会计师应当测试被审计单位针对会计分录和其他调整已实施的控制</w:t>
      </w:r>
    </w:p>
    <w:p w14:paraId="29FE859B"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w:t>
      </w:r>
    </w:p>
    <w:p w14:paraId="24584C20"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[点评]选项C中，注册会计师应当考虑是否有必要测试整个会计期间作出的会计分录和其他调整；选项D中，注册会计师应当了解被审计单位针对会计分录和其他调整已实施的控制，而非应当测试此类控制。</w:t>
      </w:r>
    </w:p>
    <w:p w14:paraId="6A6D1FAB" w14:textId="77777777" w:rsidR="0012006A" w:rsidRDefault="0012006A" w:rsidP="0012006A">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7764DE3A"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下列有关会计分录测试的说法中，正确的有（　　）。</w:t>
      </w:r>
    </w:p>
    <w:p w14:paraId="73AE419E"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A.在所有的财务报表审计业务中，注册会计师都需要设计和实施会计分录测试</w:t>
      </w:r>
    </w:p>
    <w:p w14:paraId="7F182F9F"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B.会计分录测试的对象是与被审计单位财务报表相关的所有会计分录</w:t>
      </w:r>
    </w:p>
    <w:p w14:paraId="5DE7F63F"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C.审计拥有多个组成部分的被审计单位时，注册会计师需要考虑从不同的组成部分选取会计分录进行测试</w:t>
      </w:r>
    </w:p>
    <w:p w14:paraId="26DEC919"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D.选取并测试会计分录和其他调整时，注册会计师无须考虑对会计分录和其他调整已实施的控制</w:t>
      </w:r>
    </w:p>
    <w:p w14:paraId="4BD5815F"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[答案]AC</w:t>
      </w:r>
    </w:p>
    <w:p w14:paraId="58D109AE" w14:textId="77777777" w:rsidR="0012006A" w:rsidRDefault="0012006A" w:rsidP="0012006A">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会计分录测试的对象是与被审计财务报表相关的所有会计分录和其他调整，包括编制合并报表时作出的调整分录和抵销分录。选项D中，注册会计师在选取待测试会计分录和其他调整，并针对已选取的项目确定适当的测试方法时，可以考虑对会计分录和其他调整已实施的控制。</w:t>
      </w:r>
    </w:p>
    <w:p w14:paraId="666D2ED3" w14:textId="77777777" w:rsidR="0012006A" w:rsidRDefault="0012006A" w:rsidP="0012006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5AA53F6" w14:textId="77777777" w:rsidR="0012006A" w:rsidRDefault="0012006A" w:rsidP="0012006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"http://webupload.admin.dongao.com/biz/handout/img/2019/20190527/20190527134912991005.png"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42.25pt">
            <v:imagedata r:id="rId15" r:href="rId16"/>
          </v:shape>
        </w:pict>
      </w:r>
      <w:r>
        <w:rPr>
          <w:rFonts w:ascii="Calibri" w:eastAsia="微软雅黑" w:hAnsi="Calibri" w:cs="Calibri"/>
          <w:color w:val="3F3F3F"/>
          <w:sz w:val="21"/>
          <w:szCs w:val="21"/>
        </w:rPr>
        <w:fldChar w:fldCharType="end"/>
      </w:r>
    </w:p>
    <w:p w14:paraId="7263A8C8" w14:textId="77777777" w:rsidR="0012006A" w:rsidRDefault="0012006A" w:rsidP="0012006A">
      <w:pPr>
        <w:shd w:val="clear" w:color="auto" w:fill="FFFFFF"/>
        <w:rPr>
          <w:rFonts w:ascii="微软雅黑" w:eastAsia="微软雅黑" w:hAnsi="微软雅黑" w:cs="宋体"/>
          <w:color w:val="3F3F3F"/>
          <w:szCs w:val="21"/>
        </w:rPr>
      </w:pPr>
    </w:p>
    <w:p w14:paraId="744EE522" w14:textId="77777777" w:rsidR="00271D8C" w:rsidRPr="0012006A" w:rsidRDefault="00271D8C" w:rsidP="0012006A">
      <w:pPr>
        <w:rPr>
          <w:rFonts w:hint="eastAsia"/>
        </w:rPr>
      </w:pPr>
    </w:p>
    <w:sectPr w:rsidR="00271D8C" w:rsidRPr="0012006A"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9C4DD" w14:textId="77777777" w:rsidR="00CC4971" w:rsidRDefault="00CC4971" w:rsidP="00CD53C5">
      <w:r>
        <w:separator/>
      </w:r>
    </w:p>
  </w:endnote>
  <w:endnote w:type="continuationSeparator" w:id="0">
    <w:p w14:paraId="368238F7" w14:textId="77777777" w:rsidR="00CC4971" w:rsidRDefault="00CC4971"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9581DB4" w14:textId="77777777" w:rsidTr="007B0BFD">
      <w:trPr>
        <w:trHeight w:val="274"/>
      </w:trPr>
      <w:tc>
        <w:tcPr>
          <w:tcW w:w="2050" w:type="dxa"/>
          <w:shd w:val="clear" w:color="auto" w:fill="auto"/>
          <w:vAlign w:val="center"/>
        </w:tcPr>
        <w:p w14:paraId="260BEE2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32BC4EE5"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D2B8346"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4782CE1"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93986" w14:textId="77777777" w:rsidR="00CC4971" w:rsidRDefault="00CC4971" w:rsidP="00CD53C5">
      <w:r>
        <w:separator/>
      </w:r>
    </w:p>
  </w:footnote>
  <w:footnote w:type="continuationSeparator" w:id="0">
    <w:p w14:paraId="03B57EA4" w14:textId="77777777" w:rsidR="00CC4971" w:rsidRDefault="00CC4971"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0FB3A53E" w14:textId="77777777" w:rsidTr="007B0BFD">
      <w:trPr>
        <w:trHeight w:val="501"/>
      </w:trPr>
      <w:tc>
        <w:tcPr>
          <w:tcW w:w="4272" w:type="dxa"/>
          <w:shd w:val="clear" w:color="auto" w:fill="auto"/>
          <w:vAlign w:val="center"/>
        </w:tcPr>
        <w:p w14:paraId="1B676AEB" w14:textId="77777777" w:rsidR="001545C6" w:rsidRPr="001F62DD" w:rsidRDefault="0012006A"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97D8712" w14:textId="77777777" w:rsidR="001545C6" w:rsidRPr="004D61E7" w:rsidRDefault="0012006A"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+对舞弊和法律法规的考虑</w:t>
          </w:r>
        </w:p>
      </w:tc>
    </w:tr>
  </w:tbl>
  <w:p w14:paraId="79D6FDFB"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12539"/>
    <w:rsid w:val="0012006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C4971"/>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7FA6AA"/>
  <w15:docId w15:val="{BABF4FB0-DDD2-4249-B20C-4D849F2C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799224189">
      <w:bodyDiv w:val="1"/>
      <w:marLeft w:val="0"/>
      <w:marRight w:val="0"/>
      <w:marTop w:val="0"/>
      <w:marBottom w:val="0"/>
      <w:divBdr>
        <w:top w:val="none" w:sz="0" w:space="0" w:color="auto"/>
        <w:left w:val="none" w:sz="0" w:space="0" w:color="auto"/>
        <w:bottom w:val="none" w:sz="0" w:space="0" w:color="auto"/>
        <w:right w:val="none" w:sz="0" w:space="0" w:color="auto"/>
      </w:divBdr>
      <w:divsChild>
        <w:div w:id="102724344">
          <w:marLeft w:val="0"/>
          <w:marRight w:val="0"/>
          <w:marTop w:val="0"/>
          <w:marBottom w:val="0"/>
          <w:divBdr>
            <w:top w:val="none" w:sz="0" w:space="0" w:color="auto"/>
            <w:left w:val="none" w:sz="0" w:space="0" w:color="auto"/>
            <w:bottom w:val="none" w:sz="0" w:space="0" w:color="auto"/>
            <w:right w:val="none" w:sz="0" w:space="0" w:color="auto"/>
          </w:divBdr>
          <w:divsChild>
            <w:div w:id="1518622188">
              <w:marLeft w:val="0"/>
              <w:marRight w:val="0"/>
              <w:marTop w:val="0"/>
              <w:marBottom w:val="0"/>
              <w:divBdr>
                <w:top w:val="none" w:sz="0" w:space="0" w:color="auto"/>
                <w:left w:val="none" w:sz="0" w:space="0" w:color="auto"/>
                <w:bottom w:val="none" w:sz="0" w:space="0" w:color="auto"/>
                <w:right w:val="none" w:sz="0" w:space="0" w:color="auto"/>
              </w:divBdr>
            </w:div>
            <w:div w:id="1850173843">
              <w:marLeft w:val="0"/>
              <w:marRight w:val="0"/>
              <w:marTop w:val="0"/>
              <w:marBottom w:val="0"/>
              <w:divBdr>
                <w:top w:val="none" w:sz="0" w:space="0" w:color="auto"/>
                <w:left w:val="none" w:sz="0" w:space="0" w:color="auto"/>
                <w:bottom w:val="none" w:sz="0" w:space="0" w:color="auto"/>
                <w:right w:val="none" w:sz="0" w:space="0" w:color="auto"/>
              </w:divBdr>
              <w:divsChild>
                <w:div w:id="331839260">
                  <w:marLeft w:val="0"/>
                  <w:marRight w:val="0"/>
                  <w:marTop w:val="0"/>
                  <w:marBottom w:val="0"/>
                  <w:divBdr>
                    <w:top w:val="none" w:sz="0" w:space="0" w:color="auto"/>
                    <w:left w:val="none" w:sz="0" w:space="0" w:color="auto"/>
                    <w:bottom w:val="none" w:sz="0" w:space="0" w:color="auto"/>
                    <w:right w:val="none" w:sz="0" w:space="0" w:color="auto"/>
                  </w:divBdr>
                </w:div>
                <w:div w:id="358048735">
                  <w:marLeft w:val="0"/>
                  <w:marRight w:val="0"/>
                  <w:marTop w:val="0"/>
                  <w:marBottom w:val="0"/>
                  <w:divBdr>
                    <w:top w:val="none" w:sz="0" w:space="0" w:color="auto"/>
                    <w:left w:val="none" w:sz="0" w:space="0" w:color="auto"/>
                    <w:bottom w:val="none" w:sz="0" w:space="0" w:color="auto"/>
                    <w:right w:val="none" w:sz="0" w:space="0" w:color="auto"/>
                  </w:divBdr>
                </w:div>
                <w:div w:id="389424427">
                  <w:marLeft w:val="0"/>
                  <w:marRight w:val="0"/>
                  <w:marTop w:val="0"/>
                  <w:marBottom w:val="0"/>
                  <w:divBdr>
                    <w:top w:val="none" w:sz="0" w:space="0" w:color="auto"/>
                    <w:left w:val="none" w:sz="0" w:space="0" w:color="auto"/>
                    <w:bottom w:val="none" w:sz="0" w:space="0" w:color="auto"/>
                    <w:right w:val="none" w:sz="0" w:space="0" w:color="auto"/>
                  </w:divBdr>
                </w:div>
                <w:div w:id="530269861">
                  <w:marLeft w:val="0"/>
                  <w:marRight w:val="0"/>
                  <w:marTop w:val="0"/>
                  <w:marBottom w:val="0"/>
                  <w:divBdr>
                    <w:top w:val="none" w:sz="0" w:space="0" w:color="auto"/>
                    <w:left w:val="none" w:sz="0" w:space="0" w:color="auto"/>
                    <w:bottom w:val="none" w:sz="0" w:space="0" w:color="auto"/>
                    <w:right w:val="none" w:sz="0" w:space="0" w:color="auto"/>
                  </w:divBdr>
                </w:div>
                <w:div w:id="815297523">
                  <w:marLeft w:val="0"/>
                  <w:marRight w:val="0"/>
                  <w:marTop w:val="0"/>
                  <w:marBottom w:val="0"/>
                  <w:divBdr>
                    <w:top w:val="none" w:sz="0" w:space="0" w:color="auto"/>
                    <w:left w:val="none" w:sz="0" w:space="0" w:color="auto"/>
                    <w:bottom w:val="none" w:sz="0" w:space="0" w:color="auto"/>
                    <w:right w:val="none" w:sz="0" w:space="0" w:color="auto"/>
                  </w:divBdr>
                </w:div>
                <w:div w:id="1387685038">
                  <w:marLeft w:val="0"/>
                  <w:marRight w:val="0"/>
                  <w:marTop w:val="0"/>
                  <w:marBottom w:val="0"/>
                  <w:divBdr>
                    <w:top w:val="none" w:sz="0" w:space="0" w:color="auto"/>
                    <w:left w:val="none" w:sz="0" w:space="0" w:color="auto"/>
                    <w:bottom w:val="none" w:sz="0" w:space="0" w:color="auto"/>
                    <w:right w:val="none" w:sz="0" w:space="0" w:color="auto"/>
                  </w:divBdr>
                </w:div>
                <w:div w:id="1430352733">
                  <w:marLeft w:val="0"/>
                  <w:marRight w:val="0"/>
                  <w:marTop w:val="0"/>
                  <w:marBottom w:val="0"/>
                  <w:divBdr>
                    <w:top w:val="none" w:sz="0" w:space="0" w:color="auto"/>
                    <w:left w:val="none" w:sz="0" w:space="0" w:color="auto"/>
                    <w:bottom w:val="none" w:sz="0" w:space="0" w:color="auto"/>
                    <w:right w:val="none" w:sz="0" w:space="0" w:color="auto"/>
                  </w:divBdr>
                </w:div>
                <w:div w:id="1442800499">
                  <w:marLeft w:val="0"/>
                  <w:marRight w:val="0"/>
                  <w:marTop w:val="0"/>
                  <w:marBottom w:val="0"/>
                  <w:divBdr>
                    <w:top w:val="none" w:sz="0" w:space="0" w:color="auto"/>
                    <w:left w:val="none" w:sz="0" w:space="0" w:color="auto"/>
                    <w:bottom w:val="none" w:sz="0" w:space="0" w:color="auto"/>
                    <w:right w:val="none" w:sz="0" w:space="0" w:color="auto"/>
                  </w:divBdr>
                </w:div>
                <w:div w:id="1716268713">
                  <w:marLeft w:val="0"/>
                  <w:marRight w:val="0"/>
                  <w:marTop w:val="0"/>
                  <w:marBottom w:val="0"/>
                  <w:divBdr>
                    <w:top w:val="none" w:sz="0" w:space="0" w:color="auto"/>
                    <w:left w:val="none" w:sz="0" w:space="0" w:color="auto"/>
                    <w:bottom w:val="none" w:sz="0" w:space="0" w:color="auto"/>
                    <w:right w:val="none" w:sz="0" w:space="0" w:color="auto"/>
                  </w:divBdr>
                </w:div>
                <w:div w:id="2039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7/20190527134911241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27/20190527134911182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527/20190527134912991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527/20190527134911950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27/20190527134911611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37A7-D9D4-4D38-A899-BF78D59E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