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924CC" w14:textId="77777777" w:rsidR="00F602E5" w:rsidRDefault="00F602E5" w:rsidP="00F602E5">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第四编</w:t>
      </w:r>
      <w:r>
        <w:rPr>
          <w:rFonts w:cs="Calibri" w:hint="eastAsia"/>
          <w:b/>
          <w:bCs/>
          <w:color w:val="3F3F3F"/>
          <w:sz w:val="50"/>
          <w:szCs w:val="50"/>
        </w:rPr>
        <w:t>•</w:t>
      </w:r>
      <w:r>
        <w:rPr>
          <w:rFonts w:ascii="楷体" w:eastAsia="楷体" w:hAnsi="楷体" w:cs="Calibri" w:hint="eastAsia"/>
          <w:b/>
          <w:bCs/>
          <w:color w:val="3F3F3F"/>
          <w:sz w:val="50"/>
          <w:szCs w:val="50"/>
        </w:rPr>
        <w:t>第十三章</w:t>
      </w:r>
      <w:r>
        <w:rPr>
          <w:rFonts w:cs="Calibri" w:hint="eastAsia"/>
          <w:b/>
          <w:bCs/>
          <w:color w:val="3F3F3F"/>
          <w:sz w:val="50"/>
          <w:szCs w:val="50"/>
        </w:rPr>
        <w:t>•</w:t>
      </w:r>
      <w:r>
        <w:rPr>
          <w:rFonts w:ascii="楷体" w:eastAsia="楷体" w:hAnsi="楷体" w:cs="Calibri" w:hint="eastAsia"/>
          <w:b/>
          <w:bCs/>
          <w:color w:val="3F3F3F"/>
          <w:sz w:val="50"/>
          <w:szCs w:val="50"/>
        </w:rPr>
        <w:t>对舞弊和法律法规的考虑</w:t>
      </w:r>
    </w:p>
    <w:p w14:paraId="7B757229" w14:textId="77777777" w:rsidR="00F602E5" w:rsidRDefault="00F602E5" w:rsidP="00F602E5">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63A976BE" w14:textId="77777777" w:rsidR="00F602E5" w:rsidRDefault="00F602E5" w:rsidP="00F602E5">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财务报表审计中与舞弊相关的责任</w:t>
      </w:r>
    </w:p>
    <w:p w14:paraId="773D4DEE" w14:textId="77777777" w:rsidR="00F602E5" w:rsidRDefault="00F602E5" w:rsidP="00F602E5">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六、评价审计证据</w:t>
      </w:r>
    </w:p>
    <w:p w14:paraId="05E3ADC8"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1.评价分析程序的结果</w:t>
      </w:r>
    </w:p>
    <w:p w14:paraId="0A8E9120"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（1）在就财务报表与所了解的被审计单位情况是否一致形成总体结论时，注册会计师应当评价在</w:t>
      </w:r>
      <w:r>
        <w:rPr>
          <w:rFonts w:cs="Calibri" w:hint="eastAsia"/>
          <w:b/>
          <w:bCs/>
          <w:color w:val="FF0000"/>
          <w:sz w:val="21"/>
          <w:szCs w:val="21"/>
        </w:rPr>
        <w:t>临近审计结束时</w:t>
      </w:r>
      <w:r>
        <w:rPr>
          <w:rFonts w:cs="Calibri" w:hint="eastAsia"/>
          <w:color w:val="3F3F3F"/>
          <w:sz w:val="21"/>
          <w:szCs w:val="21"/>
        </w:rPr>
        <w:t>实施的分析程序，是否表明存在此前尚未识别的由于舞弊导致的重大错报风险。</w:t>
      </w:r>
      <w:r>
        <w:rPr>
          <w:rFonts w:cs="Calibri" w:hint="eastAsia"/>
          <w:b/>
          <w:bCs/>
          <w:color w:val="FF0000"/>
          <w:sz w:val="21"/>
          <w:szCs w:val="21"/>
        </w:rPr>
        <w:t>[总体复核阶段]</w:t>
      </w:r>
    </w:p>
    <w:p w14:paraId="1A622655" w14:textId="77777777" w:rsidR="00F602E5" w:rsidRDefault="00F602E5" w:rsidP="00F602E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"http://webupload.admin.dongao.com/biz/handout/img/2019/20190527/20190527171059707001.png"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67.25pt">
            <v:imagedata r:id="rId7" r:href="rId8"/>
          </v:shape>
        </w:pict>
      </w:r>
      <w:r>
        <w:rPr>
          <w:rFonts w:ascii="Calibri" w:eastAsia="微软雅黑" w:hAnsi="Calibri" w:cs="Calibri"/>
          <w:color w:val="3F3F3F"/>
          <w:sz w:val="21"/>
          <w:szCs w:val="21"/>
        </w:rPr>
        <w:fldChar w:fldCharType="end"/>
      </w:r>
      <w:r>
        <w:rPr>
          <w:rFonts w:ascii="Calibri" w:eastAsia="微软雅黑" w:hAnsi="Calibri" w:cs="Calibri"/>
          <w:color w:val="3F3F3F"/>
          <w:sz w:val="21"/>
          <w:szCs w:val="21"/>
        </w:rPr>
        <w:t> </w:t>
      </w:r>
    </w:p>
    <w:p w14:paraId="42655D13"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（2）运用职业判断确定哪些特定</w:t>
      </w:r>
      <w:r>
        <w:rPr>
          <w:rFonts w:cs="Calibri" w:hint="eastAsia"/>
          <w:b/>
          <w:bCs/>
          <w:color w:val="FF0000"/>
          <w:sz w:val="21"/>
          <w:szCs w:val="21"/>
        </w:rPr>
        <w:t>趋势和关系</w:t>
      </w:r>
      <w:r>
        <w:rPr>
          <w:rFonts w:cs="Calibri" w:hint="eastAsia"/>
          <w:color w:val="3F3F3F"/>
          <w:sz w:val="21"/>
          <w:szCs w:val="21"/>
        </w:rPr>
        <w:t>可能表明存在由于舞弊导致的重大错报风险，例如在报告期的最后几周内记录了不寻常的大额收入或异常交易等。</w:t>
      </w:r>
    </w:p>
    <w:p w14:paraId="45B085B5"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2.评价识别出的错报</w:t>
      </w:r>
    </w:p>
    <w:p w14:paraId="2006487F"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（1）如果识别出某项错报，注册会计师应当评价该项错报是否表明存在舞弊；</w:t>
      </w:r>
    </w:p>
    <w:p w14:paraId="2C17FE83" w14:textId="77777777" w:rsidR="00F602E5" w:rsidRDefault="00F602E5" w:rsidP="00F602E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"http://webupload.admin.dongao.com/biz/handout/img/2019/20190527/20190527171059779002.png"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204pt">
            <v:imagedata r:id="rId9" r:href="rId10"/>
          </v:shape>
        </w:pict>
      </w:r>
      <w:r>
        <w:rPr>
          <w:rFonts w:ascii="Calibri" w:eastAsia="微软雅黑" w:hAnsi="Calibri" w:cs="Calibri"/>
          <w:color w:val="3F3F3F"/>
          <w:sz w:val="21"/>
          <w:szCs w:val="21"/>
        </w:rPr>
        <w:fldChar w:fldCharType="end"/>
      </w:r>
    </w:p>
    <w:p w14:paraId="2F8BC148"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（2）即使识别出的错报的累积影响并不重大，但</w:t>
      </w:r>
      <w:r>
        <w:rPr>
          <w:rFonts w:cs="Calibri" w:hint="eastAsia"/>
          <w:b/>
          <w:bCs/>
          <w:color w:val="FF0000"/>
          <w:sz w:val="21"/>
          <w:szCs w:val="21"/>
        </w:rPr>
        <w:t>仍可能表明</w:t>
      </w:r>
      <w:r>
        <w:rPr>
          <w:rFonts w:cs="Calibri" w:hint="eastAsia"/>
          <w:color w:val="3F3F3F"/>
          <w:sz w:val="21"/>
          <w:szCs w:val="21"/>
        </w:rPr>
        <w:t>存在由于舞弊导致的重大错报风险；</w:t>
      </w:r>
    </w:p>
    <w:p w14:paraId="1F82AAE5"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（3）如果识别出某项错报是由于舞弊导致的，且涉及管理层，</w:t>
      </w:r>
      <w:r>
        <w:rPr>
          <w:rFonts w:cs="Calibri" w:hint="eastAsia"/>
          <w:b/>
          <w:bCs/>
          <w:color w:val="FF0000"/>
          <w:sz w:val="21"/>
          <w:szCs w:val="21"/>
        </w:rPr>
        <w:t>无论</w:t>
      </w:r>
      <w:r>
        <w:rPr>
          <w:rFonts w:cs="Calibri" w:hint="eastAsia"/>
          <w:color w:val="3F3F3F"/>
          <w:sz w:val="21"/>
          <w:szCs w:val="21"/>
        </w:rPr>
        <w:t>该项错报是否重大，注册会计师都应当</w:t>
      </w:r>
      <w:r>
        <w:rPr>
          <w:rFonts w:cs="Calibri" w:hint="eastAsia"/>
          <w:b/>
          <w:bCs/>
          <w:color w:val="FF0000"/>
          <w:sz w:val="21"/>
          <w:szCs w:val="21"/>
        </w:rPr>
        <w:t>重新评价</w:t>
      </w:r>
      <w:r>
        <w:rPr>
          <w:rFonts w:cs="Calibri" w:hint="eastAsia"/>
          <w:color w:val="3F3F3F"/>
          <w:sz w:val="21"/>
          <w:szCs w:val="21"/>
        </w:rPr>
        <w:t>对由于舞弊导致的重大错报风险的评估结果，以及该结果对旨在应对评估的风险的审计程序的性质、时间安排和范围的影响。</w:t>
      </w:r>
    </w:p>
    <w:p w14:paraId="72E2CE75" w14:textId="77777777" w:rsidR="00F602E5" w:rsidRDefault="00F602E5" w:rsidP="00F602E5">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七、无法继续执行审计业务</w:t>
      </w:r>
    </w:p>
    <w:p w14:paraId="02175259"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1.对继续执行审计业务的能力产生怀疑</w:t>
      </w:r>
    </w:p>
    <w:p w14:paraId="53BECCEA"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（1）情形</w:t>
      </w:r>
      <w:r>
        <w:rPr>
          <w:rFonts w:cs="Calibri" w:hint="eastAsia"/>
          <w:b/>
          <w:bCs/>
          <w:color w:val="FF0000"/>
          <w:sz w:val="21"/>
          <w:szCs w:val="21"/>
        </w:rPr>
        <w:t>【多选题/简答题考点】</w:t>
      </w:r>
    </w:p>
    <w:p w14:paraId="59C809C5"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a）被审计单位没有针对舞弊采取适当的、注册会计师根据具体情况认为必要的措施，</w:t>
      </w:r>
      <w:r>
        <w:rPr>
          <w:rFonts w:cs="Calibri" w:hint="eastAsia"/>
          <w:b/>
          <w:bCs/>
          <w:color w:val="FF0000"/>
          <w:sz w:val="21"/>
          <w:szCs w:val="21"/>
        </w:rPr>
        <w:t>即使</w:t>
      </w:r>
      <w:r>
        <w:rPr>
          <w:rFonts w:cs="Calibri" w:hint="eastAsia"/>
          <w:color w:val="3F3F3F"/>
          <w:sz w:val="21"/>
          <w:szCs w:val="21"/>
        </w:rPr>
        <w:t>该舞弊对财务报表并不重大；</w:t>
      </w:r>
    </w:p>
    <w:p w14:paraId="6A2BB676"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b）注册会计师对由于舞弊导致的重大错报风险的考虑以及实施审计测试的结果，表明存在</w:t>
      </w:r>
      <w:r>
        <w:rPr>
          <w:rFonts w:cs="Calibri" w:hint="eastAsia"/>
          <w:b/>
          <w:bCs/>
          <w:color w:val="FF0000"/>
          <w:sz w:val="21"/>
          <w:szCs w:val="21"/>
        </w:rPr>
        <w:t>重大且广泛</w:t>
      </w:r>
      <w:r>
        <w:rPr>
          <w:rFonts w:cs="Calibri" w:hint="eastAsia"/>
          <w:color w:val="3F3F3F"/>
          <w:sz w:val="21"/>
          <w:szCs w:val="21"/>
        </w:rPr>
        <w:t>的舞弊风险；</w:t>
      </w:r>
    </w:p>
    <w:p w14:paraId="2A03BC4A"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c）注册会计师对管理层或治理层的胜任能力或诚信产生</w:t>
      </w:r>
      <w:r>
        <w:rPr>
          <w:rFonts w:cs="Calibri" w:hint="eastAsia"/>
          <w:b/>
          <w:bCs/>
          <w:color w:val="FF0000"/>
          <w:sz w:val="21"/>
          <w:szCs w:val="21"/>
        </w:rPr>
        <w:t>重大疑虑</w:t>
      </w:r>
      <w:r>
        <w:rPr>
          <w:rFonts w:cs="Calibri" w:hint="eastAsia"/>
          <w:color w:val="3F3F3F"/>
          <w:sz w:val="21"/>
          <w:szCs w:val="21"/>
        </w:rPr>
        <w:t>。</w:t>
      </w:r>
    </w:p>
    <w:p w14:paraId="6C5B1A2D"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（2）措施</w:t>
      </w:r>
      <w:r>
        <w:rPr>
          <w:rFonts w:cs="Calibri" w:hint="eastAsia"/>
          <w:b/>
          <w:bCs/>
          <w:color w:val="FF0000"/>
          <w:sz w:val="21"/>
          <w:szCs w:val="21"/>
        </w:rPr>
        <w:t>【多选题/简答题考点】</w:t>
      </w:r>
    </w:p>
    <w:p w14:paraId="7E08327F"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注册会计师应当：</w:t>
      </w:r>
    </w:p>
    <w:p w14:paraId="1B861F9C"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a）确定适用于具体情况的</w:t>
      </w:r>
      <w:r>
        <w:rPr>
          <w:rFonts w:cs="Calibri" w:hint="eastAsia"/>
          <w:b/>
          <w:bCs/>
          <w:color w:val="FF0000"/>
          <w:sz w:val="21"/>
          <w:szCs w:val="21"/>
        </w:rPr>
        <w:t>职业责任</w:t>
      </w:r>
      <w:r>
        <w:rPr>
          <w:rFonts w:cs="Calibri" w:hint="eastAsia"/>
          <w:color w:val="3F3F3F"/>
          <w:sz w:val="21"/>
          <w:szCs w:val="21"/>
        </w:rPr>
        <w:t>和</w:t>
      </w:r>
      <w:r>
        <w:rPr>
          <w:rFonts w:cs="Calibri" w:hint="eastAsia"/>
          <w:b/>
          <w:bCs/>
          <w:color w:val="FF0000"/>
          <w:sz w:val="21"/>
          <w:szCs w:val="21"/>
        </w:rPr>
        <w:t>法律责任</w:t>
      </w:r>
      <w:r>
        <w:rPr>
          <w:rFonts w:cs="Calibri" w:hint="eastAsia"/>
          <w:color w:val="3F3F3F"/>
          <w:sz w:val="21"/>
          <w:szCs w:val="21"/>
        </w:rPr>
        <w:t>，包括是否需要向审计业务委托人或监管机构报告；</w:t>
      </w:r>
    </w:p>
    <w:p w14:paraId="037765B0"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b）在相关法律法规允许的情况下，考虑是否需要</w:t>
      </w:r>
      <w:r>
        <w:rPr>
          <w:rFonts w:cs="Calibri" w:hint="eastAsia"/>
          <w:b/>
          <w:bCs/>
          <w:color w:val="FF0000"/>
          <w:sz w:val="21"/>
          <w:szCs w:val="21"/>
        </w:rPr>
        <w:t>解除</w:t>
      </w:r>
      <w:r>
        <w:rPr>
          <w:rFonts w:cs="Calibri" w:hint="eastAsia"/>
          <w:color w:val="3F3F3F"/>
          <w:sz w:val="21"/>
          <w:szCs w:val="21"/>
        </w:rPr>
        <w:t>业务约定。</w:t>
      </w:r>
    </w:p>
    <w:p w14:paraId="1684C564"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2.解除业务约定</w:t>
      </w:r>
    </w:p>
    <w:p w14:paraId="7E95467F"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如果决定解除业务约定，注册会计师应当采取以下措施：</w:t>
      </w:r>
    </w:p>
    <w:p w14:paraId="3FBE66AE"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（1）与适当层级的管理层和治理层</w:t>
      </w:r>
      <w:r>
        <w:rPr>
          <w:rFonts w:cs="Calibri" w:hint="eastAsia"/>
          <w:b/>
          <w:bCs/>
          <w:color w:val="FF0000"/>
          <w:sz w:val="21"/>
          <w:szCs w:val="21"/>
        </w:rPr>
        <w:t>讨论</w:t>
      </w:r>
      <w:r>
        <w:rPr>
          <w:rFonts w:cs="Calibri" w:hint="eastAsia"/>
          <w:color w:val="3F3F3F"/>
          <w:sz w:val="21"/>
          <w:szCs w:val="21"/>
        </w:rPr>
        <w:t>解除业务约定的决定和理由；</w:t>
      </w:r>
    </w:p>
    <w:p w14:paraId="0675F476"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（2）考虑是否存在职业责任或法律责任，需要向审计业务委托人或监管机构</w:t>
      </w:r>
      <w:r>
        <w:rPr>
          <w:rFonts w:cs="Calibri" w:hint="eastAsia"/>
          <w:b/>
          <w:bCs/>
          <w:color w:val="FF0000"/>
          <w:sz w:val="21"/>
          <w:szCs w:val="21"/>
        </w:rPr>
        <w:t>报告</w:t>
      </w:r>
      <w:r>
        <w:rPr>
          <w:rFonts w:cs="Calibri" w:hint="eastAsia"/>
          <w:color w:val="3F3F3F"/>
          <w:sz w:val="21"/>
          <w:szCs w:val="21"/>
        </w:rPr>
        <w:t>解除业务约定的决定和理由。</w:t>
      </w:r>
    </w:p>
    <w:p w14:paraId="762FFEC6" w14:textId="77777777" w:rsidR="00F602E5" w:rsidRDefault="00F602E5" w:rsidP="00F602E5">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八、书面声明</w:t>
      </w:r>
    </w:p>
    <w:p w14:paraId="2A4DDCB4" w14:textId="77777777" w:rsidR="00F602E5" w:rsidRDefault="00F602E5" w:rsidP="00F602E5">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应当</w:t>
      </w:r>
      <w:r>
        <w:rPr>
          <w:rFonts w:cs="Calibri" w:hint="eastAsia"/>
          <w:color w:val="3F3F3F"/>
          <w:sz w:val="21"/>
          <w:szCs w:val="21"/>
        </w:rPr>
        <w:t>获取以下书面声明：</w:t>
      </w:r>
    </w:p>
    <w:p w14:paraId="0818B917"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1.管理层和治理层认可其设计、执行和维护内部控制以防止和发现舞弊的</w:t>
      </w:r>
      <w:r>
        <w:rPr>
          <w:rFonts w:cs="Calibri" w:hint="eastAsia"/>
          <w:b/>
          <w:bCs/>
          <w:color w:val="FF0000"/>
          <w:sz w:val="21"/>
          <w:szCs w:val="21"/>
        </w:rPr>
        <w:t>责任</w:t>
      </w:r>
      <w:r>
        <w:rPr>
          <w:rFonts w:cs="Calibri" w:hint="eastAsia"/>
          <w:color w:val="3F3F3F"/>
          <w:sz w:val="21"/>
          <w:szCs w:val="21"/>
        </w:rPr>
        <w:t>；</w:t>
      </w:r>
    </w:p>
    <w:p w14:paraId="378156B6"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2.管理层和治理层已向注册会计师</w:t>
      </w:r>
      <w:r>
        <w:rPr>
          <w:rFonts w:cs="Calibri" w:hint="eastAsia"/>
          <w:b/>
          <w:bCs/>
          <w:color w:val="FF0000"/>
          <w:sz w:val="21"/>
          <w:szCs w:val="21"/>
        </w:rPr>
        <w:t>披露</w:t>
      </w:r>
      <w:r>
        <w:rPr>
          <w:rFonts w:cs="Calibri" w:hint="eastAsia"/>
          <w:color w:val="3F3F3F"/>
          <w:sz w:val="21"/>
          <w:szCs w:val="21"/>
        </w:rPr>
        <w:t>了管理层对由于舞弊导致的财务报表重大错报风险的评估结果；</w:t>
      </w:r>
    </w:p>
    <w:p w14:paraId="77E85629"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3.管理层和治理层已向注册会计师</w:t>
      </w:r>
      <w:r>
        <w:rPr>
          <w:rFonts w:cs="Calibri" w:hint="eastAsia"/>
          <w:b/>
          <w:bCs/>
          <w:color w:val="FF0000"/>
          <w:sz w:val="21"/>
          <w:szCs w:val="21"/>
        </w:rPr>
        <w:t>披露</w:t>
      </w:r>
      <w:r>
        <w:rPr>
          <w:rFonts w:cs="Calibri" w:hint="eastAsia"/>
          <w:color w:val="3F3F3F"/>
          <w:sz w:val="21"/>
          <w:szCs w:val="21"/>
        </w:rPr>
        <w:t>了已知的涉及管理层、在内部控制中承担重要职责的员工以及其他人员（在舞弊行为导致财务报表出现重大错报的情况下）的舞弊或舞弊嫌疑；</w:t>
      </w:r>
    </w:p>
    <w:p w14:paraId="273E5F21"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4.管理层和治理层已向注册会计师</w:t>
      </w:r>
      <w:r>
        <w:rPr>
          <w:rFonts w:cs="Calibri" w:hint="eastAsia"/>
          <w:b/>
          <w:bCs/>
          <w:color w:val="FF0000"/>
          <w:sz w:val="21"/>
          <w:szCs w:val="21"/>
        </w:rPr>
        <w:t>披露</w:t>
      </w:r>
      <w:r>
        <w:rPr>
          <w:rFonts w:cs="Calibri" w:hint="eastAsia"/>
          <w:color w:val="3F3F3F"/>
          <w:sz w:val="21"/>
          <w:szCs w:val="21"/>
        </w:rPr>
        <w:t>了从现任和前任员工、分析师、监管机构等方面获知的、影响财务报表的舞弊指控或舞弊嫌疑。</w:t>
      </w:r>
    </w:p>
    <w:p w14:paraId="1ED42EC3" w14:textId="77777777" w:rsidR="00F602E5" w:rsidRDefault="00F602E5" w:rsidP="00F602E5">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九、与管理层、治理层和监管机构沟通</w:t>
      </w:r>
    </w:p>
    <w:tbl>
      <w:tblPr>
        <w:tblW w:w="8505" w:type="dxa"/>
        <w:jc w:val="center"/>
        <w:tblCellMar>
          <w:left w:w="0" w:type="dxa"/>
          <w:right w:w="0" w:type="dxa"/>
        </w:tblCellMar>
        <w:tblLook w:val="04A0" w:firstRow="1" w:lastRow="0" w:firstColumn="1" w:lastColumn="0" w:noHBand="0" w:noVBand="1"/>
      </w:tblPr>
      <w:tblGrid>
        <w:gridCol w:w="1539"/>
        <w:gridCol w:w="6966"/>
      </w:tblGrid>
      <w:tr w:rsidR="00F602E5" w14:paraId="330E4EF5" w14:textId="77777777" w:rsidTr="00F602E5">
        <w:trPr>
          <w:trHeight w:val="102"/>
          <w:jc w:val="center"/>
        </w:trPr>
        <w:tc>
          <w:tcPr>
            <w:tcW w:w="1539" w:type="dxa"/>
            <w:tcBorders>
              <w:top w:val="single" w:sz="8" w:space="0" w:color="auto"/>
              <w:left w:val="single" w:sz="8" w:space="0" w:color="auto"/>
              <w:bottom w:val="single" w:sz="8" w:space="0" w:color="auto"/>
              <w:right w:val="single" w:sz="8" w:space="0" w:color="auto"/>
            </w:tcBorders>
            <w:tcMar>
              <w:top w:w="14" w:type="dxa"/>
              <w:left w:w="100" w:type="dxa"/>
              <w:bottom w:w="0" w:type="dxa"/>
              <w:right w:w="100" w:type="dxa"/>
            </w:tcMar>
            <w:vAlign w:val="center"/>
            <w:hideMark/>
          </w:tcPr>
          <w:p w14:paraId="4D12A40A"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对象</w:t>
            </w:r>
          </w:p>
        </w:tc>
        <w:tc>
          <w:tcPr>
            <w:tcW w:w="6966" w:type="dxa"/>
            <w:tcBorders>
              <w:top w:val="single" w:sz="8" w:space="0" w:color="auto"/>
              <w:left w:val="nil"/>
              <w:bottom w:val="single" w:sz="8" w:space="0" w:color="auto"/>
              <w:right w:val="single" w:sz="8" w:space="0" w:color="auto"/>
            </w:tcBorders>
            <w:tcMar>
              <w:top w:w="14" w:type="dxa"/>
              <w:left w:w="104" w:type="dxa"/>
              <w:bottom w:w="0" w:type="dxa"/>
              <w:right w:w="104" w:type="dxa"/>
            </w:tcMar>
            <w:vAlign w:val="center"/>
            <w:hideMark/>
          </w:tcPr>
          <w:p w14:paraId="5F2BEC1F"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r>
      <w:tr w:rsidR="00F602E5" w14:paraId="0D38D6B8" w14:textId="77777777" w:rsidTr="00F602E5">
        <w:trPr>
          <w:trHeight w:val="436"/>
          <w:jc w:val="center"/>
        </w:trPr>
        <w:tc>
          <w:tcPr>
            <w:tcW w:w="1539" w:type="dxa"/>
            <w:tcBorders>
              <w:top w:val="nil"/>
              <w:left w:val="single" w:sz="8" w:space="0" w:color="auto"/>
              <w:bottom w:val="single" w:sz="8" w:space="0" w:color="auto"/>
              <w:right w:val="single" w:sz="8" w:space="0" w:color="auto"/>
            </w:tcBorders>
            <w:tcMar>
              <w:top w:w="14" w:type="dxa"/>
              <w:left w:w="100" w:type="dxa"/>
              <w:bottom w:w="0" w:type="dxa"/>
              <w:right w:w="100" w:type="dxa"/>
            </w:tcMar>
            <w:vAlign w:val="center"/>
            <w:hideMark/>
          </w:tcPr>
          <w:p w14:paraId="46F7E3D8"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1.管理层</w:t>
            </w:r>
          </w:p>
          <w:p w14:paraId="2EECC351"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【综合题</w:t>
            </w:r>
          </w:p>
          <w:p w14:paraId="4C0DB8D7"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考点】</w:t>
            </w:r>
          </w:p>
        </w:tc>
        <w:tc>
          <w:tcPr>
            <w:tcW w:w="6966" w:type="dxa"/>
            <w:tcBorders>
              <w:top w:val="nil"/>
              <w:left w:val="nil"/>
              <w:bottom w:val="single" w:sz="8" w:space="0" w:color="auto"/>
              <w:right w:val="single" w:sz="8" w:space="0" w:color="auto"/>
            </w:tcBorders>
            <w:tcMar>
              <w:top w:w="14" w:type="dxa"/>
              <w:left w:w="104" w:type="dxa"/>
              <w:bottom w:w="0" w:type="dxa"/>
              <w:right w:w="104" w:type="dxa"/>
            </w:tcMar>
            <w:vAlign w:val="center"/>
            <w:hideMark/>
          </w:tcPr>
          <w:p w14:paraId="4578F5B5" w14:textId="77777777" w:rsidR="00F602E5" w:rsidRDefault="00F602E5" w:rsidP="00F602E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（1）当注册会计师已获取的证据表明存在或可能存在舞弊时，</w:t>
            </w:r>
            <w:r>
              <w:rPr>
                <w:rFonts w:cs="Calibri" w:hint="eastAsia"/>
                <w:b/>
                <w:bCs/>
                <w:color w:val="FF0000"/>
                <w:sz w:val="21"/>
                <w:szCs w:val="21"/>
              </w:rPr>
              <w:t>尽快</w:t>
            </w:r>
            <w:r>
              <w:rPr>
                <w:rFonts w:cs="Calibri" w:hint="eastAsia"/>
                <w:color w:val="333333"/>
                <w:sz w:val="21"/>
                <w:szCs w:val="21"/>
              </w:rPr>
              <w:t>提请适当层级的管理层关注，即使该事项可能被认为不重要</w:t>
            </w:r>
          </w:p>
          <w:p w14:paraId="4C770648" w14:textId="77777777" w:rsidR="00F602E5" w:rsidRDefault="00F602E5" w:rsidP="00F602E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（2）适当层级的管理层至少要比涉嫌舞弊人员</w:t>
            </w:r>
            <w:r>
              <w:rPr>
                <w:rFonts w:cs="Calibri" w:hint="eastAsia"/>
                <w:b/>
                <w:bCs/>
                <w:color w:val="FF0000"/>
                <w:sz w:val="21"/>
                <w:szCs w:val="21"/>
              </w:rPr>
              <w:t>高出一个级别</w:t>
            </w:r>
          </w:p>
        </w:tc>
      </w:tr>
      <w:tr w:rsidR="00F602E5" w14:paraId="4B0EF6AF" w14:textId="77777777" w:rsidTr="00F602E5">
        <w:trPr>
          <w:trHeight w:val="436"/>
          <w:jc w:val="center"/>
        </w:trPr>
        <w:tc>
          <w:tcPr>
            <w:tcW w:w="1539" w:type="dxa"/>
            <w:tcBorders>
              <w:top w:val="nil"/>
              <w:left w:val="single" w:sz="8" w:space="0" w:color="auto"/>
              <w:bottom w:val="single" w:sz="8" w:space="0" w:color="auto"/>
              <w:right w:val="single" w:sz="8" w:space="0" w:color="auto"/>
            </w:tcBorders>
            <w:tcMar>
              <w:top w:w="14" w:type="dxa"/>
              <w:left w:w="100" w:type="dxa"/>
              <w:bottom w:w="0" w:type="dxa"/>
              <w:right w:w="100" w:type="dxa"/>
            </w:tcMar>
            <w:vAlign w:val="center"/>
            <w:hideMark/>
          </w:tcPr>
          <w:p w14:paraId="58920D29"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2.治理层</w:t>
            </w:r>
          </w:p>
          <w:p w14:paraId="760FC033"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【综合题</w:t>
            </w:r>
          </w:p>
          <w:p w14:paraId="554D4A5B"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考点】</w:t>
            </w:r>
          </w:p>
        </w:tc>
        <w:tc>
          <w:tcPr>
            <w:tcW w:w="6966" w:type="dxa"/>
            <w:tcBorders>
              <w:top w:val="nil"/>
              <w:left w:val="nil"/>
              <w:bottom w:val="single" w:sz="8" w:space="0" w:color="auto"/>
              <w:right w:val="single" w:sz="8" w:space="0" w:color="auto"/>
            </w:tcBorders>
            <w:tcMar>
              <w:top w:w="14" w:type="dxa"/>
              <w:left w:w="104" w:type="dxa"/>
              <w:bottom w:w="0" w:type="dxa"/>
              <w:right w:w="104" w:type="dxa"/>
            </w:tcMar>
            <w:vAlign w:val="center"/>
            <w:hideMark/>
          </w:tcPr>
          <w:p w14:paraId="112A5935" w14:textId="77777777" w:rsidR="00F602E5" w:rsidRDefault="00F602E5" w:rsidP="00F602E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（1）如果确定或怀疑</w:t>
            </w:r>
            <w:r>
              <w:rPr>
                <w:rFonts w:cs="Calibri" w:hint="eastAsia"/>
                <w:b/>
                <w:bCs/>
                <w:color w:val="FF0000"/>
                <w:sz w:val="21"/>
                <w:szCs w:val="21"/>
              </w:rPr>
              <w:t>舞弊涉及管理层</w:t>
            </w:r>
            <w:r>
              <w:rPr>
                <w:rFonts w:cs="Calibri" w:hint="eastAsia"/>
                <w:color w:val="333333"/>
                <w:sz w:val="21"/>
                <w:szCs w:val="21"/>
              </w:rPr>
              <w:t>，注册会计师应当尽早就此类事项与治理层沟通</w:t>
            </w:r>
          </w:p>
          <w:p w14:paraId="20ACF90F" w14:textId="77777777" w:rsidR="00F602E5" w:rsidRDefault="00F602E5" w:rsidP="00F602E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（2）管理层</w:t>
            </w:r>
            <w:r>
              <w:rPr>
                <w:rFonts w:cs="Calibri" w:hint="eastAsia"/>
                <w:b/>
                <w:bCs/>
                <w:color w:val="FF0000"/>
                <w:sz w:val="21"/>
                <w:szCs w:val="21"/>
              </w:rPr>
              <w:t>未能恰当应对</w:t>
            </w:r>
            <w:r>
              <w:rPr>
                <w:rFonts w:cs="Calibri" w:hint="eastAsia"/>
                <w:color w:val="333333"/>
                <w:sz w:val="21"/>
                <w:szCs w:val="21"/>
              </w:rPr>
              <w:t>识别出的值得关注的内部控制缺陷或舞弊，应当就此与治理层沟通</w:t>
            </w:r>
          </w:p>
          <w:p w14:paraId="26DB6DC5" w14:textId="77777777" w:rsidR="00F602E5" w:rsidRDefault="00F602E5" w:rsidP="00F602E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（3）注册会计师对被审计单位</w:t>
            </w:r>
            <w:r>
              <w:rPr>
                <w:rFonts w:cs="Calibri" w:hint="eastAsia"/>
                <w:b/>
                <w:bCs/>
                <w:color w:val="FF0000"/>
                <w:sz w:val="21"/>
                <w:szCs w:val="21"/>
              </w:rPr>
              <w:t>控制环境的评价</w:t>
            </w:r>
            <w:r>
              <w:rPr>
                <w:rFonts w:cs="Calibri" w:hint="eastAsia"/>
                <w:color w:val="333333"/>
                <w:sz w:val="21"/>
                <w:szCs w:val="21"/>
              </w:rPr>
              <w:t>，包括对管理层胜任能力和诚信的疑虑，应当就此与治理层沟通</w:t>
            </w:r>
          </w:p>
        </w:tc>
      </w:tr>
      <w:tr w:rsidR="00F602E5" w14:paraId="560B9A1E" w14:textId="77777777" w:rsidTr="00F602E5">
        <w:trPr>
          <w:trHeight w:val="436"/>
          <w:jc w:val="center"/>
        </w:trPr>
        <w:tc>
          <w:tcPr>
            <w:tcW w:w="1539" w:type="dxa"/>
            <w:tcBorders>
              <w:top w:val="nil"/>
              <w:left w:val="single" w:sz="8" w:space="0" w:color="auto"/>
              <w:bottom w:val="single" w:sz="8" w:space="0" w:color="auto"/>
              <w:right w:val="single" w:sz="8" w:space="0" w:color="auto"/>
            </w:tcBorders>
            <w:tcMar>
              <w:top w:w="14" w:type="dxa"/>
              <w:left w:w="100" w:type="dxa"/>
              <w:bottom w:w="0" w:type="dxa"/>
              <w:right w:w="100" w:type="dxa"/>
            </w:tcMar>
            <w:vAlign w:val="center"/>
            <w:hideMark/>
          </w:tcPr>
          <w:p w14:paraId="181A626E"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3.监管机构</w:t>
            </w:r>
          </w:p>
        </w:tc>
        <w:tc>
          <w:tcPr>
            <w:tcW w:w="6966" w:type="dxa"/>
            <w:tcBorders>
              <w:top w:val="nil"/>
              <w:left w:val="nil"/>
              <w:bottom w:val="single" w:sz="8" w:space="0" w:color="auto"/>
              <w:right w:val="single" w:sz="8" w:space="0" w:color="auto"/>
            </w:tcBorders>
            <w:tcMar>
              <w:top w:w="14" w:type="dxa"/>
              <w:left w:w="104" w:type="dxa"/>
              <w:bottom w:w="0" w:type="dxa"/>
              <w:right w:w="104" w:type="dxa"/>
            </w:tcMar>
            <w:vAlign w:val="center"/>
            <w:hideMark/>
          </w:tcPr>
          <w:p w14:paraId="473EDB0B" w14:textId="77777777" w:rsidR="00F602E5" w:rsidRDefault="00F602E5" w:rsidP="00F602E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（1）如果识别出舞弊或怀疑存在舞弊，注册会计师</w:t>
            </w:r>
            <w:r>
              <w:rPr>
                <w:rFonts w:cs="Calibri" w:hint="eastAsia"/>
                <w:b/>
                <w:bCs/>
                <w:color w:val="FF0000"/>
                <w:sz w:val="21"/>
                <w:szCs w:val="21"/>
              </w:rPr>
              <w:t>应当确定</w:t>
            </w:r>
            <w:r>
              <w:rPr>
                <w:rFonts w:cs="Calibri" w:hint="eastAsia"/>
                <w:color w:val="333333"/>
                <w:sz w:val="21"/>
                <w:szCs w:val="21"/>
              </w:rPr>
              <w:t>是否有责任向被审计单位以外的机构报告</w:t>
            </w:r>
          </w:p>
          <w:p w14:paraId="516620F8" w14:textId="77777777" w:rsidR="00F602E5" w:rsidRDefault="00F602E5" w:rsidP="00F602E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（2）尽管注册会计师对客户信息负有的保密义务可能妨碍这种报告，但如果法律法规要求注册会计师履行报告责任，注册会计师应当遵守法律法规的规定</w:t>
            </w:r>
          </w:p>
        </w:tc>
      </w:tr>
    </w:tbl>
    <w:p w14:paraId="16244A71" w14:textId="77777777" w:rsidR="00F602E5" w:rsidRDefault="00F602E5" w:rsidP="00F602E5">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094886DA" w14:textId="77777777" w:rsidR="00F602E5" w:rsidRDefault="00F602E5" w:rsidP="00F602E5">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综合题【改编自历年真题】</w:t>
      </w:r>
    </w:p>
    <w:p w14:paraId="3E6A1CB5"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A注册会计师在审计工作底稿中记录了评估错报及处理重大事项的情况，摘录如下：</w:t>
      </w:r>
    </w:p>
    <w:p w14:paraId="07DC187C"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（1）审计项目组获取的证据表明，甲公司负责采购的副总经理可能存在舞弊行为，A注册会计师与甲公司相关人员沟通了该情况，沟通对象为总经理、负责财务的副总经理和内部审计部经理。</w:t>
      </w:r>
    </w:p>
    <w:p w14:paraId="21A40086"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（2）审计项目组发现销售副总经理挪用客户回款50万元，就该事项与总经理和治理层进行了沟通，因管理层已同意调整该错报并对相关内部控制缺陷进行整改，审计项目组未再执行其他审计工作。</w:t>
      </w:r>
    </w:p>
    <w:p w14:paraId="2BB4E65A"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lastRenderedPageBreak/>
        <w:t>（3）审计项目组获取的证据表明，甲公司下属子公司中处于较低职位的财务部员工挪用公款，考虑到相关金额小于明显微小错报临界值，A注册会计师认为无须与管理层进行沟通。</w:t>
      </w:r>
    </w:p>
    <w:p w14:paraId="55F5E415" w14:textId="77777777" w:rsidR="00F602E5" w:rsidRDefault="00F602E5" w:rsidP="00F602E5">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（4）审计项目组基于对由于舞弊导致的重大错报风险的考虑以及实施审计测试的结果，认为甲公司表明存在重大且广泛的舞弊风险，A注册会计师考虑是否需要向审计业务委托人或监管机构报告。</w:t>
      </w:r>
    </w:p>
    <w:p w14:paraId="553BEE37"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要求：假定不考虑其他条件，指出审计项目组的处理是否存在不当之处。如存在，简要说明理由。</w:t>
      </w:r>
    </w:p>
    <w:p w14:paraId="772EA618" w14:textId="77777777" w:rsidR="00F602E5" w:rsidRDefault="00F602E5" w:rsidP="00F602E5">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p>
    <w:tbl>
      <w:tblPr>
        <w:tblW w:w="8505" w:type="dxa"/>
        <w:jc w:val="center"/>
        <w:tblCellMar>
          <w:left w:w="0" w:type="dxa"/>
          <w:right w:w="0" w:type="dxa"/>
        </w:tblCellMar>
        <w:tblLook w:val="04A0" w:firstRow="1" w:lastRow="0" w:firstColumn="1" w:lastColumn="0" w:noHBand="0" w:noVBand="1"/>
      </w:tblPr>
      <w:tblGrid>
        <w:gridCol w:w="938"/>
        <w:gridCol w:w="1292"/>
        <w:gridCol w:w="6275"/>
      </w:tblGrid>
      <w:tr w:rsidR="00F602E5" w14:paraId="425CC696" w14:textId="77777777" w:rsidTr="00F602E5">
        <w:trPr>
          <w:trHeight w:val="116"/>
          <w:jc w:val="center"/>
        </w:trPr>
        <w:tc>
          <w:tcPr>
            <w:tcW w:w="938" w:type="dxa"/>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53A6D90F"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序号</w:t>
            </w:r>
          </w:p>
        </w:tc>
        <w:tc>
          <w:tcPr>
            <w:tcW w:w="1292" w:type="dxa"/>
            <w:tcBorders>
              <w:top w:val="single" w:sz="8" w:space="0" w:color="auto"/>
              <w:left w:val="nil"/>
              <w:bottom w:val="single" w:sz="8" w:space="0" w:color="auto"/>
              <w:right w:val="single" w:sz="8" w:space="0" w:color="auto"/>
            </w:tcBorders>
            <w:tcMar>
              <w:top w:w="15" w:type="dxa"/>
              <w:left w:w="104" w:type="dxa"/>
              <w:bottom w:w="0" w:type="dxa"/>
              <w:right w:w="104" w:type="dxa"/>
            </w:tcMar>
            <w:vAlign w:val="center"/>
            <w:hideMark/>
          </w:tcPr>
          <w:p w14:paraId="42E1F57B"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是否存在</w:t>
            </w:r>
          </w:p>
          <w:p w14:paraId="71935223"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不当</w:t>
            </w:r>
          </w:p>
        </w:tc>
        <w:tc>
          <w:tcPr>
            <w:tcW w:w="6275" w:type="dxa"/>
            <w:tcBorders>
              <w:top w:val="single" w:sz="8" w:space="0" w:color="auto"/>
              <w:left w:val="nil"/>
              <w:bottom w:val="single" w:sz="8" w:space="0" w:color="auto"/>
              <w:right w:val="single" w:sz="8" w:space="0" w:color="auto"/>
            </w:tcBorders>
            <w:tcMar>
              <w:top w:w="15" w:type="dxa"/>
              <w:left w:w="104" w:type="dxa"/>
              <w:bottom w:w="0" w:type="dxa"/>
              <w:right w:w="104" w:type="dxa"/>
            </w:tcMar>
            <w:vAlign w:val="center"/>
            <w:hideMark/>
          </w:tcPr>
          <w:p w14:paraId="3BC2FC7B"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理由</w:t>
            </w:r>
          </w:p>
        </w:tc>
      </w:tr>
      <w:tr w:rsidR="00F602E5" w14:paraId="3A861F56" w14:textId="77777777" w:rsidTr="00F602E5">
        <w:trPr>
          <w:trHeight w:val="286"/>
          <w:jc w:val="center"/>
        </w:trPr>
        <w:tc>
          <w:tcPr>
            <w:tcW w:w="938"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7C3B4267"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c>
          <w:tcPr>
            <w:tcW w:w="1292"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086F686D"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6275"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3505CC94" w14:textId="77777777" w:rsidR="00F602E5" w:rsidRDefault="00F602E5" w:rsidP="00F602E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针对舞弊迹象与甲公司沟通时，应确定拟沟通的适当层级的管理层,通常情况下，适当层级的管理层至少要比涉嫌舞弊人员</w:t>
            </w:r>
            <w:r>
              <w:rPr>
                <w:rFonts w:cs="Calibri" w:hint="eastAsia"/>
                <w:b/>
                <w:bCs/>
                <w:color w:val="FF0000"/>
                <w:sz w:val="21"/>
                <w:szCs w:val="21"/>
              </w:rPr>
              <w:t>高出一个级别</w:t>
            </w:r>
            <w:r>
              <w:rPr>
                <w:rFonts w:cs="Calibri" w:hint="eastAsia"/>
                <w:color w:val="333333"/>
                <w:sz w:val="21"/>
                <w:szCs w:val="21"/>
              </w:rPr>
              <w:t>。注册会计师不应与负责财务的副总经理和内部审计部经理沟通</w:t>
            </w:r>
          </w:p>
        </w:tc>
      </w:tr>
      <w:tr w:rsidR="00F602E5" w14:paraId="2F3AC936" w14:textId="77777777" w:rsidTr="00F602E5">
        <w:trPr>
          <w:trHeight w:val="286"/>
          <w:jc w:val="center"/>
        </w:trPr>
        <w:tc>
          <w:tcPr>
            <w:tcW w:w="938"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466CEA5A"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c>
          <w:tcPr>
            <w:tcW w:w="1292"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5B675CCE"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6275"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27602A12" w14:textId="77777777" w:rsidR="00F602E5" w:rsidRDefault="00F602E5" w:rsidP="00F602E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该错报涉及较高层级的管理层舞弊，注册会计师应当采取下列措施:（1）</w:t>
            </w:r>
            <w:r>
              <w:rPr>
                <w:rFonts w:cs="Calibri" w:hint="eastAsia"/>
                <w:b/>
                <w:bCs/>
                <w:color w:val="FF0000"/>
                <w:sz w:val="21"/>
                <w:szCs w:val="21"/>
              </w:rPr>
              <w:t>重新评估</w:t>
            </w:r>
            <w:r>
              <w:rPr>
                <w:rFonts w:cs="Calibri" w:hint="eastAsia"/>
                <w:color w:val="333333"/>
                <w:sz w:val="21"/>
                <w:szCs w:val="21"/>
              </w:rPr>
              <w:t>舞弊导致的重大错报风险；（2）考虑重新评估的结果对审计程序的性质、时间安排和范围的</w:t>
            </w:r>
            <w:r>
              <w:rPr>
                <w:rFonts w:cs="Calibri" w:hint="eastAsia"/>
                <w:b/>
                <w:bCs/>
                <w:color w:val="FF0000"/>
                <w:sz w:val="21"/>
                <w:szCs w:val="21"/>
              </w:rPr>
              <w:t>影响</w:t>
            </w:r>
            <w:r>
              <w:rPr>
                <w:rFonts w:cs="Calibri" w:hint="eastAsia"/>
                <w:color w:val="333333"/>
                <w:sz w:val="21"/>
                <w:szCs w:val="21"/>
              </w:rPr>
              <w:t>；（3）</w:t>
            </w:r>
            <w:r>
              <w:rPr>
                <w:rFonts w:cs="Calibri" w:hint="eastAsia"/>
                <w:b/>
                <w:bCs/>
                <w:color w:val="FF0000"/>
                <w:sz w:val="21"/>
                <w:szCs w:val="21"/>
              </w:rPr>
              <w:t>重新考虑</w:t>
            </w:r>
            <w:r>
              <w:rPr>
                <w:rFonts w:cs="Calibri" w:hint="eastAsia"/>
                <w:color w:val="333333"/>
                <w:sz w:val="21"/>
                <w:szCs w:val="21"/>
              </w:rPr>
              <w:t>此前获取的审计证据的可靠性</w:t>
            </w:r>
          </w:p>
        </w:tc>
      </w:tr>
      <w:tr w:rsidR="00F602E5" w14:paraId="23A5C681" w14:textId="77777777" w:rsidTr="00F602E5">
        <w:trPr>
          <w:trHeight w:val="286"/>
          <w:jc w:val="center"/>
        </w:trPr>
        <w:tc>
          <w:tcPr>
            <w:tcW w:w="938"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7D45D9D5"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p>
        </w:tc>
        <w:tc>
          <w:tcPr>
            <w:tcW w:w="1292"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7BC2A993"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6275"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75F06D80" w14:textId="77777777" w:rsidR="00F602E5" w:rsidRDefault="00F602E5" w:rsidP="00F602E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注册会计师已获取的证据表明存在或可能存在舞弊时，尽快提请适当层级的管理层关注，即使该事项可能被认为</w:t>
            </w:r>
            <w:r>
              <w:rPr>
                <w:rFonts w:cs="Calibri" w:hint="eastAsia"/>
                <w:b/>
                <w:bCs/>
                <w:color w:val="FF0000"/>
                <w:sz w:val="21"/>
                <w:szCs w:val="21"/>
              </w:rPr>
              <w:t>不重要</w:t>
            </w:r>
          </w:p>
        </w:tc>
      </w:tr>
      <w:tr w:rsidR="00F602E5" w14:paraId="37C49EF3" w14:textId="77777777" w:rsidTr="00F602E5">
        <w:trPr>
          <w:trHeight w:val="286"/>
          <w:jc w:val="center"/>
        </w:trPr>
        <w:tc>
          <w:tcPr>
            <w:tcW w:w="938"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29BD1835"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p>
        </w:tc>
        <w:tc>
          <w:tcPr>
            <w:tcW w:w="1292"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56567ED2" w14:textId="77777777" w:rsidR="00F602E5" w:rsidRDefault="00F602E5" w:rsidP="00F602E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6275"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4F4C28C3" w14:textId="77777777" w:rsidR="00F602E5" w:rsidRDefault="00F602E5" w:rsidP="00F602E5">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注册会计师还应当考虑在法律法规允许的情况下，是否</w:t>
            </w:r>
            <w:r>
              <w:rPr>
                <w:rFonts w:cs="Calibri" w:hint="eastAsia"/>
                <w:b/>
                <w:bCs/>
                <w:color w:val="FF0000"/>
                <w:sz w:val="21"/>
                <w:szCs w:val="21"/>
              </w:rPr>
              <w:t>解除业务约定</w:t>
            </w:r>
          </w:p>
        </w:tc>
      </w:tr>
    </w:tbl>
    <w:p w14:paraId="0D12AF84" w14:textId="77777777" w:rsidR="00F602E5" w:rsidRDefault="00F602E5" w:rsidP="00F602E5">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20E40943" w14:textId="77777777" w:rsidR="00F602E5" w:rsidRDefault="00F602E5" w:rsidP="00F602E5">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b/>
          <w:bCs/>
          <w:color w:val="3F3F3F"/>
          <w:sz w:val="28"/>
          <w:szCs w:val="28"/>
        </w:rPr>
        <w:fldChar w:fldCharType="begin"/>
      </w:r>
      <w:r>
        <w:rPr>
          <w:rFonts w:cs="Calibri"/>
          <w:b/>
          <w:bCs/>
          <w:color w:val="3F3F3F"/>
          <w:sz w:val="28"/>
          <w:szCs w:val="28"/>
        </w:rPr>
        <w:instrText xml:space="preserve"> INCLUDEPICTURE "http://webupload.admin.dongao.com/biz/handout/img/2019/20190527/20190527171059329003.png" \* MERGEFORMATINET </w:instrText>
      </w:r>
      <w:r>
        <w:rPr>
          <w:rFonts w:cs="Calibri"/>
          <w:b/>
          <w:bCs/>
          <w:color w:val="3F3F3F"/>
          <w:sz w:val="28"/>
          <w:szCs w:val="28"/>
        </w:rPr>
        <w:fldChar w:fldCharType="separate"/>
      </w:r>
      <w:r>
        <w:rPr>
          <w:rFonts w:cs="Calibri"/>
          <w:b/>
          <w:bCs/>
          <w:color w:val="3F3F3F"/>
          <w:sz w:val="28"/>
          <w:szCs w:val="28"/>
        </w:rPr>
        <w:pict>
          <v:shape id="_x0000_i1027" type="#_x0000_t75" style="width:420pt;height:242.25pt">
            <v:imagedata r:id="rId11" r:href="rId12"/>
          </v:shape>
        </w:pict>
      </w:r>
      <w:r>
        <w:rPr>
          <w:rFonts w:cs="Calibri"/>
          <w:b/>
          <w:bCs/>
          <w:color w:val="3F3F3F"/>
          <w:sz w:val="28"/>
          <w:szCs w:val="28"/>
        </w:rPr>
        <w:fldChar w:fldCharType="end"/>
      </w:r>
    </w:p>
    <w:p w14:paraId="67440C8E" w14:textId="77777777" w:rsidR="00F602E5" w:rsidRDefault="00F602E5" w:rsidP="00F602E5">
      <w:pPr>
        <w:shd w:val="clear" w:color="auto" w:fill="FFFFFF"/>
        <w:rPr>
          <w:rFonts w:ascii="微软雅黑" w:eastAsia="微软雅黑" w:hAnsi="微软雅黑" w:cs="宋体"/>
          <w:color w:val="3F3F3F"/>
          <w:szCs w:val="21"/>
        </w:rPr>
      </w:pPr>
    </w:p>
    <w:p w14:paraId="38A28CC9" w14:textId="77777777" w:rsidR="00271D8C" w:rsidRPr="00F602E5" w:rsidRDefault="00271D8C" w:rsidP="00F602E5">
      <w:pPr>
        <w:rPr>
          <w:rFonts w:hint="eastAsia"/>
        </w:rPr>
      </w:pPr>
    </w:p>
    <w:sectPr w:rsidR="00271D8C" w:rsidRPr="00F602E5" w:rsidSect="001F62DD">
      <w:headerReference w:type="default" r:id="rId13"/>
      <w:footerReference w:type="default" r:id="rId14"/>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FB2BD" w14:textId="77777777" w:rsidR="00D0430E" w:rsidRDefault="00D0430E" w:rsidP="00CD53C5">
      <w:r>
        <w:separator/>
      </w:r>
    </w:p>
  </w:endnote>
  <w:endnote w:type="continuationSeparator" w:id="0">
    <w:p w14:paraId="6B069395" w14:textId="77777777" w:rsidR="00D0430E" w:rsidRDefault="00D0430E"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0DF190D2" w14:textId="77777777" w:rsidTr="007B0BFD">
      <w:trPr>
        <w:trHeight w:val="274"/>
      </w:trPr>
      <w:tc>
        <w:tcPr>
          <w:tcW w:w="2050" w:type="dxa"/>
          <w:shd w:val="clear" w:color="auto" w:fill="auto"/>
          <w:vAlign w:val="center"/>
        </w:tcPr>
        <w:p w14:paraId="44A7C7CA"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visibility:visible">
                <v:imagedata r:id="rId1" o:title=""/>
              </v:shape>
            </w:pict>
          </w:r>
        </w:p>
      </w:tc>
      <w:tc>
        <w:tcPr>
          <w:tcW w:w="3742" w:type="dxa"/>
          <w:shd w:val="clear" w:color="auto" w:fill="auto"/>
          <w:vAlign w:val="center"/>
        </w:tcPr>
        <w:p w14:paraId="73A873BC"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206CEDF5"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074D8057"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FD5C2" w14:textId="77777777" w:rsidR="00D0430E" w:rsidRDefault="00D0430E" w:rsidP="00CD53C5">
      <w:r>
        <w:separator/>
      </w:r>
    </w:p>
  </w:footnote>
  <w:footnote w:type="continuationSeparator" w:id="0">
    <w:p w14:paraId="044A104D" w14:textId="77777777" w:rsidR="00D0430E" w:rsidRDefault="00D0430E"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17A97905" w14:textId="77777777" w:rsidTr="007B0BFD">
      <w:trPr>
        <w:trHeight w:val="501"/>
      </w:trPr>
      <w:tc>
        <w:tcPr>
          <w:tcW w:w="4272" w:type="dxa"/>
          <w:shd w:val="clear" w:color="auto" w:fill="auto"/>
          <w:vAlign w:val="center"/>
        </w:tcPr>
        <w:p w14:paraId="4160085C" w14:textId="77777777" w:rsidR="001545C6" w:rsidRPr="001F62DD" w:rsidRDefault="00F602E5"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1C2D79E1" w14:textId="77777777" w:rsidR="001545C6" w:rsidRPr="004D61E7" w:rsidRDefault="00F602E5"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第十三章</w:t>
          </w:r>
          <w:r>
            <w:rPr>
              <w:rFonts w:ascii="微软雅黑" w:eastAsia="微软雅黑" w:hAnsi="微软雅黑"/>
              <w:sz w:val="24"/>
              <w:szCs w:val="24"/>
            </w:rPr>
            <w:t>+对舞弊和法律法规的考虑</w:t>
          </w:r>
        </w:p>
      </w:tc>
    </w:tr>
  </w:tbl>
  <w:p w14:paraId="5B9464D8"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0430E"/>
    <w:rsid w:val="00D14EEC"/>
    <w:rsid w:val="00D40C69"/>
    <w:rsid w:val="00DA0E67"/>
    <w:rsid w:val="00DC6EA5"/>
    <w:rsid w:val="00E27FEA"/>
    <w:rsid w:val="00E91A26"/>
    <w:rsid w:val="00EC2EA7"/>
    <w:rsid w:val="00ED764B"/>
    <w:rsid w:val="00F2737F"/>
    <w:rsid w:val="00F4489B"/>
    <w:rsid w:val="00F602E5"/>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235873A"/>
  <w15:docId w15:val="{F9D7E3B2-1E1D-43E6-A446-1A3CAE89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052775254">
      <w:bodyDiv w:val="1"/>
      <w:marLeft w:val="0"/>
      <w:marRight w:val="0"/>
      <w:marTop w:val="0"/>
      <w:marBottom w:val="0"/>
      <w:divBdr>
        <w:top w:val="none" w:sz="0" w:space="0" w:color="auto"/>
        <w:left w:val="none" w:sz="0" w:space="0" w:color="auto"/>
        <w:bottom w:val="none" w:sz="0" w:space="0" w:color="auto"/>
        <w:right w:val="none" w:sz="0" w:space="0" w:color="auto"/>
      </w:divBdr>
      <w:divsChild>
        <w:div w:id="877935595">
          <w:marLeft w:val="0"/>
          <w:marRight w:val="0"/>
          <w:marTop w:val="0"/>
          <w:marBottom w:val="0"/>
          <w:divBdr>
            <w:top w:val="none" w:sz="0" w:space="0" w:color="auto"/>
            <w:left w:val="none" w:sz="0" w:space="0" w:color="auto"/>
            <w:bottom w:val="none" w:sz="0" w:space="0" w:color="auto"/>
            <w:right w:val="none" w:sz="0" w:space="0" w:color="auto"/>
          </w:divBdr>
          <w:divsChild>
            <w:div w:id="933323641">
              <w:marLeft w:val="0"/>
              <w:marRight w:val="0"/>
              <w:marTop w:val="0"/>
              <w:marBottom w:val="0"/>
              <w:divBdr>
                <w:top w:val="none" w:sz="0" w:space="0" w:color="auto"/>
                <w:left w:val="none" w:sz="0" w:space="0" w:color="auto"/>
                <w:bottom w:val="none" w:sz="0" w:space="0" w:color="auto"/>
                <w:right w:val="none" w:sz="0" w:space="0" w:color="auto"/>
              </w:divBdr>
            </w:div>
            <w:div w:id="1296106895">
              <w:marLeft w:val="0"/>
              <w:marRight w:val="0"/>
              <w:marTop w:val="0"/>
              <w:marBottom w:val="0"/>
              <w:divBdr>
                <w:top w:val="none" w:sz="0" w:space="0" w:color="auto"/>
                <w:left w:val="none" w:sz="0" w:space="0" w:color="auto"/>
                <w:bottom w:val="none" w:sz="0" w:space="0" w:color="auto"/>
                <w:right w:val="none" w:sz="0" w:space="0" w:color="auto"/>
              </w:divBdr>
            </w:div>
            <w:div w:id="1378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250046844">
      <w:bodyDiv w:val="1"/>
      <w:marLeft w:val="0"/>
      <w:marRight w:val="0"/>
      <w:marTop w:val="0"/>
      <w:marBottom w:val="0"/>
      <w:divBdr>
        <w:top w:val="none" w:sz="0" w:space="0" w:color="auto"/>
        <w:left w:val="none" w:sz="0" w:space="0" w:color="auto"/>
        <w:bottom w:val="none" w:sz="0" w:space="0" w:color="auto"/>
        <w:right w:val="none" w:sz="0" w:space="0" w:color="auto"/>
      </w:divBdr>
      <w:divsChild>
        <w:div w:id="2019697158">
          <w:marLeft w:val="0"/>
          <w:marRight w:val="0"/>
          <w:marTop w:val="0"/>
          <w:marBottom w:val="0"/>
          <w:divBdr>
            <w:top w:val="none" w:sz="0" w:space="0" w:color="auto"/>
            <w:left w:val="none" w:sz="0" w:space="0" w:color="auto"/>
            <w:bottom w:val="none" w:sz="0" w:space="0" w:color="auto"/>
            <w:right w:val="none" w:sz="0" w:space="0" w:color="auto"/>
          </w:divBdr>
          <w:divsChild>
            <w:div w:id="1039237005">
              <w:marLeft w:val="0"/>
              <w:marRight w:val="0"/>
              <w:marTop w:val="0"/>
              <w:marBottom w:val="0"/>
              <w:divBdr>
                <w:top w:val="none" w:sz="0" w:space="0" w:color="auto"/>
                <w:left w:val="none" w:sz="0" w:space="0" w:color="auto"/>
                <w:bottom w:val="none" w:sz="0" w:space="0" w:color="auto"/>
                <w:right w:val="none" w:sz="0" w:space="0" w:color="auto"/>
              </w:divBdr>
            </w:div>
            <w:div w:id="1239286006">
              <w:marLeft w:val="0"/>
              <w:marRight w:val="0"/>
              <w:marTop w:val="0"/>
              <w:marBottom w:val="0"/>
              <w:divBdr>
                <w:top w:val="none" w:sz="0" w:space="0" w:color="auto"/>
                <w:left w:val="none" w:sz="0" w:space="0" w:color="auto"/>
                <w:bottom w:val="none" w:sz="0" w:space="0" w:color="auto"/>
                <w:right w:val="none" w:sz="0" w:space="0" w:color="auto"/>
              </w:divBdr>
            </w:div>
            <w:div w:id="14537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27/20190527171059707001.p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527/20190527171059329003.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ebupload.admin.dongao.com/biz/handout/img/2019/20190527/20190527171059779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35DFF-8026-4D02-A004-ED84607D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