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8C34F" w14:textId="77777777" w:rsidR="00705232" w:rsidRDefault="00705232" w:rsidP="00705232">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第四编·第十四章·审计沟通</w:t>
      </w:r>
    </w:p>
    <w:p w14:paraId="1A998FC8" w14:textId="77777777" w:rsidR="00705232" w:rsidRDefault="00705232" w:rsidP="00705232">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02DBC95" w14:textId="77777777" w:rsidR="00705232" w:rsidRDefault="00705232" w:rsidP="00705232">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前任注册会计师和后任注册会计师的沟通</w:t>
      </w:r>
    </w:p>
    <w:p w14:paraId="45A85A33"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二、沟通的要求</w:t>
      </w:r>
    </w:p>
    <w:p w14:paraId="66992799"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3.沟通阶段——接受委托后的沟通</w:t>
      </w:r>
    </w:p>
    <w:p w14:paraId="1C9106F4" w14:textId="77777777" w:rsidR="00705232" w:rsidRDefault="00705232" w:rsidP="00705232">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（1）非必要程序</w:t>
      </w:r>
    </w:p>
    <w:tbl>
      <w:tblPr>
        <w:tblW w:w="8505" w:type="dxa"/>
        <w:jc w:val="center"/>
        <w:tblCellMar>
          <w:left w:w="0" w:type="dxa"/>
          <w:right w:w="0" w:type="dxa"/>
        </w:tblCellMar>
        <w:tblLook w:val="04A0" w:firstRow="1" w:lastRow="0" w:firstColumn="1" w:lastColumn="0" w:noHBand="0" w:noVBand="1"/>
      </w:tblPr>
      <w:tblGrid>
        <w:gridCol w:w="1435"/>
        <w:gridCol w:w="7070"/>
      </w:tblGrid>
      <w:tr w:rsidR="00705232" w14:paraId="09182F46" w14:textId="77777777" w:rsidTr="00705232">
        <w:trPr>
          <w:trHeight w:val="265"/>
          <w:jc w:val="center"/>
        </w:trPr>
        <w:tc>
          <w:tcPr>
            <w:tcW w:w="14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C4877A" w14:textId="77777777" w:rsidR="00705232" w:rsidRDefault="00705232" w:rsidP="00705232">
            <w:pPr>
              <w:rPr>
                <w:rFonts w:eastAsia="微软雅黑" w:cs="Calibri"/>
                <w:color w:val="3F3F3F"/>
                <w:szCs w:val="21"/>
              </w:rPr>
            </w:pPr>
          </w:p>
        </w:tc>
        <w:tc>
          <w:tcPr>
            <w:tcW w:w="7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8DF5B6"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05232" w14:paraId="37B51B9F" w14:textId="77777777" w:rsidTr="00705232">
        <w:trPr>
          <w:trHeight w:val="229"/>
          <w:jc w:val="center"/>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A46F9"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必要性</w:t>
            </w:r>
          </w:p>
        </w:tc>
        <w:tc>
          <w:tcPr>
            <w:tcW w:w="7070" w:type="dxa"/>
            <w:tcBorders>
              <w:top w:val="nil"/>
              <w:left w:val="nil"/>
              <w:bottom w:val="single" w:sz="8" w:space="0" w:color="auto"/>
              <w:right w:val="single" w:sz="8" w:space="0" w:color="auto"/>
            </w:tcBorders>
            <w:tcMar>
              <w:top w:w="0" w:type="dxa"/>
              <w:left w:w="108" w:type="dxa"/>
              <w:bottom w:w="0" w:type="dxa"/>
              <w:right w:w="108" w:type="dxa"/>
            </w:tcMar>
            <w:hideMark/>
          </w:tcPr>
          <w:p w14:paraId="73E1C7A6"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接受委托后的沟通与接受委托前有所不同，它</w:t>
            </w:r>
            <w:r>
              <w:rPr>
                <w:rFonts w:cs="Calibri" w:hint="eastAsia"/>
                <w:b/>
                <w:bCs/>
                <w:color w:val="FF0000"/>
                <w:sz w:val="21"/>
                <w:szCs w:val="21"/>
              </w:rPr>
              <w:t>不是</w:t>
            </w:r>
            <w:r>
              <w:rPr>
                <w:rFonts w:cs="Calibri" w:hint="eastAsia"/>
                <w:color w:val="333333"/>
                <w:sz w:val="21"/>
                <w:szCs w:val="21"/>
              </w:rPr>
              <w:t>必要程序</w:t>
            </w:r>
          </w:p>
        </w:tc>
      </w:tr>
      <w:tr w:rsidR="00705232" w14:paraId="1DEEA40C" w14:textId="77777777" w:rsidTr="00705232">
        <w:trPr>
          <w:trHeight w:val="37"/>
          <w:jc w:val="center"/>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18764"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方式</w:t>
            </w:r>
          </w:p>
        </w:tc>
        <w:tc>
          <w:tcPr>
            <w:tcW w:w="7070" w:type="dxa"/>
            <w:tcBorders>
              <w:top w:val="nil"/>
              <w:left w:val="nil"/>
              <w:bottom w:val="single" w:sz="8" w:space="0" w:color="auto"/>
              <w:right w:val="single" w:sz="8" w:space="0" w:color="auto"/>
            </w:tcBorders>
            <w:tcMar>
              <w:top w:w="0" w:type="dxa"/>
              <w:left w:w="108" w:type="dxa"/>
              <w:bottom w:w="0" w:type="dxa"/>
              <w:right w:w="108" w:type="dxa"/>
            </w:tcMar>
            <w:hideMark/>
          </w:tcPr>
          <w:p w14:paraId="01E3DF00"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最常用、最有效的方式是查阅前任注册会计师的工作底稿</w:t>
            </w:r>
          </w:p>
        </w:tc>
      </w:tr>
    </w:tbl>
    <w:p w14:paraId="671817CE" w14:textId="77777777" w:rsidR="00705232" w:rsidRDefault="00705232" w:rsidP="00705232">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（2）查阅前任注册会计师的工作底稿</w:t>
      </w:r>
      <w:r>
        <w:rPr>
          <w:rFonts w:cs="Calibri" w:hint="eastAsia"/>
          <w:b/>
          <w:bCs/>
          <w:color w:val="FF0000"/>
          <w:sz w:val="21"/>
          <w:szCs w:val="21"/>
        </w:rPr>
        <w:t>【单选题考点】</w:t>
      </w:r>
    </w:p>
    <w:tbl>
      <w:tblPr>
        <w:tblW w:w="8505" w:type="dxa"/>
        <w:jc w:val="center"/>
        <w:tblCellMar>
          <w:left w:w="0" w:type="dxa"/>
          <w:right w:w="0" w:type="dxa"/>
        </w:tblCellMar>
        <w:tblLook w:val="04A0" w:firstRow="1" w:lastRow="0" w:firstColumn="1" w:lastColumn="0" w:noHBand="0" w:noVBand="1"/>
      </w:tblPr>
      <w:tblGrid>
        <w:gridCol w:w="979"/>
        <w:gridCol w:w="7526"/>
      </w:tblGrid>
      <w:tr w:rsidR="00705232" w14:paraId="77C465F5" w14:textId="77777777" w:rsidTr="00705232">
        <w:trPr>
          <w:trHeight w:val="189"/>
          <w:jc w:val="center"/>
        </w:trPr>
        <w:tc>
          <w:tcPr>
            <w:tcW w:w="9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563A91" w14:textId="77777777" w:rsidR="00705232" w:rsidRDefault="00705232" w:rsidP="00705232">
            <w:pPr>
              <w:rPr>
                <w:rFonts w:eastAsia="微软雅黑" w:cs="Calibri"/>
                <w:color w:val="3F3F3F"/>
                <w:szCs w:val="21"/>
              </w:rPr>
            </w:pPr>
          </w:p>
        </w:tc>
        <w:tc>
          <w:tcPr>
            <w:tcW w:w="75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118266"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05232" w14:paraId="76A610F6" w14:textId="77777777" w:rsidTr="00705232">
        <w:trPr>
          <w:trHeight w:val="990"/>
          <w:jc w:val="center"/>
        </w:trPr>
        <w:tc>
          <w:tcPr>
            <w:tcW w:w="9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885F37"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前提</w:t>
            </w:r>
          </w:p>
        </w:tc>
        <w:tc>
          <w:tcPr>
            <w:tcW w:w="75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B99A85"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a）接受委托前，前任注册会计师几乎</w:t>
            </w:r>
            <w:r>
              <w:rPr>
                <w:rFonts w:cs="Calibri" w:hint="eastAsia"/>
                <w:b/>
                <w:bCs/>
                <w:color w:val="FF0000"/>
                <w:sz w:val="21"/>
                <w:szCs w:val="21"/>
              </w:rPr>
              <w:t>不可能</w:t>
            </w:r>
            <w:r>
              <w:rPr>
                <w:rFonts w:cs="Calibri" w:hint="eastAsia"/>
                <w:color w:val="333333"/>
                <w:sz w:val="21"/>
                <w:szCs w:val="21"/>
              </w:rPr>
              <w:t>允许后任注册会计师查阅其工作底稿</w:t>
            </w:r>
          </w:p>
          <w:p w14:paraId="7169BC7A"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b）接受委托后，如果需要查阅前任注册会计师的工作底稿，后任注册会计师应当</w:t>
            </w:r>
            <w:r>
              <w:rPr>
                <w:rFonts w:cs="Calibri" w:hint="eastAsia"/>
                <w:b/>
                <w:bCs/>
                <w:color w:val="FF0000"/>
                <w:sz w:val="21"/>
                <w:szCs w:val="21"/>
              </w:rPr>
              <w:t>征得</w:t>
            </w:r>
            <w:r>
              <w:rPr>
                <w:rFonts w:cs="Calibri" w:hint="eastAsia"/>
                <w:color w:val="333333"/>
                <w:sz w:val="21"/>
                <w:szCs w:val="21"/>
              </w:rPr>
              <w:t>被审计单位同意，并与前任注册会计师进行</w:t>
            </w:r>
            <w:r>
              <w:rPr>
                <w:rFonts w:cs="Calibri" w:hint="eastAsia"/>
                <w:b/>
                <w:bCs/>
                <w:color w:val="FF0000"/>
                <w:sz w:val="21"/>
                <w:szCs w:val="21"/>
              </w:rPr>
              <w:t>沟通</w:t>
            </w:r>
          </w:p>
          <w:p w14:paraId="00707E33"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c）后任注册会计师可以在工作底稿使用方面作出较高程度的</w:t>
            </w:r>
            <w:r>
              <w:rPr>
                <w:rFonts w:cs="Calibri" w:hint="eastAsia"/>
                <w:b/>
                <w:bCs/>
                <w:color w:val="FF0000"/>
                <w:sz w:val="21"/>
                <w:szCs w:val="21"/>
              </w:rPr>
              <w:t>限制性保证</w:t>
            </w:r>
          </w:p>
        </w:tc>
      </w:tr>
      <w:tr w:rsidR="00705232" w14:paraId="1F433D83" w14:textId="77777777" w:rsidTr="00705232">
        <w:trPr>
          <w:trHeight w:val="1255"/>
          <w:jc w:val="center"/>
        </w:trPr>
        <w:tc>
          <w:tcPr>
            <w:tcW w:w="9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5B48A"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决策</w:t>
            </w:r>
          </w:p>
        </w:tc>
        <w:tc>
          <w:tcPr>
            <w:tcW w:w="75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4BEB3A"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b/>
                <w:bCs/>
                <w:color w:val="FF0000"/>
                <w:sz w:val="21"/>
                <w:szCs w:val="21"/>
              </w:rPr>
              <w:t>前任</w:t>
            </w:r>
            <w:r>
              <w:rPr>
                <w:rFonts w:cs="Calibri" w:hint="eastAsia"/>
                <w:color w:val="333333"/>
                <w:sz w:val="21"/>
                <w:szCs w:val="21"/>
              </w:rPr>
              <w:t>注册会计师所在的会计师事务所</w:t>
            </w:r>
            <w:r>
              <w:rPr>
                <w:rFonts w:cs="Calibri" w:hint="eastAsia"/>
                <w:b/>
                <w:bCs/>
                <w:color w:val="FF0000"/>
                <w:sz w:val="21"/>
                <w:szCs w:val="21"/>
              </w:rPr>
              <w:t>可自主决定</w:t>
            </w:r>
            <w:r>
              <w:rPr>
                <w:rFonts w:cs="Calibri" w:hint="eastAsia"/>
                <w:color w:val="333333"/>
                <w:sz w:val="21"/>
                <w:szCs w:val="21"/>
              </w:rPr>
              <w:t>是否允许后任注册会计师查阅、复印或摘录部分工作底稿</w:t>
            </w:r>
          </w:p>
          <w:p w14:paraId="798BC26B"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b）在允许查阅工作底稿</w:t>
            </w:r>
            <w:r>
              <w:rPr>
                <w:rFonts w:cs="Calibri" w:hint="eastAsia"/>
                <w:b/>
                <w:bCs/>
                <w:color w:val="FF0000"/>
                <w:sz w:val="21"/>
                <w:szCs w:val="21"/>
              </w:rPr>
              <w:t>之前</w:t>
            </w:r>
            <w:r>
              <w:rPr>
                <w:rFonts w:cs="Calibri" w:hint="eastAsia"/>
                <w:color w:val="333333"/>
                <w:sz w:val="21"/>
                <w:szCs w:val="21"/>
              </w:rPr>
              <w:t>，前任注册会计师应当向后任注册会计师获取确认函，就工作底稿的使用目的、范围和责任等与其达成</w:t>
            </w:r>
            <w:r>
              <w:rPr>
                <w:rFonts w:cs="Calibri" w:hint="eastAsia"/>
                <w:b/>
                <w:bCs/>
                <w:color w:val="FF0000"/>
                <w:sz w:val="21"/>
                <w:szCs w:val="21"/>
              </w:rPr>
              <w:t>一致意见</w:t>
            </w:r>
          </w:p>
          <w:p w14:paraId="01AE857A"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c）如果前任注册会计师决定向后任注册会计师提供工作底稿，一般可考虑进一步从被审计单位处获取一份确认函，以便降低在与后任注册会计师进行沟通时发生误解的可能性</w:t>
            </w:r>
          </w:p>
        </w:tc>
      </w:tr>
      <w:tr w:rsidR="00705232" w14:paraId="4FF1727A" w14:textId="77777777" w:rsidTr="00705232">
        <w:trPr>
          <w:trHeight w:val="1303"/>
          <w:jc w:val="center"/>
        </w:trPr>
        <w:tc>
          <w:tcPr>
            <w:tcW w:w="9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9B9A2A"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责任</w:t>
            </w:r>
          </w:p>
        </w:tc>
        <w:tc>
          <w:tcPr>
            <w:tcW w:w="75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762A5A"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a）查阅前任注册会计师工作底稿获取的信息</w:t>
            </w:r>
            <w:r>
              <w:rPr>
                <w:rFonts w:cs="Calibri" w:hint="eastAsia"/>
                <w:b/>
                <w:bCs/>
                <w:color w:val="FF0000"/>
                <w:sz w:val="21"/>
                <w:szCs w:val="21"/>
              </w:rPr>
              <w:t>可能影响</w:t>
            </w:r>
            <w:r>
              <w:rPr>
                <w:rFonts w:cs="Calibri" w:hint="eastAsia"/>
                <w:color w:val="333333"/>
                <w:sz w:val="21"/>
                <w:szCs w:val="21"/>
              </w:rPr>
              <w:t>后任注册会计师实施审计程序的性质、时间安排和范围</w:t>
            </w:r>
          </w:p>
          <w:p w14:paraId="4543AA84"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b）后任注册会计师</w:t>
            </w:r>
            <w:r>
              <w:rPr>
                <w:rFonts w:cs="Calibri" w:hint="eastAsia"/>
                <w:b/>
                <w:bCs/>
                <w:color w:val="FF0000"/>
                <w:sz w:val="21"/>
                <w:szCs w:val="21"/>
              </w:rPr>
              <w:t>不应</w:t>
            </w:r>
            <w:r>
              <w:rPr>
                <w:rFonts w:cs="Calibri" w:hint="eastAsia"/>
                <w:color w:val="333333"/>
                <w:sz w:val="21"/>
                <w:szCs w:val="21"/>
              </w:rPr>
              <w:t>在审计报告中表明，其审计意见全部或部分地依赖前任注册会计师的审计报告或工作</w:t>
            </w:r>
          </w:p>
        </w:tc>
      </w:tr>
    </w:tbl>
    <w:p w14:paraId="7CC19B11"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A66D8D5"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46992E62"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下列有关前后任注册会计师沟通的说法中，错误的是（　　）。</w:t>
      </w:r>
    </w:p>
    <w:p w14:paraId="7D95389E"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A.如果被审计单位不同意前任注册会计师对后任注册会计师的询问作出答复，后任注册会计师应当拒绝接受委托</w:t>
      </w:r>
    </w:p>
    <w:p w14:paraId="60AA0F7D"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B.当会计师事务所通过投标方式承接审计业务时，前任注册会计师无须对所有参与投标的会计师事务所的询问进行答复</w:t>
      </w:r>
    </w:p>
    <w:p w14:paraId="7721259E"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C.接受委托后，如果需要查阅前任注册会计师的审计工作底稿，后任注册会计师应当征得被审计单位的同意</w:t>
      </w:r>
    </w:p>
    <w:p w14:paraId="4DAD1E3A"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D.接受委托前的沟通是必要的审计程序，接受委托后的沟通不是必要的审计程序</w:t>
      </w:r>
    </w:p>
    <w:p w14:paraId="056D6C6B"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51E4F413"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被审计单位不同意前任注册会计师对后任注册会计师的询问作出答复，或限制答复的范围，后任注册会计师应当向被审计单位询问原因，并考虑是否接受委托。当这种情况出现时，后任注册会计师一般应</w:t>
      </w:r>
      <w:r>
        <w:rPr>
          <w:rFonts w:cs="Calibri" w:hint="eastAsia"/>
          <w:color w:val="3F3F3F"/>
          <w:sz w:val="21"/>
          <w:szCs w:val="21"/>
        </w:rPr>
        <w:lastRenderedPageBreak/>
        <w:t>当拒绝接受委托，除非可以通过其它方式获知必要的事实，或有充分证据表明被审计单位财务报表的审计风险水平非常低。本题的错误是审计考试中的常见套路，即</w:t>
      </w:r>
      <w:r>
        <w:rPr>
          <w:rFonts w:cs="Calibri" w:hint="eastAsia"/>
          <w:b/>
          <w:bCs/>
          <w:color w:val="3F3F3F"/>
          <w:sz w:val="21"/>
          <w:szCs w:val="21"/>
        </w:rPr>
        <w:t>“</w:t>
      </w:r>
      <w:r>
        <w:rPr>
          <w:rFonts w:cs="Calibri" w:hint="eastAsia"/>
          <w:b/>
          <w:bCs/>
          <w:color w:val="FF0000"/>
          <w:sz w:val="21"/>
          <w:szCs w:val="21"/>
        </w:rPr>
        <w:t>跨越处理问题的层级</w:t>
      </w:r>
      <w:r>
        <w:rPr>
          <w:rFonts w:cs="Calibri" w:hint="eastAsia"/>
          <w:b/>
          <w:bCs/>
          <w:color w:val="3F3F3F"/>
          <w:sz w:val="21"/>
          <w:szCs w:val="21"/>
        </w:rPr>
        <w:t>”</w:t>
      </w:r>
      <w:r>
        <w:rPr>
          <w:rFonts w:cs="Calibri" w:hint="eastAsia"/>
          <w:color w:val="3F3F3F"/>
          <w:sz w:val="21"/>
          <w:szCs w:val="21"/>
        </w:rPr>
        <w:t>。</w:t>
      </w:r>
      <w:r>
        <w:rPr>
          <w:rFonts w:cs="Calibri" w:hint="eastAsia"/>
          <w:color w:val="7030A0"/>
          <w:sz w:val="21"/>
          <w:szCs w:val="21"/>
        </w:rPr>
        <w:t xml:space="preserve"> </w:t>
      </w:r>
    </w:p>
    <w:p w14:paraId="57746760"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p>
    <w:p w14:paraId="27AEABFD"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下列有关前后任注册会计师沟通的说法中，错误的是（　　）。</w:t>
      </w:r>
    </w:p>
    <w:p w14:paraId="7308C1C7"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A.在确定向后任注册会计师提供哪些审计工作底稿时，前任注册会计师应当征得被审计单位同意</w:t>
      </w:r>
    </w:p>
    <w:p w14:paraId="31FEEA54"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B.在查阅前任注册会计师的审计工作底稿前，后任注册会计师应当征得被审计单位同意</w:t>
      </w:r>
    </w:p>
    <w:p w14:paraId="1B7055E2"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C.在允许后任注册会计师查阅审计工作底稿前，前任注册会计师应当向其取得确认函</w:t>
      </w:r>
    </w:p>
    <w:p w14:paraId="3F9B8FE0"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D.为获取更多接触前任注册会计师审计工作底稿的机会，后任注册会计师可以在工作底稿使用方面作出较高程度的限制性保证</w:t>
      </w:r>
    </w:p>
    <w:p w14:paraId="4DEB56DF" w14:textId="77777777" w:rsidR="00705232" w:rsidRDefault="00705232" w:rsidP="00705232">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"http://webupload.admin.dongao.com/biz/handout/img/2019/20190611/20190611094407654001.jpg"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37.25pt">
            <v:imagedata r:id="rId7" r:href="rId8"/>
          </v:shape>
        </w:pict>
      </w:r>
      <w:r>
        <w:rPr>
          <w:rFonts w:ascii="Calibri" w:eastAsia="微软雅黑" w:hAnsi="Calibri" w:cs="Calibri"/>
          <w:color w:val="3F3F3F"/>
          <w:sz w:val="21"/>
          <w:szCs w:val="21"/>
        </w:rPr>
        <w:fldChar w:fldCharType="end"/>
      </w:r>
    </w:p>
    <w:p w14:paraId="58708253"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6F4497C5"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[点评]前任注册会计师所在的会计师事务所可自主决定是否允许后任注册会计师查阅、复印或摘录工作底稿。</w:t>
      </w:r>
    </w:p>
    <w:p w14:paraId="357F56CE"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综合题【2013年真题】</w:t>
      </w:r>
    </w:p>
    <w:p w14:paraId="7131E896"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甲公司是一家生产和销售家电产品的上市公司，2012年4月，ABC会计师事务所首次接受委托，审计甲公司2012年度财务报表，委派A注册会计师担任项目合伙人。</w:t>
      </w:r>
    </w:p>
    <w:p w14:paraId="22B4B4D6"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w:t>
      </w:r>
    </w:p>
    <w:p w14:paraId="098A306A"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假定不考虑其他条件，逐项指出下述审计项目组的处理是否存在不当之处。如果存在不当之处，简要说明理由并提出改进建议。</w:t>
      </w:r>
    </w:p>
    <w:p w14:paraId="15700E9A" w14:textId="77777777" w:rsidR="00705232" w:rsidRDefault="00705232" w:rsidP="00705232">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接受委托前，A注册会计师征得甲公司同意，向负责上期财务报表审计的XYZ会计师事务所询问以下事项：1）导致甲公司变更会计师事务所的原因；2）是否发现甲公司管理层在诚信方面的问题，XYZ会计师事务所回复；甲公司对其发表保留意见不满，因此变更会计师事务所，未发现甲公司管理层存在诚信方面的问题。</w:t>
      </w:r>
    </w:p>
    <w:p w14:paraId="06ECF75A" w14:textId="77777777" w:rsidR="00705232" w:rsidRDefault="00705232" w:rsidP="00705232">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接受委托后，审计项目组征得甲公司同意，查阅XYZ会计师事务所2011年度的审计工作底稿，并据此对固定资产期初余额获取了充分、适当的审计证据，A注册会计师拟在2012年度审计报告中提及审计意见部分依赖XYZ会计师事务所的工作。</w:t>
      </w:r>
    </w:p>
    <w:p w14:paraId="4BD9DD29"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tbl>
      <w:tblPr>
        <w:tblW w:w="8505" w:type="dxa"/>
        <w:jc w:val="center"/>
        <w:tblCellMar>
          <w:left w:w="0" w:type="dxa"/>
          <w:right w:w="0" w:type="dxa"/>
        </w:tblCellMar>
        <w:tblLook w:val="04A0" w:firstRow="1" w:lastRow="0" w:firstColumn="1" w:lastColumn="0" w:noHBand="0" w:noVBand="1"/>
      </w:tblPr>
      <w:tblGrid>
        <w:gridCol w:w="741"/>
        <w:gridCol w:w="888"/>
        <w:gridCol w:w="2551"/>
        <w:gridCol w:w="4325"/>
      </w:tblGrid>
      <w:tr w:rsidR="00705232" w14:paraId="7A834549" w14:textId="77777777" w:rsidTr="00705232">
        <w:trPr>
          <w:trHeight w:val="587"/>
          <w:jc w:val="center"/>
        </w:trPr>
        <w:tc>
          <w:tcPr>
            <w:tcW w:w="7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0640D8"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8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AF254DF"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w:t>
            </w:r>
          </w:p>
          <w:p w14:paraId="0DAE9D8C"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不当</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DEBD45"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c>
          <w:tcPr>
            <w:tcW w:w="43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20FFDAA"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改进建议</w:t>
            </w:r>
          </w:p>
        </w:tc>
      </w:tr>
      <w:tr w:rsidR="00705232" w14:paraId="07485C35" w14:textId="77777777" w:rsidTr="00705232">
        <w:trPr>
          <w:trHeight w:val="1233"/>
          <w:jc w:val="center"/>
        </w:trPr>
        <w:tc>
          <w:tcPr>
            <w:tcW w:w="7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05FC41"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AB1179"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A09D9"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询问内容不全面</w:t>
            </w:r>
          </w:p>
        </w:tc>
        <w:tc>
          <w:tcPr>
            <w:tcW w:w="43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8C132"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还应询问前任注册会计师与管理层在重大会计、审计等问题上存在的意见分歧以及向治理层通报的管理层舞弊、违反法律法规行为以及值得关注的内部控制缺陷</w:t>
            </w:r>
          </w:p>
        </w:tc>
      </w:tr>
      <w:tr w:rsidR="00705232" w14:paraId="595F54AE" w14:textId="77777777" w:rsidTr="00705232">
        <w:trPr>
          <w:trHeight w:val="1393"/>
          <w:jc w:val="center"/>
        </w:trPr>
        <w:tc>
          <w:tcPr>
            <w:tcW w:w="7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0603D7"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E3DD9"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2799A7"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后任注册会计师不应在审计报告中表明，其审计意见全部或部分地依赖前任注册会计师的审计报告或工作</w:t>
            </w:r>
          </w:p>
        </w:tc>
        <w:tc>
          <w:tcPr>
            <w:tcW w:w="43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3E841E"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不在审计报告中提及利用前任注册会计师工作的情况</w:t>
            </w:r>
          </w:p>
        </w:tc>
      </w:tr>
    </w:tbl>
    <w:p w14:paraId="394072A0"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3.沟通阶段——发现前任审计的报表可能存在重大错报</w:t>
      </w:r>
      <w:r>
        <w:rPr>
          <w:rFonts w:cs="Calibri" w:hint="eastAsia"/>
          <w:b/>
          <w:bCs/>
          <w:color w:val="FF0000"/>
          <w:sz w:val="21"/>
          <w:szCs w:val="21"/>
        </w:rPr>
        <w:t>【单选题考点】</w:t>
      </w:r>
    </w:p>
    <w:tbl>
      <w:tblPr>
        <w:tblW w:w="8505" w:type="dxa"/>
        <w:jc w:val="center"/>
        <w:tblCellMar>
          <w:left w:w="0" w:type="dxa"/>
          <w:right w:w="0" w:type="dxa"/>
        </w:tblCellMar>
        <w:tblLook w:val="04A0" w:firstRow="1" w:lastRow="0" w:firstColumn="1" w:lastColumn="0" w:noHBand="0" w:noVBand="1"/>
      </w:tblPr>
      <w:tblGrid>
        <w:gridCol w:w="1105"/>
        <w:gridCol w:w="7400"/>
      </w:tblGrid>
      <w:tr w:rsidR="00705232" w14:paraId="5BBB2D43" w14:textId="77777777" w:rsidTr="00705232">
        <w:trPr>
          <w:trHeight w:val="201"/>
          <w:jc w:val="center"/>
        </w:trPr>
        <w:tc>
          <w:tcPr>
            <w:tcW w:w="1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7A2EAD" w14:textId="77777777" w:rsidR="00705232" w:rsidRDefault="00705232" w:rsidP="00705232">
            <w:pPr>
              <w:rPr>
                <w:rFonts w:eastAsia="微软雅黑" w:cs="Calibri"/>
                <w:color w:val="3F3F3F"/>
                <w:szCs w:val="21"/>
              </w:rPr>
            </w:pPr>
          </w:p>
        </w:tc>
        <w:tc>
          <w:tcPr>
            <w:tcW w:w="74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5D98CA"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05232" w14:paraId="7E985107" w14:textId="77777777" w:rsidTr="00705232">
        <w:trPr>
          <w:trHeight w:val="557"/>
          <w:jc w:val="center"/>
        </w:trPr>
        <w:tc>
          <w:tcPr>
            <w:tcW w:w="1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43FCE"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安排三方会谈</w:t>
            </w:r>
          </w:p>
        </w:tc>
        <w:tc>
          <w:tcPr>
            <w:tcW w:w="7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D091DD"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（1）后任注册会计师应当</w:t>
            </w:r>
            <w:r>
              <w:rPr>
                <w:rFonts w:cs="Calibri" w:hint="eastAsia"/>
                <w:b/>
                <w:bCs/>
                <w:color w:val="FF0000"/>
                <w:sz w:val="21"/>
                <w:szCs w:val="21"/>
              </w:rPr>
              <w:t>提请被审计单位告知</w:t>
            </w:r>
            <w:r>
              <w:rPr>
                <w:rFonts w:cs="Calibri" w:hint="eastAsia"/>
                <w:color w:val="333333"/>
                <w:sz w:val="21"/>
                <w:szCs w:val="21"/>
              </w:rPr>
              <w:t>前任注册会计师</w:t>
            </w:r>
          </w:p>
          <w:p w14:paraId="59787E76"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（2）必要时，后任注册会计师应当要求被审计单位安排</w:t>
            </w:r>
            <w:r>
              <w:rPr>
                <w:rFonts w:cs="Calibri" w:hint="eastAsia"/>
                <w:b/>
                <w:bCs/>
                <w:color w:val="FF0000"/>
                <w:sz w:val="21"/>
                <w:szCs w:val="21"/>
              </w:rPr>
              <w:t>三方会谈</w:t>
            </w:r>
          </w:p>
        </w:tc>
      </w:tr>
      <w:tr w:rsidR="00705232" w14:paraId="56D2E414" w14:textId="77777777" w:rsidTr="00705232">
        <w:trPr>
          <w:trHeight w:val="1833"/>
          <w:jc w:val="center"/>
        </w:trPr>
        <w:tc>
          <w:tcPr>
            <w:tcW w:w="1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69636B" w14:textId="77777777" w:rsidR="00705232" w:rsidRDefault="00705232" w:rsidP="0070523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无法参加三方会谈</w:t>
            </w:r>
          </w:p>
        </w:tc>
        <w:tc>
          <w:tcPr>
            <w:tcW w:w="7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17CCAC"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（1）如果被审计单位拒绝告知前任注册会计师，或前任注册会计师拒绝参加三方会谈，或后任注册会计师对解决问题的方案不满意，后任注册会计师</w:t>
            </w:r>
            <w:r>
              <w:rPr>
                <w:rFonts w:cs="Calibri" w:hint="eastAsia"/>
                <w:b/>
                <w:bCs/>
                <w:color w:val="FF0000"/>
                <w:sz w:val="21"/>
                <w:szCs w:val="21"/>
              </w:rPr>
              <w:t>应当考虑</w:t>
            </w:r>
            <w:r>
              <w:rPr>
                <w:rFonts w:cs="Calibri" w:hint="eastAsia"/>
                <w:color w:val="333333"/>
                <w:sz w:val="21"/>
                <w:szCs w:val="21"/>
              </w:rPr>
              <w:t>：</w:t>
            </w:r>
          </w:p>
          <w:p w14:paraId="0E13C34C"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a）这种情况对当前审计业务的潜在影响，并根据具体情况出具恰当的</w:t>
            </w:r>
            <w:r>
              <w:rPr>
                <w:rFonts w:cs="Calibri" w:hint="eastAsia"/>
                <w:b/>
                <w:bCs/>
                <w:color w:val="FF0000"/>
                <w:sz w:val="21"/>
                <w:szCs w:val="21"/>
              </w:rPr>
              <w:t>审计报告</w:t>
            </w:r>
          </w:p>
          <w:p w14:paraId="2737E1CC"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b）是否</w:t>
            </w:r>
            <w:r>
              <w:rPr>
                <w:rFonts w:cs="Calibri" w:hint="eastAsia"/>
                <w:b/>
                <w:bCs/>
                <w:color w:val="FF0000"/>
                <w:sz w:val="21"/>
                <w:szCs w:val="21"/>
              </w:rPr>
              <w:t>退出</w:t>
            </w:r>
            <w:r>
              <w:rPr>
                <w:rFonts w:cs="Calibri" w:hint="eastAsia"/>
                <w:color w:val="333333"/>
                <w:sz w:val="21"/>
                <w:szCs w:val="21"/>
              </w:rPr>
              <w:t>当前审计业务</w:t>
            </w:r>
          </w:p>
          <w:p w14:paraId="25DE28E0" w14:textId="77777777" w:rsidR="00705232" w:rsidRDefault="00705232" w:rsidP="0070523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（2）后任注册会计师</w:t>
            </w:r>
            <w:r>
              <w:rPr>
                <w:rFonts w:cs="Calibri" w:hint="eastAsia"/>
                <w:b/>
                <w:bCs/>
                <w:color w:val="FF0000"/>
                <w:sz w:val="21"/>
                <w:szCs w:val="21"/>
              </w:rPr>
              <w:t>可以</w:t>
            </w:r>
            <w:r>
              <w:rPr>
                <w:rFonts w:cs="Calibri" w:hint="eastAsia"/>
                <w:color w:val="333333"/>
                <w:sz w:val="21"/>
                <w:szCs w:val="21"/>
              </w:rPr>
              <w:t>考虑向其法律顾问咨询</w:t>
            </w:r>
          </w:p>
        </w:tc>
      </w:tr>
    </w:tbl>
    <w:p w14:paraId="7384B0C6"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47E9025"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单项选择题【2017年真题】</w:t>
      </w:r>
    </w:p>
    <w:p w14:paraId="466CAACA"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下列有关前任注册会计师与后任注册会计师的沟通的说法中，正确的是（　　）。</w:t>
      </w:r>
    </w:p>
    <w:p w14:paraId="51E0EEEF"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A.后任注册会计师应当在接受委托前和接受委托后与前任注册会计师进行沟通</w:t>
      </w:r>
    </w:p>
    <w:p w14:paraId="3D3B21B6"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B.前任注册会计师和后任注册会计师应当将沟通的情况记录于审计工作底稿</w:t>
      </w:r>
    </w:p>
    <w:p w14:paraId="2089299F"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C.后任注册会计师与前任注册会计师的沟通应当采用书面方式</w:t>
      </w:r>
    </w:p>
    <w:p w14:paraId="490E7ED2"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D.后任注册会计师应当在取得被审计单位的书面同意后，与前任注册会计师进行沟通</w:t>
      </w:r>
    </w:p>
    <w:p w14:paraId="4C2411C2"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1ECA26A8"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接受委托后与前任注册会计师的沟通不是必要程序，由后任注册会计师根据审计工作的需要自行决定；选项B，后任注册会计师应当将沟通的情况记录于审计工作底稿；选项C，后任注册会计师与前任注册会计师的沟通可以采用书面或口头的方式。</w:t>
      </w:r>
    </w:p>
    <w:p w14:paraId="4C39B314"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多项选择题【2016年真题】</w:t>
      </w:r>
    </w:p>
    <w:p w14:paraId="5C97DB02"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下列有关前后任注册会计师沟通的说法中，错误的有（　　）。</w:t>
      </w:r>
    </w:p>
    <w:p w14:paraId="48B9C646"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A.后任注册会计师在接受委托前与前任注册会计师沟通，应当征得被审计单位同意</w:t>
      </w:r>
    </w:p>
    <w:p w14:paraId="19F85083"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B.在接受委托前，后任注册会计师应当采用书面形式与前任注册会计师进行沟通</w:t>
      </w:r>
    </w:p>
    <w:p w14:paraId="66356656"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C.如果需要查阅前任注册会计师的审计工作底稿，后任注册会计师不必征得被审计单位同意</w:t>
      </w:r>
    </w:p>
    <w:p w14:paraId="29A3ECA7"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D.在接受委托前和接受委托后，后任注册会计师均应与前任注册会计师沟通</w:t>
      </w:r>
    </w:p>
    <w:p w14:paraId="10BA7C5E"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[答案]BCD</w:t>
      </w:r>
    </w:p>
    <w:p w14:paraId="5D41D061"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在接受委托前，后任注册会计师可以采用书面形式或口头形式与前任注册会计师进行沟通，选项B错误；如果需要查阅前任注册会计师的审计工作底稿，后任注册会计师必须征得被审计单位同意，选项C错误；在接受委托前，后任注册会计师应与前任注册会计师沟通，而接受委托后，与前任注册会计师的沟通非必要程序，选项D错误。</w:t>
      </w:r>
    </w:p>
    <w:p w14:paraId="40E3F5DA"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045B7328"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下列有关前后任注册会计师沟通的说法中，错误的有（　　）。</w:t>
      </w:r>
    </w:p>
    <w:p w14:paraId="435D7988"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A.如果发现前任注册会计师已审计财务报表可能存在重大错报，后任注册会计师负有主动告知前任注册会计师的义务</w:t>
      </w:r>
    </w:p>
    <w:p w14:paraId="740C327E"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B.如果发现前任注册会计师已审计财务报表可能存在重大错报，且前任注册会计师拒绝参加三方会谈，后任注册会计师应当考虑向法律顾问咨询</w:t>
      </w:r>
    </w:p>
    <w:p w14:paraId="12F9EEAF"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C.当会计师事务所通过投标方式承接审计业务时，前任注册会计师应当对所有参与投标的会计师事务所的询问进行答复</w:t>
      </w:r>
    </w:p>
    <w:p w14:paraId="19465A10"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D.接受委托后，前任注册会计师可自主决定是否允许后任注册会计师摘录部分审计工作底稿</w:t>
      </w:r>
    </w:p>
    <w:p w14:paraId="3AF9CAEA"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1BEA4834" w14:textId="77777777" w:rsidR="00705232" w:rsidRDefault="00705232" w:rsidP="00705232">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如果发现前任注册会计师已审计财务报表可能存在重大错报，后任注册会计师应当提请被审计单位告知前任注册会计师；选项B中，如果发现前任注册会计师已审计财务报表可能存在重大错报，且前任注册会计师拒绝参加三方会谈，后任注册会计师可以考虑向法律顾问咨询，而非应当执行该程序；选项C中，前任注册会计师仅对中标的会计师事务所的询问进行答复。</w:t>
      </w:r>
    </w:p>
    <w:p w14:paraId="05E0BA87" w14:textId="77777777" w:rsidR="00705232" w:rsidRDefault="00705232" w:rsidP="00705232">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9607309" w14:textId="77777777" w:rsidR="00705232" w:rsidRDefault="00705232" w:rsidP="00705232">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2429D745" w14:textId="77777777" w:rsidR="00705232" w:rsidRDefault="00705232" w:rsidP="00705232">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"http://webupload.admin.dongao.com/biz/handout/img/2019/20190611/20190611094408333002.png" \* MERGEFORMATINET </w:instrText>
      </w:r>
      <w:r>
        <w:rPr>
          <w:rFonts w:cs="Calibri"/>
          <w:color w:val="3F3F3F"/>
          <w:sz w:val="21"/>
          <w:szCs w:val="21"/>
        </w:rPr>
        <w:fldChar w:fldCharType="separate"/>
      </w:r>
      <w:r>
        <w:rPr>
          <w:rFonts w:cs="Calibri"/>
          <w:color w:val="3F3F3F"/>
          <w:sz w:val="21"/>
          <w:szCs w:val="21"/>
        </w:rPr>
        <w:pict>
          <v:shape id="_x0000_i1026" type="#_x0000_t75" alt="说明: C:\Users\wanganying\Desktop\图片\1402.png" style="width:334.5pt;height:205.5pt">
            <v:imagedata r:id="rId9" r:href="rId10"/>
          </v:shape>
        </w:pict>
      </w:r>
      <w:r>
        <w:rPr>
          <w:rFonts w:cs="Calibri"/>
          <w:color w:val="3F3F3F"/>
          <w:sz w:val="21"/>
          <w:szCs w:val="21"/>
        </w:rPr>
        <w:fldChar w:fldCharType="end"/>
      </w:r>
    </w:p>
    <w:p w14:paraId="743431FA"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116E41B4"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4DDB4FDC" w14:textId="77777777" w:rsidR="00705232" w:rsidRDefault="00705232" w:rsidP="00705232">
      <w:pPr>
        <w:pStyle w:val="aa"/>
        <w:shd w:val="clear" w:color="auto" w:fill="FFFFFF"/>
        <w:spacing w:before="0" w:beforeAutospacing="0" w:after="0" w:afterAutospacing="0"/>
        <w:ind w:left="840" w:hanging="420"/>
        <w:rPr>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复习注册会计师与治理层沟通的内容和形式、与前任注册会计师沟通的要求。</w:t>
      </w:r>
    </w:p>
    <w:p w14:paraId="719390F9" w14:textId="77777777" w:rsidR="00705232" w:rsidRDefault="00705232" w:rsidP="00705232">
      <w:pPr>
        <w:pStyle w:val="aa"/>
        <w:shd w:val="clear" w:color="auto" w:fill="FFFFFF"/>
        <w:spacing w:before="0" w:beforeAutospacing="0" w:after="0" w:afterAutospacing="0"/>
        <w:ind w:firstLine="422"/>
        <w:jc w:val="both"/>
        <w:rPr>
          <w:rFonts w:ascii="Calibri" w:eastAsia="微软雅黑" w:hAnsi="Calibri" w:cs="Calibri" w:hint="eastAsia"/>
          <w:color w:val="3F3F3F"/>
          <w:sz w:val="21"/>
          <w:szCs w:val="21"/>
        </w:rPr>
      </w:pPr>
      <w:r>
        <w:rPr>
          <w:rFonts w:cs="Calibri" w:hint="eastAsia"/>
          <w:b/>
          <w:bCs/>
          <w:color w:val="FF0000"/>
          <w:sz w:val="21"/>
          <w:szCs w:val="21"/>
        </w:rPr>
        <w:t>第二轮：</w:t>
      </w:r>
    </w:p>
    <w:p w14:paraId="452D896E" w14:textId="77777777" w:rsidR="00705232" w:rsidRDefault="00705232" w:rsidP="00705232">
      <w:pPr>
        <w:pStyle w:val="aa"/>
        <w:shd w:val="clear" w:color="auto" w:fill="FFFFFF"/>
        <w:spacing w:before="0" w:beforeAutospacing="0" w:after="0" w:afterAutospacing="0"/>
        <w:ind w:left="840" w:hanging="420"/>
        <w:rPr>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通过复习本章讲义中的习题强化对重要观点的掌握。</w:t>
      </w:r>
    </w:p>
    <w:p w14:paraId="7EFE2D3B" w14:textId="77777777" w:rsidR="00705232" w:rsidRDefault="00705232" w:rsidP="00705232">
      <w:pPr>
        <w:shd w:val="clear" w:color="auto" w:fill="FFFFFF"/>
        <w:rPr>
          <w:rFonts w:ascii="微软雅黑" w:eastAsia="微软雅黑" w:hAnsi="微软雅黑" w:hint="eastAsia"/>
          <w:color w:val="3F3F3F"/>
          <w:szCs w:val="21"/>
        </w:rPr>
      </w:pPr>
    </w:p>
    <w:p w14:paraId="781A1C54" w14:textId="77777777" w:rsidR="00271D8C" w:rsidRPr="00705232" w:rsidRDefault="00271D8C" w:rsidP="00705232">
      <w:pPr>
        <w:rPr>
          <w:rFonts w:hint="eastAsia"/>
        </w:rPr>
      </w:pPr>
    </w:p>
    <w:sectPr w:rsidR="00271D8C" w:rsidRPr="00705232"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82C78" w14:textId="77777777" w:rsidR="001E331D" w:rsidRDefault="001E331D" w:rsidP="00CD53C5">
      <w:r>
        <w:separator/>
      </w:r>
    </w:p>
  </w:endnote>
  <w:endnote w:type="continuationSeparator" w:id="0">
    <w:p w14:paraId="0866AC87" w14:textId="77777777" w:rsidR="001E331D" w:rsidRDefault="001E331D"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46C5416" w14:textId="77777777" w:rsidTr="007B0BFD">
      <w:trPr>
        <w:trHeight w:val="274"/>
      </w:trPr>
      <w:tc>
        <w:tcPr>
          <w:tcW w:w="2050" w:type="dxa"/>
          <w:shd w:val="clear" w:color="auto" w:fill="auto"/>
          <w:vAlign w:val="center"/>
        </w:tcPr>
        <w:p w14:paraId="7179BD3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665D6A75"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28C9E53E"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2AE2C4A8"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DB1F0" w14:textId="77777777" w:rsidR="001E331D" w:rsidRDefault="001E331D" w:rsidP="00CD53C5">
      <w:r>
        <w:separator/>
      </w:r>
    </w:p>
  </w:footnote>
  <w:footnote w:type="continuationSeparator" w:id="0">
    <w:p w14:paraId="61427FB4" w14:textId="77777777" w:rsidR="001E331D" w:rsidRDefault="001E331D"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27ABB68" w14:textId="77777777" w:rsidTr="007B0BFD">
      <w:trPr>
        <w:trHeight w:val="501"/>
      </w:trPr>
      <w:tc>
        <w:tcPr>
          <w:tcW w:w="4272" w:type="dxa"/>
          <w:shd w:val="clear" w:color="auto" w:fill="auto"/>
          <w:vAlign w:val="center"/>
        </w:tcPr>
        <w:p w14:paraId="116C145B" w14:textId="77777777" w:rsidR="001545C6" w:rsidRPr="001F62DD" w:rsidRDefault="00705232"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7A55A3D2" w14:textId="77777777" w:rsidR="001545C6" w:rsidRPr="004D61E7" w:rsidRDefault="00705232"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第十四章</w:t>
          </w:r>
          <w:r>
            <w:rPr>
              <w:rFonts w:ascii="微软雅黑" w:eastAsia="微软雅黑" w:hAnsi="微软雅黑"/>
              <w:sz w:val="24"/>
              <w:szCs w:val="24"/>
            </w:rPr>
            <w:t>++审计沟通</w:t>
          </w:r>
        </w:p>
      </w:tc>
    </w:tr>
  </w:tbl>
  <w:p w14:paraId="79745207"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15B"/>
    <w:rsid w:val="000F3412"/>
    <w:rsid w:val="00103D05"/>
    <w:rsid w:val="00105A9A"/>
    <w:rsid w:val="001403A1"/>
    <w:rsid w:val="001545C6"/>
    <w:rsid w:val="001C5FBB"/>
    <w:rsid w:val="001D1548"/>
    <w:rsid w:val="001E331D"/>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05232"/>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C2D6D8"/>
  <w15:docId w15:val="{4CC8CB97-C8E7-4A05-8858-D032EDB6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163933788">
      <w:bodyDiv w:val="1"/>
      <w:marLeft w:val="0"/>
      <w:marRight w:val="0"/>
      <w:marTop w:val="0"/>
      <w:marBottom w:val="0"/>
      <w:divBdr>
        <w:top w:val="none" w:sz="0" w:space="0" w:color="auto"/>
        <w:left w:val="none" w:sz="0" w:space="0" w:color="auto"/>
        <w:bottom w:val="none" w:sz="0" w:space="0" w:color="auto"/>
        <w:right w:val="none" w:sz="0" w:space="0" w:color="auto"/>
      </w:divBdr>
      <w:divsChild>
        <w:div w:id="1431581359">
          <w:marLeft w:val="0"/>
          <w:marRight w:val="0"/>
          <w:marTop w:val="0"/>
          <w:marBottom w:val="0"/>
          <w:divBdr>
            <w:top w:val="none" w:sz="0" w:space="0" w:color="auto"/>
            <w:left w:val="none" w:sz="0" w:space="0" w:color="auto"/>
            <w:bottom w:val="none" w:sz="0" w:space="0" w:color="auto"/>
            <w:right w:val="none" w:sz="0" w:space="0" w:color="auto"/>
          </w:divBdr>
          <w:divsChild>
            <w:div w:id="249050331">
              <w:marLeft w:val="0"/>
              <w:marRight w:val="0"/>
              <w:marTop w:val="0"/>
              <w:marBottom w:val="0"/>
              <w:divBdr>
                <w:top w:val="none" w:sz="0" w:space="0" w:color="auto"/>
                <w:left w:val="none" w:sz="0" w:space="0" w:color="auto"/>
                <w:bottom w:val="none" w:sz="0" w:space="0" w:color="auto"/>
                <w:right w:val="none" w:sz="0" w:space="0" w:color="auto"/>
              </w:divBdr>
            </w:div>
            <w:div w:id="575361962">
              <w:marLeft w:val="0"/>
              <w:marRight w:val="0"/>
              <w:marTop w:val="0"/>
              <w:marBottom w:val="0"/>
              <w:divBdr>
                <w:top w:val="none" w:sz="0" w:space="0" w:color="auto"/>
                <w:left w:val="none" w:sz="0" w:space="0" w:color="auto"/>
                <w:bottom w:val="none" w:sz="0" w:space="0" w:color="auto"/>
                <w:right w:val="none" w:sz="0" w:space="0" w:color="auto"/>
              </w:divBdr>
            </w:div>
            <w:div w:id="798257381">
              <w:marLeft w:val="0"/>
              <w:marRight w:val="0"/>
              <w:marTop w:val="0"/>
              <w:marBottom w:val="0"/>
              <w:divBdr>
                <w:top w:val="none" w:sz="0" w:space="0" w:color="auto"/>
                <w:left w:val="none" w:sz="0" w:space="0" w:color="auto"/>
                <w:bottom w:val="none" w:sz="0" w:space="0" w:color="auto"/>
                <w:right w:val="none" w:sz="0" w:space="0" w:color="auto"/>
              </w:divBdr>
            </w:div>
            <w:div w:id="1113094514">
              <w:marLeft w:val="0"/>
              <w:marRight w:val="0"/>
              <w:marTop w:val="0"/>
              <w:marBottom w:val="0"/>
              <w:divBdr>
                <w:top w:val="none" w:sz="0" w:space="0" w:color="auto"/>
                <w:left w:val="none" w:sz="0" w:space="0" w:color="auto"/>
                <w:bottom w:val="none" w:sz="0" w:space="0" w:color="auto"/>
                <w:right w:val="none" w:sz="0" w:space="0" w:color="auto"/>
              </w:divBdr>
            </w:div>
            <w:div w:id="1136293079">
              <w:marLeft w:val="0"/>
              <w:marRight w:val="0"/>
              <w:marTop w:val="0"/>
              <w:marBottom w:val="0"/>
              <w:divBdr>
                <w:top w:val="none" w:sz="0" w:space="0" w:color="auto"/>
                <w:left w:val="none" w:sz="0" w:space="0" w:color="auto"/>
                <w:bottom w:val="none" w:sz="0" w:space="0" w:color="auto"/>
                <w:right w:val="none" w:sz="0" w:space="0" w:color="auto"/>
              </w:divBdr>
            </w:div>
            <w:div w:id="16976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428044688">
      <w:bodyDiv w:val="1"/>
      <w:marLeft w:val="0"/>
      <w:marRight w:val="0"/>
      <w:marTop w:val="0"/>
      <w:marBottom w:val="0"/>
      <w:divBdr>
        <w:top w:val="none" w:sz="0" w:space="0" w:color="auto"/>
        <w:left w:val="none" w:sz="0" w:space="0" w:color="auto"/>
        <w:bottom w:val="none" w:sz="0" w:space="0" w:color="auto"/>
        <w:right w:val="none" w:sz="0" w:space="0" w:color="auto"/>
      </w:divBdr>
      <w:divsChild>
        <w:div w:id="1543326476">
          <w:marLeft w:val="0"/>
          <w:marRight w:val="0"/>
          <w:marTop w:val="0"/>
          <w:marBottom w:val="0"/>
          <w:divBdr>
            <w:top w:val="none" w:sz="0" w:space="0" w:color="auto"/>
            <w:left w:val="none" w:sz="0" w:space="0" w:color="auto"/>
            <w:bottom w:val="none" w:sz="0" w:space="0" w:color="auto"/>
            <w:right w:val="none" w:sz="0" w:space="0" w:color="auto"/>
          </w:divBdr>
          <w:divsChild>
            <w:div w:id="350959187">
              <w:marLeft w:val="0"/>
              <w:marRight w:val="0"/>
              <w:marTop w:val="0"/>
              <w:marBottom w:val="0"/>
              <w:divBdr>
                <w:top w:val="none" w:sz="0" w:space="0" w:color="auto"/>
                <w:left w:val="none" w:sz="0" w:space="0" w:color="auto"/>
                <w:bottom w:val="none" w:sz="0" w:space="0" w:color="auto"/>
                <w:right w:val="none" w:sz="0" w:space="0" w:color="auto"/>
              </w:divBdr>
            </w:div>
            <w:div w:id="21139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1/2019061109440765400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611/20190611094408333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0B3D6-F1AE-40E7-80A4-C2AAEC92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