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B286A" w14:textId="77777777" w:rsidR="00000000" w:rsidRDefault="008A3DEF">
      <w:pPr>
        <w:pStyle w:val="a9"/>
        <w:shd w:val="clear" w:color="auto" w:fill="FFFFFF"/>
        <w:spacing w:before="0" w:beforeAutospacing="0" w:after="0" w:afterAutospacing="0"/>
        <w:ind w:firstLine="1044"/>
        <w:jc w:val="center"/>
        <w:rPr>
          <w:rFonts w:ascii="Calibri" w:eastAsia="微软雅黑" w:hAnsi="Calibri" w:cs="Calibri"/>
          <w:color w:val="3F3F3F"/>
          <w:sz w:val="21"/>
          <w:szCs w:val="21"/>
        </w:rPr>
      </w:pPr>
      <w:r>
        <w:rPr>
          <w:rFonts w:ascii="Calibri" w:eastAsia="微软雅黑" w:hAnsi="Calibri" w:cs="Calibri"/>
          <w:color w:val="3F3F3F"/>
          <w:sz w:val="21"/>
          <w:szCs w:val="21"/>
        </w:rPr>
        <w:t> </w:t>
      </w:r>
    </w:p>
    <w:p w14:paraId="291A5176" w14:textId="77777777" w:rsidR="00000000" w:rsidRDefault="008A3DEF">
      <w:pPr>
        <w:pStyle w:val="a9"/>
        <w:shd w:val="clear" w:color="auto" w:fill="FFFFFF"/>
        <w:spacing w:before="0" w:beforeAutospacing="0" w:after="0" w:afterAutospacing="0"/>
        <w:ind w:firstLine="1044"/>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第十五章</w:t>
      </w:r>
      <w:r>
        <w:rPr>
          <w:rFonts w:cs="Calibri" w:hint="eastAsia"/>
          <w:b/>
          <w:bCs/>
          <w:color w:val="3F3F3F"/>
          <w:sz w:val="52"/>
          <w:szCs w:val="52"/>
        </w:rPr>
        <w:t>•</w:t>
      </w:r>
      <w:r>
        <w:rPr>
          <w:rFonts w:ascii="楷体" w:eastAsia="楷体" w:hAnsi="楷体" w:cs="Calibri" w:hint="eastAsia"/>
          <w:b/>
          <w:bCs/>
          <w:color w:val="3F3F3F"/>
          <w:sz w:val="52"/>
          <w:szCs w:val="52"/>
        </w:rPr>
        <w:t>注册会计师利用他人的工作</w:t>
      </w:r>
    </w:p>
    <w:p w14:paraId="71B3E55E" w14:textId="77777777" w:rsidR="00000000" w:rsidRDefault="008A3DEF">
      <w:pPr>
        <w:pStyle w:val="a9"/>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1D734E9F" w14:textId="77777777" w:rsidR="00000000" w:rsidRDefault="008A3DEF">
      <w:pPr>
        <w:pStyle w:val="a9"/>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6B9BECD2" w14:textId="77777777" w:rsidR="00000000" w:rsidRDefault="008A3DEF">
      <w:pPr>
        <w:pStyle w:val="a9"/>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57D923EE" w14:textId="77777777" w:rsidR="00000000" w:rsidRDefault="008A3DEF">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4044542D" w14:textId="77777777" w:rsidR="00000000" w:rsidRDefault="008A3DEF">
      <w:pPr>
        <w:pStyle w:val="a9"/>
        <w:shd w:val="clear" w:color="auto" w:fill="FFFFFF"/>
        <w:spacing w:before="0" w:beforeAutospacing="0" w:after="0" w:afterAutospacing="0"/>
        <w:jc w:val="center"/>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185E1FB6"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6DF34907"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0" w:type="auto"/>
        <w:jc w:val="center"/>
        <w:tblInd w:w="0" w:type="dxa"/>
        <w:tblLayout w:type="fixed"/>
        <w:tblCellMar>
          <w:left w:w="0" w:type="dxa"/>
          <w:right w:w="0" w:type="dxa"/>
        </w:tblCellMar>
        <w:tblLook w:val="0000" w:firstRow="0" w:lastRow="0" w:firstColumn="0" w:lastColumn="0" w:noHBand="0" w:noVBand="0"/>
      </w:tblPr>
      <w:tblGrid>
        <w:gridCol w:w="1518"/>
        <w:gridCol w:w="6987"/>
      </w:tblGrid>
      <w:tr w:rsidR="00000000" w14:paraId="38082C3B" w14:textId="77777777">
        <w:trPr>
          <w:trHeight w:val="506"/>
          <w:jc w:val="center"/>
        </w:trPr>
        <w:tc>
          <w:tcPr>
            <w:tcW w:w="151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29458F6D"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87"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6C9C0211"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50C8E083" w14:textId="77777777">
        <w:trPr>
          <w:trHeight w:val="506"/>
          <w:jc w:val="center"/>
        </w:trPr>
        <w:tc>
          <w:tcPr>
            <w:tcW w:w="151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2C959632"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8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01AFCFF0"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w:t>
            </w:r>
          </w:p>
        </w:tc>
      </w:tr>
      <w:tr w:rsidR="00000000" w14:paraId="032ABFED" w14:textId="77777777">
        <w:trPr>
          <w:trHeight w:val="506"/>
          <w:jc w:val="center"/>
        </w:trPr>
        <w:tc>
          <w:tcPr>
            <w:tcW w:w="151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4559CF85"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8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217AE833"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实务性强</w:t>
            </w:r>
          </w:p>
        </w:tc>
      </w:tr>
      <w:tr w:rsidR="00000000" w14:paraId="4E8E6864" w14:textId="77777777">
        <w:trPr>
          <w:trHeight w:val="2698"/>
          <w:jc w:val="center"/>
        </w:trPr>
        <w:tc>
          <w:tcPr>
            <w:tcW w:w="151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1A11A0F2"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8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1582016" w14:textId="77777777" w:rsidR="00000000" w:rsidRDefault="008A3DEF">
            <w:pPr>
              <w:pStyle w:val="a9"/>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本章侧重在客观题中考查利用专家和内审工作时的考虑因素，但根据近年度审计的命题规律，本章也可以在简答题、综合题中进行考查</w:t>
            </w:r>
          </w:p>
          <w:p w14:paraId="1CD3B101" w14:textId="77777777" w:rsidR="00000000" w:rsidRDefault="008A3DEF">
            <w:pPr>
              <w:pStyle w:val="a9"/>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这一章节</w:t>
            </w:r>
            <w:r>
              <w:rPr>
                <w:rFonts w:cs="Calibri" w:hint="eastAsia"/>
                <w:b/>
                <w:bCs/>
                <w:color w:val="FF0000"/>
                <w:sz w:val="21"/>
                <w:szCs w:val="21"/>
              </w:rPr>
              <w:t>贴近实务</w:t>
            </w:r>
            <w:r>
              <w:rPr>
                <w:rFonts w:cs="Calibri" w:hint="eastAsia"/>
                <w:color w:val="333333"/>
                <w:sz w:val="21"/>
                <w:szCs w:val="21"/>
              </w:rPr>
              <w:t>，需要设身处地地融入情景，同时，需要关注本章与审计会计估计、存货监盘、企业内部控制审计等</w:t>
            </w:r>
            <w:r>
              <w:rPr>
                <w:rFonts w:cs="Calibri" w:hint="eastAsia"/>
                <w:color w:val="333333"/>
                <w:sz w:val="21"/>
                <w:szCs w:val="21"/>
              </w:rPr>
              <w:t>章节的综合性题目</w:t>
            </w:r>
          </w:p>
          <w:p w14:paraId="003A3202" w14:textId="77777777" w:rsidR="00000000" w:rsidRDefault="008A3DEF">
            <w:pPr>
              <w:pStyle w:val="a9"/>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学习本章，同学们要注重</w:t>
            </w:r>
            <w:r>
              <w:rPr>
                <w:rFonts w:cs="Calibri" w:hint="eastAsia"/>
                <w:b/>
                <w:bCs/>
                <w:color w:val="FF0000"/>
                <w:sz w:val="21"/>
                <w:szCs w:val="21"/>
              </w:rPr>
              <w:t>理清决策流程</w:t>
            </w:r>
            <w:r>
              <w:rPr>
                <w:rFonts w:cs="Calibri" w:hint="eastAsia"/>
                <w:color w:val="333333"/>
                <w:sz w:val="21"/>
                <w:szCs w:val="21"/>
              </w:rPr>
              <w:t>，并对重要知识点加以记忆</w:t>
            </w:r>
          </w:p>
          <w:p w14:paraId="539D2482" w14:textId="77777777" w:rsidR="00000000" w:rsidRDefault="008A3DEF">
            <w:pPr>
              <w:pStyle w:val="a9"/>
              <w:spacing w:before="0" w:beforeAutospacing="0" w:after="0" w:afterAutospacing="0"/>
              <w:ind w:left="720" w:hanging="360"/>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利用内部审计的工作，</w:t>
            </w:r>
            <w:r>
              <w:rPr>
                <w:rFonts w:cs="Calibri" w:hint="eastAsia"/>
                <w:color w:val="333333"/>
                <w:sz w:val="21"/>
                <w:szCs w:val="21"/>
              </w:rPr>
              <w:t>2019</w:t>
            </w:r>
            <w:r>
              <w:rPr>
                <w:rFonts w:cs="Calibri" w:hint="eastAsia"/>
                <w:color w:val="333333"/>
                <w:sz w:val="21"/>
                <w:szCs w:val="21"/>
              </w:rPr>
              <w:t>年进行了</w:t>
            </w:r>
            <w:r>
              <w:rPr>
                <w:rFonts w:cs="Calibri" w:hint="eastAsia"/>
                <w:b/>
                <w:bCs/>
                <w:color w:val="FF0000"/>
                <w:sz w:val="21"/>
                <w:szCs w:val="21"/>
              </w:rPr>
              <w:t>全面改写</w:t>
            </w:r>
            <w:r>
              <w:rPr>
                <w:rFonts w:cs="Calibri" w:hint="eastAsia"/>
                <w:color w:val="333333"/>
                <w:sz w:val="21"/>
                <w:szCs w:val="21"/>
              </w:rPr>
              <w:t>，需要考生重点把握</w:t>
            </w:r>
          </w:p>
        </w:tc>
      </w:tr>
    </w:tbl>
    <w:p w14:paraId="4847B266"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193C661" w14:textId="77777777" w:rsidR="00000000" w:rsidRDefault="008A3DEF">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1D2E2A1E"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0F128131"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利用内部审计工作</w:t>
      </w:r>
    </w:p>
    <w:p w14:paraId="53F2EDEF"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299EC3B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一、内部审计和注册会计师的关系</w:t>
      </w:r>
      <w:r>
        <w:rPr>
          <w:rFonts w:cs="Calibri" w:hint="eastAsia"/>
          <w:b/>
          <w:bCs/>
          <w:color w:val="FF0000"/>
          <w:sz w:val="21"/>
          <w:szCs w:val="21"/>
        </w:rPr>
        <w:t>（※）</w:t>
      </w:r>
    </w:p>
    <w:p w14:paraId="4AC6925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二、确定是否利用、在哪些领域利用以及在多大程度上利用内部审计的工作</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3EE8745C"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三、利用内部审计工作</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76C4D113"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四、确定是否利用、在哪些领域利用以及在多大程度上利用内部审计人员提供直接协助</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7795B611"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五、利用内部审计人员提供直接协助</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r>
        <w:rPr>
          <w:rFonts w:cs="Calibri" w:hint="eastAsia"/>
          <w:b/>
          <w:bCs/>
          <w:color w:val="FF0000"/>
          <w:sz w:val="21"/>
          <w:szCs w:val="21"/>
        </w:rPr>
        <w:t xml:space="preserve"> </w:t>
      </w:r>
      <w:r>
        <w:rPr>
          <w:rFonts w:cs="Calibri" w:hint="eastAsia"/>
          <w:b/>
          <w:bCs/>
          <w:color w:val="FF0000"/>
          <w:sz w:val="21"/>
          <w:szCs w:val="21"/>
        </w:rPr>
        <w:t>）</w:t>
      </w:r>
    </w:p>
    <w:p w14:paraId="4576A73B"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"http://webupload.admin.dongao.com/biz/handout/img/2019/20190610/20190610162026353001.jpg"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41D33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34.5pt;height:214.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73FA626A"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一、内部审计和注册会计师的关系</w:t>
      </w:r>
    </w:p>
    <w:p w14:paraId="679E707F"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内部审计的定义</w:t>
      </w:r>
    </w:p>
    <w:p w14:paraId="444E98DF"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内部审计是被指审计单位负责执行鉴证和咨询活动，以评价和改进被审计单位的治理、风险管理和内部控制流程有效性的部门、岗位或人员，是被审计单位内部控制的重要组成部分。</w:t>
      </w:r>
    </w:p>
    <w:p w14:paraId="164B6999"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内部审计的目标</w:t>
      </w:r>
    </w:p>
    <w:p w14:paraId="661ECA1A"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w:t>
      </w:r>
      <w:r>
        <w:rPr>
          <w:rFonts w:cs="Calibri" w:hint="eastAsia"/>
          <w:color w:val="3F3F3F"/>
          <w:sz w:val="21"/>
          <w:szCs w:val="21"/>
        </w:rPr>
        <w:t>对内部控制的监督；</w:t>
      </w:r>
    </w:p>
    <w:p w14:paraId="463C3823"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）对财务信息和</w:t>
      </w:r>
      <w:r>
        <w:rPr>
          <w:rFonts w:cs="Calibri" w:hint="eastAsia"/>
          <w:b/>
          <w:bCs/>
          <w:color w:val="FF0000"/>
          <w:sz w:val="21"/>
          <w:szCs w:val="21"/>
        </w:rPr>
        <w:t>经营信息</w:t>
      </w:r>
      <w:r>
        <w:rPr>
          <w:rFonts w:cs="Calibri" w:hint="eastAsia"/>
          <w:color w:val="3F3F3F"/>
          <w:sz w:val="21"/>
          <w:szCs w:val="21"/>
        </w:rPr>
        <w:t>的检查；</w:t>
      </w:r>
    </w:p>
    <w:p w14:paraId="0F4277C0"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）对</w:t>
      </w:r>
      <w:r>
        <w:rPr>
          <w:rFonts w:cs="Calibri" w:hint="eastAsia"/>
          <w:b/>
          <w:bCs/>
          <w:color w:val="FF0000"/>
          <w:sz w:val="21"/>
          <w:szCs w:val="21"/>
        </w:rPr>
        <w:t>经营活动</w:t>
      </w:r>
      <w:r>
        <w:rPr>
          <w:rFonts w:cs="Calibri" w:hint="eastAsia"/>
          <w:color w:val="3F3F3F"/>
          <w:sz w:val="21"/>
          <w:szCs w:val="21"/>
        </w:rPr>
        <w:t>的评价；</w:t>
      </w:r>
    </w:p>
    <w:p w14:paraId="03F8BCD9"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）对遵守法律法规情况的评价；</w:t>
      </w:r>
    </w:p>
    <w:p w14:paraId="787177DE"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）风险管理；</w:t>
      </w:r>
    </w:p>
    <w:p w14:paraId="341071D7"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）治理。</w:t>
      </w:r>
    </w:p>
    <w:p w14:paraId="75EC180C"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内部审计与注册会计师审计的联系</w:t>
      </w:r>
    </w:p>
    <w:p w14:paraId="7D63877B"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）内部审计与注册会计师审计实现各自目标的某些方式是</w:t>
      </w:r>
      <w:r>
        <w:rPr>
          <w:rFonts w:cs="Calibri" w:hint="eastAsia"/>
          <w:b/>
          <w:bCs/>
          <w:color w:val="FF0000"/>
          <w:sz w:val="21"/>
          <w:szCs w:val="21"/>
        </w:rPr>
        <w:t>相似</w:t>
      </w:r>
      <w:r>
        <w:rPr>
          <w:rFonts w:cs="Calibri" w:hint="eastAsia"/>
          <w:color w:val="3F3F3F"/>
          <w:sz w:val="21"/>
          <w:szCs w:val="21"/>
        </w:rPr>
        <w:t>的；</w:t>
      </w:r>
    </w:p>
    <w:p w14:paraId="6E517517"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）通过了解与评估内部审计工作，注册会计师利用可信赖的内部审计工作，可以提高审计工作</w:t>
      </w:r>
      <w:r>
        <w:rPr>
          <w:rFonts w:cs="Calibri" w:hint="eastAsia"/>
          <w:b/>
          <w:bCs/>
          <w:color w:val="FF0000"/>
          <w:sz w:val="21"/>
          <w:szCs w:val="21"/>
        </w:rPr>
        <w:t>效率</w:t>
      </w:r>
      <w:r>
        <w:rPr>
          <w:rFonts w:cs="Calibri" w:hint="eastAsia"/>
          <w:color w:val="3F3F3F"/>
          <w:sz w:val="21"/>
          <w:szCs w:val="21"/>
        </w:rPr>
        <w:t>；</w:t>
      </w:r>
    </w:p>
    <w:p w14:paraId="4605D37D"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）注册会计师在审计中利用内部审计人员的工作包括：在获取审计证据的过程中利用内部审计部门、岗位或人员的工作；在注册会计师的指导、监督和复核下利用内部审计人员提供直接协助</w:t>
      </w:r>
      <w:r>
        <w:rPr>
          <w:rFonts w:cs="Calibri" w:hint="eastAsia"/>
          <w:color w:val="3F3F3F"/>
          <w:sz w:val="21"/>
          <w:szCs w:val="21"/>
        </w:rPr>
        <w:t>。</w:t>
      </w:r>
    </w:p>
    <w:p w14:paraId="688F3E0C"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注册会计师的责任</w:t>
      </w:r>
      <w:r>
        <w:rPr>
          <w:rFonts w:cs="Calibri" w:hint="eastAsia"/>
          <w:b/>
          <w:bCs/>
          <w:color w:val="FF0000"/>
          <w:sz w:val="21"/>
          <w:szCs w:val="21"/>
        </w:rPr>
        <w:t>【单选题高频考点】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2386"/>
        <w:gridCol w:w="6119"/>
      </w:tblGrid>
      <w:tr w:rsidR="00000000" w14:paraId="3FF2EDB8" w14:textId="77777777">
        <w:trPr>
          <w:trHeight w:val="413"/>
          <w:jc w:val="center"/>
        </w:trPr>
        <w:tc>
          <w:tcPr>
            <w:tcW w:w="23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5A4C31D1"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环节</w:t>
            </w:r>
          </w:p>
        </w:tc>
        <w:tc>
          <w:tcPr>
            <w:tcW w:w="6119"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38200880"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责任</w:t>
            </w:r>
          </w:p>
        </w:tc>
      </w:tr>
      <w:tr w:rsidR="00000000" w14:paraId="6864193B" w14:textId="77777777">
        <w:trPr>
          <w:trHeight w:val="2164"/>
          <w:jc w:val="center"/>
        </w:trPr>
        <w:tc>
          <w:tcPr>
            <w:tcW w:w="2386"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65966FCD"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独立职业判断</w:t>
            </w:r>
          </w:p>
        </w:tc>
        <w:tc>
          <w:tcPr>
            <w:tcW w:w="6119"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574C0202"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注册会计师应当对与财务报表审计有关的所有重大事项</w:t>
            </w:r>
            <w:r>
              <w:rPr>
                <w:rFonts w:cs="Calibri" w:hint="eastAsia"/>
                <w:b/>
                <w:bCs/>
                <w:color w:val="FF0000"/>
                <w:sz w:val="21"/>
                <w:szCs w:val="21"/>
              </w:rPr>
              <w:t>独立作出职业判断</w:t>
            </w:r>
            <w:r>
              <w:rPr>
                <w:rFonts w:cs="Calibri" w:hint="eastAsia"/>
                <w:color w:val="333333"/>
                <w:sz w:val="21"/>
                <w:szCs w:val="21"/>
              </w:rPr>
              <w:t>，不应完全依赖内部审计工作，包括：</w:t>
            </w:r>
          </w:p>
          <w:p w14:paraId="19F5EE35"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）重大错报</w:t>
            </w:r>
            <w:r>
              <w:rPr>
                <w:rFonts w:cs="Calibri" w:hint="eastAsia"/>
                <w:b/>
                <w:bCs/>
                <w:color w:val="FF0000"/>
                <w:sz w:val="21"/>
                <w:szCs w:val="21"/>
              </w:rPr>
              <w:t>风险的评估</w:t>
            </w:r>
          </w:p>
          <w:p w14:paraId="0AC014D0"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r>
              <w:rPr>
                <w:rFonts w:cs="Calibri" w:hint="eastAsia"/>
                <w:b/>
                <w:bCs/>
                <w:color w:val="FF0000"/>
                <w:sz w:val="21"/>
                <w:szCs w:val="21"/>
              </w:rPr>
              <w:t>重要性水平</w:t>
            </w:r>
            <w:r>
              <w:rPr>
                <w:rFonts w:cs="Calibri" w:hint="eastAsia"/>
                <w:color w:val="333333"/>
                <w:sz w:val="21"/>
                <w:szCs w:val="21"/>
              </w:rPr>
              <w:t>的确定</w:t>
            </w:r>
          </w:p>
          <w:p w14:paraId="05EB33D3"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r>
              <w:rPr>
                <w:rFonts w:cs="Calibri" w:hint="eastAsia"/>
                <w:b/>
                <w:bCs/>
                <w:color w:val="FF0000"/>
                <w:sz w:val="21"/>
                <w:szCs w:val="21"/>
              </w:rPr>
              <w:t>样本规模</w:t>
            </w:r>
            <w:r>
              <w:rPr>
                <w:rFonts w:cs="Calibri" w:hint="eastAsia"/>
                <w:color w:val="333333"/>
                <w:sz w:val="21"/>
                <w:szCs w:val="21"/>
              </w:rPr>
              <w:t>的确定</w:t>
            </w:r>
          </w:p>
          <w:p w14:paraId="2B2FEB56"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）对会计政策和会计估计的</w:t>
            </w:r>
            <w:r>
              <w:rPr>
                <w:rFonts w:cs="Calibri" w:hint="eastAsia"/>
                <w:b/>
                <w:bCs/>
                <w:color w:val="FF0000"/>
                <w:sz w:val="21"/>
                <w:szCs w:val="21"/>
              </w:rPr>
              <w:t>评估</w:t>
            </w:r>
            <w:r>
              <w:rPr>
                <w:rFonts w:cs="Calibri" w:hint="eastAsia"/>
                <w:color w:val="333333"/>
                <w:sz w:val="21"/>
                <w:szCs w:val="21"/>
              </w:rPr>
              <w:t>等</w:t>
            </w:r>
          </w:p>
        </w:tc>
      </w:tr>
      <w:tr w:rsidR="00000000" w14:paraId="3A0D484E" w14:textId="77777777">
        <w:trPr>
          <w:trHeight w:val="948"/>
          <w:jc w:val="center"/>
        </w:trPr>
        <w:tc>
          <w:tcPr>
            <w:tcW w:w="2386"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6328E837"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独立发表意见</w:t>
            </w:r>
          </w:p>
        </w:tc>
        <w:tc>
          <w:tcPr>
            <w:tcW w:w="6119"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3616285" w14:textId="77777777" w:rsidR="00000000" w:rsidRDefault="008A3DEF">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注册会计师对发表的审计意见</w:t>
            </w:r>
            <w:r>
              <w:rPr>
                <w:rFonts w:cs="Calibri" w:hint="eastAsia"/>
                <w:b/>
                <w:bCs/>
                <w:color w:val="FF0000"/>
                <w:sz w:val="21"/>
                <w:szCs w:val="21"/>
              </w:rPr>
              <w:t>独立承担责任</w:t>
            </w:r>
            <w:r>
              <w:rPr>
                <w:rFonts w:cs="Calibri" w:hint="eastAsia"/>
                <w:color w:val="333333"/>
                <w:sz w:val="21"/>
                <w:szCs w:val="21"/>
              </w:rPr>
              <w:t>，这种责任并</w:t>
            </w:r>
            <w:r>
              <w:rPr>
                <w:rFonts w:cs="Calibri" w:hint="eastAsia"/>
                <w:b/>
                <w:bCs/>
                <w:color w:val="FF0000"/>
                <w:sz w:val="21"/>
                <w:szCs w:val="21"/>
              </w:rPr>
              <w:t>不因</w:t>
            </w:r>
            <w:r>
              <w:rPr>
                <w:rFonts w:cs="Calibri" w:hint="eastAsia"/>
                <w:color w:val="333333"/>
                <w:sz w:val="21"/>
                <w:szCs w:val="21"/>
              </w:rPr>
              <w:t>利用内部审计人员的工作而减轻</w:t>
            </w:r>
          </w:p>
        </w:tc>
      </w:tr>
    </w:tbl>
    <w:p w14:paraId="2A9BB6D2"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2C17201"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2014</w:t>
      </w:r>
      <w:r>
        <w:rPr>
          <w:rFonts w:cs="Calibri" w:hint="eastAsia"/>
          <w:b/>
          <w:bCs/>
          <w:color w:val="3F3F3F"/>
          <w:sz w:val="21"/>
          <w:szCs w:val="21"/>
        </w:rPr>
        <w:t>年真题】</w:t>
      </w:r>
      <w:r>
        <w:rPr>
          <w:rFonts w:cs="Calibri" w:hint="eastAsia"/>
          <w:b/>
          <w:bCs/>
          <w:color w:val="3F3F3F"/>
          <w:sz w:val="21"/>
          <w:szCs w:val="21"/>
        </w:rPr>
        <w:t xml:space="preserve"> </w:t>
      </w:r>
    </w:p>
    <w:p w14:paraId="423F506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下列各项审计工作中，注册会计师不能利用内部审计工作的有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11FD4B0E"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评估重大错</w:t>
      </w:r>
      <w:r>
        <w:rPr>
          <w:rFonts w:cs="Calibri" w:hint="eastAsia"/>
          <w:color w:val="3F3F3F"/>
          <w:sz w:val="21"/>
          <w:szCs w:val="21"/>
        </w:rPr>
        <w:t>报风险</w:t>
      </w:r>
    </w:p>
    <w:p w14:paraId="3D350950"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确定重要性水平</w:t>
      </w:r>
    </w:p>
    <w:p w14:paraId="36B328D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确定控制测试的样本规模</w:t>
      </w:r>
    </w:p>
    <w:p w14:paraId="1233883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w:t>
      </w:r>
      <w:r>
        <w:rPr>
          <w:rFonts w:cs="Calibri" w:hint="eastAsia"/>
          <w:color w:val="3F3F3F"/>
          <w:sz w:val="21"/>
          <w:szCs w:val="21"/>
        </w:rPr>
        <w:t>评估会计政策和会计估计</w:t>
      </w:r>
    </w:p>
    <w:p w14:paraId="5DFD8F5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ABCD</w:t>
      </w:r>
    </w:p>
    <w:p w14:paraId="63707230" w14:textId="77777777" w:rsidR="00000000" w:rsidRDefault="008A3DEF">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内部审计的自主程度和客观性无法达到注册会计师审计所要求的水平，注册会计师应当对与财务报表审计有关的所有重大事项独立作出职业判断，不应完全依赖内部审计工作，如评估重大错报风险、确定重要性水平、确定样本规模、评估会计政策和会计估计等。</w:t>
      </w:r>
    </w:p>
    <w:p w14:paraId="6BD9921F"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二、确定是否利用、在哪些领域利用以及在多大程度上利用内部审计的工作</w:t>
      </w:r>
    </w:p>
    <w:p w14:paraId="14C7A4AD"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w:instrText>
      </w:r>
      <w:r>
        <w:rPr>
          <w:rFonts w:ascii="Calibri" w:eastAsia="微软雅黑" w:hAnsi="Calibri" w:cs="Calibri"/>
          <w:color w:val="3F3F3F"/>
          <w:sz w:val="21"/>
          <w:szCs w:val="21"/>
        </w:rPr>
        <w:instrText xml:space="preserve">om/biz/handout/img/2019/20190610/20190610162026587002.jpg"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3" o:spid="_x0000_i1027" type="#_x0000_t75" style="width:415.5pt;height:174.7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4A054C9A"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总体要求</w:t>
      </w:r>
      <w:r>
        <w:rPr>
          <w:rFonts w:ascii="Calibri" w:eastAsia="微软雅黑" w:hAnsi="Calibri" w:cs="Calibri"/>
          <w:color w:val="3F3F3F"/>
          <w:sz w:val="21"/>
          <w:szCs w:val="21"/>
        </w:rPr>
        <w:pict>
          <v:shape id="_x0000_i1028" type="#_x0000_t75" alt="100506更新速度" style="width:387.75pt;height:12.75pt">
            <v:fill o:detectmouseclick="t"/>
            <v:imagedata r:id="rId10" o:title="100506更新速度"/>
          </v:shape>
        </w:pict>
      </w:r>
    </w:p>
    <w:p w14:paraId="48587BEC"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当被审计单位存在内部审计，并且注册会计师预期将利用其工作以调整注册会计师直接实施的审计程序的性质、时间安排，或缩小其范围时，注册会计师应当确定：</w:t>
      </w:r>
    </w:p>
    <w:p w14:paraId="0596ED9F"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）内部审计的工作</w:t>
      </w:r>
      <w:r>
        <w:rPr>
          <w:rFonts w:cs="Calibri" w:hint="eastAsia"/>
          <w:b/>
          <w:bCs/>
          <w:color w:val="FF0000"/>
          <w:sz w:val="21"/>
          <w:szCs w:val="21"/>
        </w:rPr>
        <w:t>是否足以实现审计目的</w:t>
      </w:r>
      <w:r>
        <w:rPr>
          <w:rFonts w:cs="Calibri" w:hint="eastAsia"/>
          <w:color w:val="3F3F3F"/>
          <w:sz w:val="21"/>
          <w:szCs w:val="21"/>
        </w:rPr>
        <w:t>；</w:t>
      </w:r>
    </w:p>
    <w:p w14:paraId="0A269AEC"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w:t>
      </w:r>
      <w:r>
        <w:rPr>
          <w:rFonts w:cs="Calibri" w:hint="eastAsia"/>
          <w:color w:val="3F3F3F"/>
          <w:sz w:val="21"/>
          <w:szCs w:val="21"/>
        </w:rPr>
        <w:t xml:space="preserve"> </w:t>
      </w:r>
      <w:r>
        <w:rPr>
          <w:rFonts w:cs="Calibri" w:hint="eastAsia"/>
          <w:b/>
          <w:bCs/>
          <w:color w:val="FF0000"/>
          <w:sz w:val="21"/>
          <w:szCs w:val="21"/>
        </w:rPr>
        <w:t>是否能够利用</w:t>
      </w:r>
      <w:r>
        <w:rPr>
          <w:rFonts w:cs="Calibri" w:hint="eastAsia"/>
          <w:color w:val="3F3F3F"/>
          <w:sz w:val="21"/>
          <w:szCs w:val="21"/>
        </w:rPr>
        <w:t>内部审计的工作；</w:t>
      </w:r>
      <w:r>
        <w:rPr>
          <w:rFonts w:cs="Calibri" w:hint="eastAsia"/>
          <w:color w:val="3F3F3F"/>
          <w:sz w:val="21"/>
          <w:szCs w:val="21"/>
        </w:rPr>
        <w:t xml:space="preserve"> </w:t>
      </w:r>
    </w:p>
    <w:p w14:paraId="0611FF05"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）如果能够利用，</w:t>
      </w:r>
      <w:r>
        <w:rPr>
          <w:rFonts w:cs="Calibri" w:hint="eastAsia"/>
          <w:b/>
          <w:bCs/>
          <w:color w:val="FF0000"/>
          <w:sz w:val="21"/>
          <w:szCs w:val="21"/>
        </w:rPr>
        <w:t>在哪些领域利用</w:t>
      </w:r>
      <w:r>
        <w:rPr>
          <w:rFonts w:cs="Calibri" w:hint="eastAsia"/>
          <w:color w:val="3F3F3F"/>
          <w:sz w:val="21"/>
          <w:szCs w:val="21"/>
        </w:rPr>
        <w:t>以及在</w:t>
      </w:r>
      <w:r>
        <w:rPr>
          <w:rFonts w:cs="Calibri" w:hint="eastAsia"/>
          <w:b/>
          <w:bCs/>
          <w:color w:val="FF0000"/>
          <w:sz w:val="21"/>
          <w:szCs w:val="21"/>
        </w:rPr>
        <w:t>多大程度上利用</w:t>
      </w:r>
      <w:r>
        <w:rPr>
          <w:rFonts w:cs="Calibri" w:hint="eastAsia"/>
          <w:color w:val="3F3F3F"/>
          <w:sz w:val="21"/>
          <w:szCs w:val="21"/>
        </w:rPr>
        <w:t>。</w:t>
      </w:r>
    </w:p>
    <w:p w14:paraId="7B710787"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评价内部审计的工作是否足以实现审计目的</w:t>
      </w:r>
      <w:r>
        <w:rPr>
          <w:rFonts w:cs="Calibri" w:hint="eastAsia"/>
          <w:b/>
          <w:bCs/>
          <w:color w:val="FF0000"/>
          <w:sz w:val="21"/>
          <w:szCs w:val="21"/>
        </w:rPr>
        <w:t>【</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4138"/>
        <w:gridCol w:w="4367"/>
      </w:tblGrid>
      <w:tr w:rsidR="00000000" w14:paraId="72E76AFD" w14:textId="77777777">
        <w:trPr>
          <w:trHeight w:val="439"/>
          <w:jc w:val="center"/>
        </w:trPr>
        <w:tc>
          <w:tcPr>
            <w:tcW w:w="413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vAlign w:val="center"/>
          </w:tcPr>
          <w:p w14:paraId="3A3AC665"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考虑因素</w:t>
            </w:r>
          </w:p>
        </w:tc>
        <w:tc>
          <w:tcPr>
            <w:tcW w:w="4367" w:type="dxa"/>
            <w:tcBorders>
              <w:top w:val="single" w:sz="8" w:space="0" w:color="000000"/>
              <w:left w:val="nil"/>
              <w:bottom w:val="single" w:sz="8" w:space="0" w:color="000000"/>
              <w:right w:val="single" w:sz="8" w:space="0" w:color="000000"/>
            </w:tcBorders>
            <w:tcMar>
              <w:top w:w="15" w:type="dxa"/>
              <w:left w:w="108" w:type="dxa"/>
              <w:bottom w:w="0" w:type="dxa"/>
              <w:right w:w="108" w:type="dxa"/>
            </w:tcMar>
            <w:vAlign w:val="center"/>
          </w:tcPr>
          <w:p w14:paraId="7BD9F05F"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不得利用的情形</w:t>
            </w:r>
          </w:p>
        </w:tc>
      </w:tr>
      <w:tr w:rsidR="00000000" w14:paraId="449DFE62" w14:textId="77777777">
        <w:trPr>
          <w:trHeight w:val="1542"/>
          <w:jc w:val="center"/>
        </w:trPr>
        <w:tc>
          <w:tcPr>
            <w:tcW w:w="413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33005D21"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内部审计在被审计单位中的</w:t>
            </w:r>
            <w:r>
              <w:rPr>
                <w:rFonts w:cs="Calibri" w:hint="eastAsia"/>
                <w:b/>
                <w:bCs/>
                <w:color w:val="FF0000"/>
                <w:sz w:val="21"/>
                <w:szCs w:val="21"/>
              </w:rPr>
              <w:t>地位</w:t>
            </w:r>
            <w:r>
              <w:rPr>
                <w:rFonts w:cs="Calibri" w:hint="eastAsia"/>
                <w:color w:val="333333"/>
                <w:sz w:val="21"/>
                <w:szCs w:val="21"/>
              </w:rPr>
              <w:t>，以及相关政策和程序支持内部审计人员</w:t>
            </w:r>
            <w:r>
              <w:rPr>
                <w:rFonts w:cs="Calibri" w:hint="eastAsia"/>
                <w:b/>
                <w:bCs/>
                <w:color w:val="FF0000"/>
                <w:sz w:val="21"/>
                <w:szCs w:val="21"/>
              </w:rPr>
              <w:t>客观性</w:t>
            </w:r>
            <w:r>
              <w:rPr>
                <w:rFonts w:cs="Calibri" w:hint="eastAsia"/>
                <w:color w:val="333333"/>
                <w:sz w:val="21"/>
                <w:szCs w:val="21"/>
              </w:rPr>
              <w:t>的程度</w:t>
            </w:r>
          </w:p>
        </w:tc>
        <w:tc>
          <w:tcPr>
            <w:tcW w:w="436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0018026"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内部审计在被审计单位的地位以及相关政策和程序</w:t>
            </w:r>
            <w:r>
              <w:rPr>
                <w:rFonts w:cs="Calibri" w:hint="eastAsia"/>
                <w:b/>
                <w:bCs/>
                <w:color w:val="FF0000"/>
                <w:sz w:val="21"/>
                <w:szCs w:val="21"/>
              </w:rPr>
              <w:t>不足以支持</w:t>
            </w:r>
            <w:r>
              <w:rPr>
                <w:rFonts w:cs="Calibri" w:hint="eastAsia"/>
                <w:color w:val="333333"/>
                <w:sz w:val="21"/>
                <w:szCs w:val="21"/>
              </w:rPr>
              <w:t>内部审计人员的客观性</w:t>
            </w:r>
          </w:p>
        </w:tc>
      </w:tr>
      <w:tr w:rsidR="00000000" w14:paraId="3397E9EF" w14:textId="77777777">
        <w:trPr>
          <w:trHeight w:val="685"/>
          <w:jc w:val="center"/>
        </w:trPr>
        <w:tc>
          <w:tcPr>
            <w:tcW w:w="413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7C34C180"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内部审计人员的</w:t>
            </w:r>
            <w:r>
              <w:rPr>
                <w:rFonts w:cs="Calibri" w:hint="eastAsia"/>
                <w:b/>
                <w:bCs/>
                <w:color w:val="FF0000"/>
                <w:sz w:val="21"/>
                <w:szCs w:val="21"/>
              </w:rPr>
              <w:t>胜任能力</w:t>
            </w:r>
          </w:p>
        </w:tc>
        <w:tc>
          <w:tcPr>
            <w:tcW w:w="436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0EF04BC8"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内部审计人员</w:t>
            </w:r>
            <w:r>
              <w:rPr>
                <w:rFonts w:cs="Calibri" w:hint="eastAsia"/>
                <w:b/>
                <w:bCs/>
                <w:color w:val="FF0000"/>
                <w:sz w:val="21"/>
                <w:szCs w:val="21"/>
              </w:rPr>
              <w:t>缺乏</w:t>
            </w:r>
            <w:r>
              <w:rPr>
                <w:rFonts w:cs="Calibri" w:hint="eastAsia"/>
                <w:color w:val="333333"/>
                <w:sz w:val="21"/>
                <w:szCs w:val="21"/>
              </w:rPr>
              <w:t>足够的胜任能力</w:t>
            </w:r>
          </w:p>
        </w:tc>
      </w:tr>
      <w:tr w:rsidR="00000000" w14:paraId="38186005" w14:textId="77777777">
        <w:trPr>
          <w:trHeight w:val="915"/>
          <w:jc w:val="center"/>
        </w:trPr>
        <w:tc>
          <w:tcPr>
            <w:tcW w:w="4138" w:type="dxa"/>
            <w:tcBorders>
              <w:top w:val="nil"/>
              <w:left w:val="single" w:sz="8" w:space="0" w:color="000000"/>
              <w:bottom w:val="single" w:sz="8" w:space="0" w:color="000000"/>
              <w:right w:val="single" w:sz="8" w:space="0" w:color="000000"/>
            </w:tcBorders>
            <w:tcMar>
              <w:top w:w="15" w:type="dxa"/>
              <w:left w:w="108" w:type="dxa"/>
              <w:bottom w:w="0" w:type="dxa"/>
              <w:right w:w="108" w:type="dxa"/>
            </w:tcMar>
            <w:vAlign w:val="center"/>
          </w:tcPr>
          <w:p w14:paraId="65F64B17"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内部审计是否采用系统、规范化的</w:t>
            </w:r>
            <w:r>
              <w:rPr>
                <w:rFonts w:cs="Calibri" w:hint="eastAsia"/>
                <w:b/>
                <w:bCs/>
                <w:color w:val="FF0000"/>
                <w:sz w:val="21"/>
                <w:szCs w:val="21"/>
              </w:rPr>
              <w:t>方法</w:t>
            </w:r>
            <w:r>
              <w:rPr>
                <w:rFonts w:cs="Calibri" w:hint="eastAsia"/>
                <w:color w:val="333333"/>
                <w:sz w:val="21"/>
                <w:szCs w:val="21"/>
              </w:rPr>
              <w:t>(</w:t>
            </w:r>
            <w:r>
              <w:rPr>
                <w:rFonts w:cs="Calibri" w:hint="eastAsia"/>
                <w:color w:val="333333"/>
                <w:sz w:val="21"/>
                <w:szCs w:val="21"/>
              </w:rPr>
              <w:t>包括质量控制</w:t>
            </w:r>
            <w:r>
              <w:rPr>
                <w:rFonts w:cs="Calibri" w:hint="eastAsia"/>
                <w:color w:val="333333"/>
                <w:sz w:val="21"/>
                <w:szCs w:val="21"/>
              </w:rPr>
              <w:t>)</w:t>
            </w:r>
          </w:p>
        </w:tc>
        <w:tc>
          <w:tcPr>
            <w:tcW w:w="4367" w:type="dxa"/>
            <w:tcBorders>
              <w:top w:val="nil"/>
              <w:left w:val="nil"/>
              <w:bottom w:val="single" w:sz="8" w:space="0" w:color="000000"/>
              <w:right w:val="single" w:sz="8" w:space="0" w:color="000000"/>
            </w:tcBorders>
            <w:tcMar>
              <w:top w:w="15" w:type="dxa"/>
              <w:left w:w="108" w:type="dxa"/>
              <w:bottom w:w="0" w:type="dxa"/>
              <w:right w:w="108" w:type="dxa"/>
            </w:tcMar>
            <w:vAlign w:val="center"/>
          </w:tcPr>
          <w:p w14:paraId="34ABA652"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内部审计</w:t>
            </w:r>
            <w:r>
              <w:rPr>
                <w:rFonts w:cs="Calibri" w:hint="eastAsia"/>
                <w:b/>
                <w:bCs/>
                <w:color w:val="FF0000"/>
                <w:sz w:val="21"/>
                <w:szCs w:val="21"/>
              </w:rPr>
              <w:t>没有</w:t>
            </w:r>
            <w:r>
              <w:rPr>
                <w:rFonts w:cs="Calibri" w:hint="eastAsia"/>
                <w:color w:val="333333"/>
                <w:sz w:val="21"/>
                <w:szCs w:val="21"/>
              </w:rPr>
              <w:t>采用系统、规范化的方法</w:t>
            </w:r>
            <w:r>
              <w:rPr>
                <w:rFonts w:cs="Calibri" w:hint="eastAsia"/>
                <w:color w:val="333333"/>
                <w:sz w:val="21"/>
                <w:szCs w:val="21"/>
              </w:rPr>
              <w:t>(</w:t>
            </w:r>
            <w:r>
              <w:rPr>
                <w:rFonts w:cs="Calibri" w:hint="eastAsia"/>
                <w:color w:val="333333"/>
                <w:sz w:val="21"/>
                <w:szCs w:val="21"/>
              </w:rPr>
              <w:t>包括质量控制</w:t>
            </w:r>
            <w:r>
              <w:rPr>
                <w:rFonts w:cs="Calibri" w:hint="eastAsia"/>
                <w:color w:val="333333"/>
                <w:sz w:val="21"/>
                <w:szCs w:val="21"/>
              </w:rPr>
              <w:t>)</w:t>
            </w:r>
          </w:p>
        </w:tc>
      </w:tr>
    </w:tbl>
    <w:p w14:paraId="1A287D8E"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3. </w:t>
      </w:r>
      <w:r>
        <w:rPr>
          <w:rFonts w:cs="Calibri" w:hint="eastAsia"/>
          <w:color w:val="3F3F3F"/>
          <w:sz w:val="21"/>
          <w:szCs w:val="21"/>
        </w:rPr>
        <w:t>确定能够利用内部审计工作的领域和程度</w:t>
      </w:r>
    </w:p>
    <w:tbl>
      <w:tblPr>
        <w:tblW w:w="0" w:type="auto"/>
        <w:jc w:val="center"/>
        <w:tblInd w:w="0" w:type="dxa"/>
        <w:tblLayout w:type="fixed"/>
        <w:tblCellMar>
          <w:left w:w="0" w:type="dxa"/>
          <w:right w:w="0" w:type="dxa"/>
        </w:tblCellMar>
        <w:tblLook w:val="0000" w:firstRow="0" w:lastRow="0" w:firstColumn="0" w:lastColumn="0" w:noHBand="0" w:noVBand="0"/>
      </w:tblPr>
      <w:tblGrid>
        <w:gridCol w:w="1539"/>
        <w:gridCol w:w="6966"/>
      </w:tblGrid>
      <w:tr w:rsidR="00000000" w14:paraId="65FDF80A" w14:textId="77777777">
        <w:trPr>
          <w:trHeight w:val="1525"/>
          <w:jc w:val="center"/>
        </w:trPr>
        <w:tc>
          <w:tcPr>
            <w:tcW w:w="1539" w:type="dxa"/>
            <w:tcBorders>
              <w:top w:val="single" w:sz="8" w:space="0" w:color="000000"/>
              <w:left w:val="single" w:sz="8" w:space="0" w:color="000000"/>
              <w:bottom w:val="single" w:sz="8" w:space="0" w:color="000000"/>
              <w:right w:val="single" w:sz="8" w:space="0" w:color="000000"/>
            </w:tcBorders>
            <w:tcMar>
              <w:top w:w="15" w:type="dxa"/>
              <w:left w:w="103" w:type="dxa"/>
              <w:bottom w:w="0" w:type="dxa"/>
              <w:right w:w="103" w:type="dxa"/>
            </w:tcMar>
            <w:vAlign w:val="center"/>
          </w:tcPr>
          <w:p w14:paraId="1E656CFB"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基本原则</w:t>
            </w:r>
          </w:p>
        </w:tc>
        <w:tc>
          <w:tcPr>
            <w:tcW w:w="6966" w:type="dxa"/>
            <w:tcBorders>
              <w:top w:val="single" w:sz="8" w:space="0" w:color="000000"/>
              <w:left w:val="nil"/>
              <w:bottom w:val="single" w:sz="8" w:space="0" w:color="000000"/>
              <w:right w:val="single" w:sz="8" w:space="0" w:color="000000"/>
            </w:tcBorders>
            <w:tcMar>
              <w:top w:w="15" w:type="dxa"/>
              <w:left w:w="103" w:type="dxa"/>
              <w:bottom w:w="0" w:type="dxa"/>
              <w:right w:w="103" w:type="dxa"/>
            </w:tcMar>
            <w:vAlign w:val="center"/>
          </w:tcPr>
          <w:p w14:paraId="34129C18"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）注册会计师应当作出审计业务中的所有重大判断，并防止不当利用内部审计工作</w:t>
            </w:r>
          </w:p>
          <w:p w14:paraId="48FB266D"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）注册会计师应</w:t>
            </w:r>
            <w:r>
              <w:rPr>
                <w:rFonts w:cs="Calibri" w:hint="eastAsia"/>
                <w:color w:val="333333"/>
                <w:sz w:val="21"/>
                <w:szCs w:val="21"/>
              </w:rPr>
              <w:t>当评价从总体上而言，在计划的范围内利用内部审计工作是否仍然能够使注册会计师充分地参与审计工作</w:t>
            </w:r>
          </w:p>
        </w:tc>
      </w:tr>
      <w:tr w:rsidR="00000000" w14:paraId="1E6BB492" w14:textId="77777777">
        <w:trPr>
          <w:trHeight w:val="962"/>
          <w:jc w:val="center"/>
        </w:trPr>
        <w:tc>
          <w:tcPr>
            <w:tcW w:w="1539" w:type="dxa"/>
            <w:tcBorders>
              <w:top w:val="nil"/>
              <w:left w:val="single" w:sz="8" w:space="0" w:color="000000"/>
              <w:bottom w:val="single" w:sz="8" w:space="0" w:color="000000"/>
              <w:right w:val="single" w:sz="8" w:space="0" w:color="000000"/>
            </w:tcBorders>
            <w:tcMar>
              <w:top w:w="15" w:type="dxa"/>
              <w:left w:w="103" w:type="dxa"/>
              <w:bottom w:w="0" w:type="dxa"/>
              <w:right w:w="103" w:type="dxa"/>
            </w:tcMar>
            <w:vAlign w:val="center"/>
          </w:tcPr>
          <w:p w14:paraId="5B218CAB"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考虑因素</w:t>
            </w:r>
          </w:p>
        </w:tc>
        <w:tc>
          <w:tcPr>
            <w:tcW w:w="6966" w:type="dxa"/>
            <w:tcBorders>
              <w:top w:val="nil"/>
              <w:left w:val="nil"/>
              <w:bottom w:val="single" w:sz="8" w:space="0" w:color="000000"/>
              <w:right w:val="single" w:sz="8" w:space="0" w:color="000000"/>
            </w:tcBorders>
            <w:tcMar>
              <w:top w:w="15" w:type="dxa"/>
              <w:left w:w="103" w:type="dxa"/>
              <w:bottom w:w="0" w:type="dxa"/>
              <w:right w:w="103" w:type="dxa"/>
            </w:tcMar>
            <w:vAlign w:val="center"/>
          </w:tcPr>
          <w:p w14:paraId="311E71AF"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）内部审计已执行和拟执行工作的性质和范围</w:t>
            </w:r>
          </w:p>
          <w:p w14:paraId="77FC202F"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）这些工作与注册会计师总体审计策略和具体审计计划的相关性</w:t>
            </w:r>
          </w:p>
        </w:tc>
      </w:tr>
      <w:tr w:rsidR="00000000" w14:paraId="25035FEF" w14:textId="77777777">
        <w:trPr>
          <w:trHeight w:val="2665"/>
          <w:jc w:val="center"/>
        </w:trPr>
        <w:tc>
          <w:tcPr>
            <w:tcW w:w="1539" w:type="dxa"/>
            <w:tcBorders>
              <w:top w:val="nil"/>
              <w:left w:val="single" w:sz="8" w:space="0" w:color="000000"/>
              <w:bottom w:val="single" w:sz="8" w:space="0" w:color="000000"/>
              <w:right w:val="single" w:sz="8" w:space="0" w:color="000000"/>
            </w:tcBorders>
            <w:tcMar>
              <w:top w:w="15" w:type="dxa"/>
              <w:left w:w="103" w:type="dxa"/>
              <w:bottom w:w="0" w:type="dxa"/>
              <w:right w:w="103" w:type="dxa"/>
            </w:tcMar>
            <w:vAlign w:val="center"/>
          </w:tcPr>
          <w:p w14:paraId="24FB0481" w14:textId="77777777" w:rsidR="00000000" w:rsidRDefault="008A3DEF">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较少地利用内部审计工作的情形</w:t>
            </w:r>
          </w:p>
        </w:tc>
        <w:tc>
          <w:tcPr>
            <w:tcW w:w="6966" w:type="dxa"/>
            <w:tcBorders>
              <w:top w:val="nil"/>
              <w:left w:val="nil"/>
              <w:bottom w:val="single" w:sz="8" w:space="0" w:color="000000"/>
              <w:right w:val="single" w:sz="8" w:space="0" w:color="000000"/>
            </w:tcBorders>
            <w:tcMar>
              <w:top w:w="15" w:type="dxa"/>
              <w:left w:w="103" w:type="dxa"/>
              <w:bottom w:w="0" w:type="dxa"/>
              <w:right w:w="103" w:type="dxa"/>
            </w:tcMar>
            <w:vAlign w:val="center"/>
          </w:tcPr>
          <w:p w14:paraId="4CE89CEF"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color w:val="333333"/>
                <w:sz w:val="21"/>
                <w:szCs w:val="21"/>
              </w:rPr>
              <w:t xml:space="preserve"> </w:t>
            </w:r>
            <w:r>
              <w:rPr>
                <w:rFonts w:cs="Calibri" w:hint="eastAsia"/>
                <w:color w:val="333333"/>
                <w:sz w:val="21"/>
                <w:szCs w:val="21"/>
              </w:rPr>
              <w:t>当在下列方面涉及较多判断时：</w:t>
            </w:r>
          </w:p>
          <w:p w14:paraId="12D94F06"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①</w:t>
            </w:r>
            <w:r>
              <w:rPr>
                <w:rFonts w:cs="Calibri" w:hint="eastAsia"/>
                <w:color w:val="333333"/>
                <w:sz w:val="21"/>
                <w:szCs w:val="21"/>
              </w:rPr>
              <w:t xml:space="preserve"> </w:t>
            </w:r>
            <w:r>
              <w:rPr>
                <w:rFonts w:cs="Calibri" w:hint="eastAsia"/>
                <w:color w:val="333333"/>
                <w:sz w:val="21"/>
                <w:szCs w:val="21"/>
              </w:rPr>
              <w:t>计划和实施相关的审计程序</w:t>
            </w:r>
          </w:p>
          <w:p w14:paraId="35B9569F"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②</w:t>
            </w:r>
            <w:r>
              <w:rPr>
                <w:rFonts w:cs="Calibri" w:hint="eastAsia"/>
                <w:color w:val="333333"/>
                <w:sz w:val="21"/>
                <w:szCs w:val="21"/>
              </w:rPr>
              <w:t xml:space="preserve"> </w:t>
            </w:r>
            <w:r>
              <w:rPr>
                <w:rFonts w:cs="Calibri" w:hint="eastAsia"/>
                <w:color w:val="333333"/>
                <w:sz w:val="21"/>
                <w:szCs w:val="21"/>
              </w:rPr>
              <w:t>评价收集的审计证据</w:t>
            </w:r>
          </w:p>
          <w:p w14:paraId="223CE981"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）当评估的认定层次重大错报风险较高，需要对识别出的特别风险予以特殊考虑时</w:t>
            </w:r>
          </w:p>
          <w:p w14:paraId="15D6C83E"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）当内部审计在被审计单位中的地位以及相关政策和程序对内部审计人员客观性的支持程度较弱时</w:t>
            </w:r>
          </w:p>
          <w:p w14:paraId="6BCCA5D9" w14:textId="77777777" w:rsidR="00000000" w:rsidRDefault="008A3DEF">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）当内部审计人员的胜任能力较低时</w:t>
            </w:r>
          </w:p>
        </w:tc>
      </w:tr>
    </w:tbl>
    <w:p w14:paraId="0D840F19"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E43D932"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r>
        <w:rPr>
          <w:rFonts w:cs="Calibri" w:hint="eastAsia"/>
          <w:b/>
          <w:bCs/>
          <w:color w:val="3F3F3F"/>
          <w:sz w:val="21"/>
          <w:szCs w:val="21"/>
        </w:rPr>
        <w:t xml:space="preserve"> </w:t>
      </w:r>
    </w:p>
    <w:p w14:paraId="2BF025F6"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下列各项中，属于注册会计师应当与治理层沟通的有</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36ED1D31"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识别的特别风险</w:t>
      </w:r>
    </w:p>
    <w:p w14:paraId="4185BDF0"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重要性的概念</w:t>
      </w:r>
    </w:p>
    <w:p w14:paraId="42D4718F"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计划如何利用内部审计工作</w:t>
      </w:r>
    </w:p>
    <w:p w14:paraId="6B155ED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具体审计程序的性质和时间安排</w:t>
      </w:r>
    </w:p>
    <w:p w14:paraId="2DE3C9BA"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ABC</w:t>
      </w:r>
    </w:p>
    <w:p w14:paraId="16BEAED4" w14:textId="77777777" w:rsidR="00000000" w:rsidRDefault="008A3DEF">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需要注意的是，选项</w:t>
      </w:r>
      <w:r>
        <w:rPr>
          <w:rFonts w:cs="Calibri" w:hint="eastAsia"/>
          <w:color w:val="3F3F3F"/>
          <w:sz w:val="21"/>
          <w:szCs w:val="21"/>
        </w:rPr>
        <w:t>C</w:t>
      </w:r>
      <w:r>
        <w:rPr>
          <w:rFonts w:cs="Calibri" w:hint="eastAsia"/>
          <w:color w:val="3F3F3F"/>
          <w:sz w:val="21"/>
          <w:szCs w:val="21"/>
        </w:rPr>
        <w:t>，注册会计师与治理层沟通计划的审计范围和时间安排的总体情况时，应当包括其计划如何利用内部审计工作。选项</w:t>
      </w:r>
      <w:r>
        <w:rPr>
          <w:rFonts w:cs="Calibri" w:hint="eastAsia"/>
          <w:color w:val="3F3F3F"/>
          <w:sz w:val="21"/>
          <w:szCs w:val="21"/>
        </w:rPr>
        <w:t>D</w:t>
      </w:r>
      <w:r>
        <w:rPr>
          <w:rFonts w:cs="Calibri" w:hint="eastAsia"/>
          <w:color w:val="3F3F3F"/>
          <w:sz w:val="21"/>
          <w:szCs w:val="21"/>
        </w:rPr>
        <w:t>，沟通具体审计程序的性质和时间安排会损害审计程序的有效性，注册会计师不应与治理层沟通此内容。</w:t>
      </w:r>
    </w:p>
    <w:p w14:paraId="2C45AEB8"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084C8910"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w:t>
      </w:r>
      <w:r>
        <w:rPr>
          <w:rFonts w:cs="Calibri" w:hint="eastAsia"/>
          <w:color w:val="3F3F3F"/>
          <w:sz w:val="21"/>
          <w:szCs w:val="21"/>
        </w:rPr>
        <w:t>项中，注册会计师评价内部审计的工作是否足以实现审计目的时，通常不需要考虑的是</w:t>
      </w:r>
      <w:r>
        <w:rPr>
          <w:rFonts w:cs="Calibri" w:hint="eastAsia"/>
          <w:color w:val="3F3F3F"/>
          <w:sz w:val="21"/>
          <w:szCs w:val="21"/>
        </w:rPr>
        <w:t>(</w:t>
      </w:r>
      <w:r>
        <w:rPr>
          <w:rFonts w:cs="Calibri" w:hint="eastAsia"/>
          <w:color w:val="3F3F3F"/>
          <w:sz w:val="21"/>
          <w:szCs w:val="21"/>
        </w:rPr>
        <w:t xml:space="preserve">　　</w:t>
      </w:r>
      <w:r>
        <w:rPr>
          <w:rFonts w:cs="Calibri" w:hint="eastAsia"/>
          <w:color w:val="3F3F3F"/>
          <w:sz w:val="21"/>
          <w:szCs w:val="21"/>
        </w:rPr>
        <w:t>)</w:t>
      </w:r>
      <w:r>
        <w:rPr>
          <w:rFonts w:cs="Calibri" w:hint="eastAsia"/>
          <w:color w:val="3F3F3F"/>
          <w:sz w:val="21"/>
          <w:szCs w:val="21"/>
        </w:rPr>
        <w:t>。</w:t>
      </w:r>
    </w:p>
    <w:p w14:paraId="7B32D179"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内部审计人员的客观性</w:t>
      </w:r>
    </w:p>
    <w:p w14:paraId="679B04AB"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内部审计人员的胜任能力</w:t>
      </w:r>
    </w:p>
    <w:p w14:paraId="410EFBBF"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内部审计是否采用系统、规范化的方法</w:t>
      </w:r>
    </w:p>
    <w:p w14:paraId="76DCB03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内部审计已执行工作与注册会计师具体审计计划的相关性</w:t>
      </w:r>
    </w:p>
    <w:p w14:paraId="0B621CE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D</w:t>
      </w:r>
    </w:p>
    <w:p w14:paraId="4DFBB6CA"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属于注册会计师确定能够利用内部审计工作的领域和程度的考虑因素。</w:t>
      </w:r>
    </w:p>
    <w:p w14:paraId="4CA03A4D" w14:textId="77777777" w:rsidR="00000000" w:rsidRDefault="008A3DEF">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"http://webupload.admin.dongao.com/biz/handout/img/2019/20190610/20190610</w:instrText>
      </w:r>
      <w:r>
        <w:rPr>
          <w:rFonts w:ascii="Calibri" w:eastAsia="微软雅黑" w:hAnsi="Calibri" w:cs="Calibri"/>
          <w:color w:val="3F3F3F"/>
          <w:sz w:val="21"/>
          <w:szCs w:val="21"/>
        </w:rPr>
        <w:instrText xml:space="preserve">162026625003.jpg"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4" o:spid="_x0000_i1029" type="#_x0000_t75" style="width:415.5pt;height:152.25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39E96A6C"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三、利用内部审计工作（四个“应当”</w:t>
      </w:r>
      <w:r>
        <w:rPr>
          <w:rFonts w:cs="Calibri" w:hint="eastAsia"/>
          <w:b/>
          <w:bCs/>
          <w:color w:val="3F3F3F"/>
          <w:sz w:val="21"/>
          <w:szCs w:val="21"/>
        </w:rPr>
        <w:t>)</w:t>
      </w:r>
    </w:p>
    <w:p w14:paraId="4AA491E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1. </w:t>
      </w:r>
      <w:r>
        <w:rPr>
          <w:rFonts w:cs="Calibri" w:hint="eastAsia"/>
          <w:color w:val="3F3F3F"/>
          <w:sz w:val="21"/>
          <w:szCs w:val="21"/>
        </w:rPr>
        <w:t>讨论利用其工作的计划</w:t>
      </w:r>
    </w:p>
    <w:p w14:paraId="267DBDCF"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注册会计师应当与内部审计人员讨论利用其工作的计划，以作为协调各自工作的基础。</w:t>
      </w:r>
    </w:p>
    <w:p w14:paraId="40E769D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2. </w:t>
      </w:r>
      <w:r>
        <w:rPr>
          <w:rFonts w:cs="Calibri" w:hint="eastAsia"/>
          <w:color w:val="3F3F3F"/>
          <w:sz w:val="21"/>
          <w:szCs w:val="21"/>
        </w:rPr>
        <w:t>阅读相关的内部审计报告</w:t>
      </w:r>
    </w:p>
    <w:p w14:paraId="08D44D6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注册会计师应当阅读与拟利用的内部审计工作相关的内部审计报告，以了解其实施的审计程序的性质和范围以及相关发现。</w:t>
      </w:r>
    </w:p>
    <w:p w14:paraId="53AB0CCA"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3. </w:t>
      </w:r>
      <w:r>
        <w:rPr>
          <w:rFonts w:cs="Calibri" w:hint="eastAsia"/>
          <w:color w:val="3F3F3F"/>
          <w:sz w:val="21"/>
          <w:szCs w:val="21"/>
        </w:rPr>
        <w:t>实施充分的审计程序</w:t>
      </w:r>
    </w:p>
    <w:p w14:paraId="64167214"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注册会计师应当针对计划利用的内部审计工作整体实施充分的审计程序，以确定其对于实现审计目的是否适当，包括评价下列事项：</w:t>
      </w:r>
    </w:p>
    <w:p w14:paraId="4C235B28"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）内部审计工作是否经过恰当的</w:t>
      </w:r>
      <w:r>
        <w:rPr>
          <w:rFonts w:cs="Calibri" w:hint="eastAsia"/>
          <w:b/>
          <w:bCs/>
          <w:color w:val="FF0000"/>
          <w:sz w:val="21"/>
          <w:szCs w:val="21"/>
        </w:rPr>
        <w:t>计划、实施、监督、复核和记录</w:t>
      </w:r>
      <w:r>
        <w:rPr>
          <w:rFonts w:cs="Calibri" w:hint="eastAsia"/>
          <w:color w:val="3F3F3F"/>
          <w:sz w:val="21"/>
          <w:szCs w:val="21"/>
        </w:rPr>
        <w:t>；</w:t>
      </w:r>
    </w:p>
    <w:p w14:paraId="036CEAF9"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）内部审计是否获取了充分、适当的</w:t>
      </w:r>
      <w:r>
        <w:rPr>
          <w:rFonts w:cs="Calibri" w:hint="eastAsia"/>
          <w:b/>
          <w:bCs/>
          <w:color w:val="FF0000"/>
          <w:sz w:val="21"/>
          <w:szCs w:val="21"/>
        </w:rPr>
        <w:t>证据</w:t>
      </w:r>
      <w:r>
        <w:rPr>
          <w:rFonts w:cs="Calibri" w:hint="eastAsia"/>
          <w:color w:val="3F3F3F"/>
          <w:sz w:val="21"/>
          <w:szCs w:val="21"/>
        </w:rPr>
        <w:t>，以使其能够得出合理的</w:t>
      </w:r>
      <w:r>
        <w:rPr>
          <w:rFonts w:cs="Calibri" w:hint="eastAsia"/>
          <w:b/>
          <w:bCs/>
          <w:color w:val="FF0000"/>
          <w:sz w:val="21"/>
          <w:szCs w:val="21"/>
        </w:rPr>
        <w:t>结论</w:t>
      </w:r>
      <w:r>
        <w:rPr>
          <w:rFonts w:cs="Calibri" w:hint="eastAsia"/>
          <w:color w:val="3F3F3F"/>
          <w:sz w:val="21"/>
          <w:szCs w:val="21"/>
        </w:rPr>
        <w:t>；</w:t>
      </w:r>
    </w:p>
    <w:p w14:paraId="047EF2FB"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）内部审计得出的结论在具体环境下</w:t>
      </w:r>
      <w:r>
        <w:rPr>
          <w:rFonts w:cs="Calibri" w:hint="eastAsia"/>
          <w:b/>
          <w:bCs/>
          <w:color w:val="FF0000"/>
          <w:sz w:val="21"/>
          <w:szCs w:val="21"/>
        </w:rPr>
        <w:t>是否适当</w:t>
      </w:r>
      <w:r>
        <w:rPr>
          <w:rFonts w:cs="Calibri" w:hint="eastAsia"/>
          <w:color w:val="3F3F3F"/>
          <w:sz w:val="21"/>
          <w:szCs w:val="21"/>
        </w:rPr>
        <w:t>，编制的报告与执行工作的结果</w:t>
      </w:r>
      <w:r>
        <w:rPr>
          <w:rFonts w:cs="Calibri" w:hint="eastAsia"/>
          <w:b/>
          <w:bCs/>
          <w:color w:val="FF0000"/>
          <w:sz w:val="21"/>
          <w:szCs w:val="21"/>
        </w:rPr>
        <w:t>是否一致</w:t>
      </w:r>
      <w:r>
        <w:rPr>
          <w:rFonts w:cs="Calibri" w:hint="eastAsia"/>
          <w:color w:val="3F3F3F"/>
          <w:sz w:val="21"/>
          <w:szCs w:val="21"/>
        </w:rPr>
        <w:t>。</w:t>
      </w:r>
    </w:p>
    <w:p w14:paraId="153C343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4. </w:t>
      </w:r>
      <w:r>
        <w:rPr>
          <w:rFonts w:cs="Calibri" w:hint="eastAsia"/>
          <w:color w:val="3F3F3F"/>
          <w:sz w:val="21"/>
          <w:szCs w:val="21"/>
        </w:rPr>
        <w:t>确定实施审计程序的性质和范围</w:t>
      </w:r>
      <w:r>
        <w:rPr>
          <w:rFonts w:cs="Calibri" w:hint="eastAsia"/>
          <w:b/>
          <w:bCs/>
          <w:color w:val="FF0000"/>
          <w:sz w:val="21"/>
          <w:szCs w:val="21"/>
        </w:rPr>
        <w:t>【多选题考点】</w:t>
      </w:r>
    </w:p>
    <w:p w14:paraId="41AC0230"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注册会计师实施审计程序的性质和范围应当与其对以下事项的评价相适应，并</w:t>
      </w:r>
      <w:r>
        <w:rPr>
          <w:rFonts w:cs="Calibri" w:hint="eastAsia"/>
          <w:b/>
          <w:bCs/>
          <w:color w:val="FF0000"/>
          <w:sz w:val="21"/>
          <w:szCs w:val="21"/>
        </w:rPr>
        <w:t>应当包括重新执行内部审计的部分工作</w:t>
      </w:r>
      <w:r>
        <w:rPr>
          <w:rFonts w:cs="Calibri" w:hint="eastAsia"/>
          <w:color w:val="3F3F3F"/>
          <w:sz w:val="21"/>
          <w:szCs w:val="21"/>
        </w:rPr>
        <w:t>：</w:t>
      </w:r>
    </w:p>
    <w:p w14:paraId="7EDCCDF7"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）涉及判断的数量或金额；</w:t>
      </w:r>
    </w:p>
    <w:p w14:paraId="77D67776"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）评估的重大错报风险；</w:t>
      </w:r>
    </w:p>
    <w:p w14:paraId="79B1D815"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）内部审计在被审计单位中的地位以及相关政策和程序支持内部审计人员客观性的程度；</w:t>
      </w:r>
    </w:p>
    <w:p w14:paraId="36BBA553" w14:textId="77777777" w:rsidR="00000000" w:rsidRDefault="008A3DEF">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）内部审计人员的胜任能力。</w:t>
      </w:r>
    </w:p>
    <w:p w14:paraId="57C23931"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118F70C" w14:textId="77777777" w:rsidR="00000000" w:rsidRDefault="008A3DEF">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r>
        <w:rPr>
          <w:rFonts w:cs="Calibri" w:hint="eastAsia"/>
          <w:b/>
          <w:bCs/>
          <w:color w:val="3F3F3F"/>
          <w:sz w:val="21"/>
          <w:szCs w:val="21"/>
        </w:rPr>
        <w:t xml:space="preserve"> </w:t>
      </w:r>
    </w:p>
    <w:p w14:paraId="45CA76E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下列各项中，影响注册会计师针对计划利用的内部审计工作实施审计程序的性质和范围的有</w:t>
      </w:r>
      <w:r>
        <w:rPr>
          <w:rFonts w:cs="Calibri" w:hint="eastAsia"/>
          <w:color w:val="3F3F3F"/>
          <w:sz w:val="21"/>
          <w:szCs w:val="21"/>
        </w:rPr>
        <w:t>(     )</w:t>
      </w:r>
      <w:r>
        <w:rPr>
          <w:rFonts w:cs="Calibri" w:hint="eastAsia"/>
          <w:color w:val="3F3F3F"/>
          <w:sz w:val="21"/>
          <w:szCs w:val="21"/>
        </w:rPr>
        <w:t>。</w:t>
      </w:r>
    </w:p>
    <w:p w14:paraId="03414DB3"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A. </w:t>
      </w:r>
      <w:r>
        <w:rPr>
          <w:rFonts w:cs="Calibri" w:hint="eastAsia"/>
          <w:color w:val="3F3F3F"/>
          <w:sz w:val="21"/>
          <w:szCs w:val="21"/>
        </w:rPr>
        <w:t>涉及判断的数量或金额</w:t>
      </w:r>
    </w:p>
    <w:p w14:paraId="7B4E7935"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B. </w:t>
      </w:r>
      <w:r>
        <w:rPr>
          <w:rFonts w:cs="Calibri" w:hint="eastAsia"/>
          <w:color w:val="3F3F3F"/>
          <w:sz w:val="21"/>
          <w:szCs w:val="21"/>
        </w:rPr>
        <w:t>评估的重大错报风险</w:t>
      </w:r>
    </w:p>
    <w:p w14:paraId="0C8CD46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C. </w:t>
      </w:r>
      <w:r>
        <w:rPr>
          <w:rFonts w:cs="Calibri" w:hint="eastAsia"/>
          <w:color w:val="3F3F3F"/>
          <w:sz w:val="21"/>
          <w:szCs w:val="21"/>
        </w:rPr>
        <w:t>内部审计在被审计单位中的地位</w:t>
      </w:r>
    </w:p>
    <w:p w14:paraId="11BD3E6D"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D. </w:t>
      </w:r>
      <w:r>
        <w:rPr>
          <w:rFonts w:cs="Calibri" w:hint="eastAsia"/>
          <w:color w:val="3F3F3F"/>
          <w:sz w:val="21"/>
          <w:szCs w:val="21"/>
        </w:rPr>
        <w:t>内部审计人员在确定重要性水平方面的胜任能力</w:t>
      </w:r>
    </w:p>
    <w:p w14:paraId="24108842"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 ABC</w:t>
      </w:r>
    </w:p>
    <w:p w14:paraId="29480958" w14:textId="77777777" w:rsidR="00000000" w:rsidRDefault="008A3DEF">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 xml:space="preserve">] </w:t>
      </w:r>
      <w:r>
        <w:rPr>
          <w:rFonts w:cs="Calibri" w:hint="eastAsia"/>
          <w:color w:val="3F3F3F"/>
          <w:sz w:val="21"/>
          <w:szCs w:val="21"/>
        </w:rPr>
        <w:t>选项</w:t>
      </w:r>
      <w:r>
        <w:rPr>
          <w:rFonts w:cs="Calibri" w:hint="eastAsia"/>
          <w:color w:val="3F3F3F"/>
          <w:sz w:val="21"/>
          <w:szCs w:val="21"/>
        </w:rPr>
        <w:t xml:space="preserve">D, </w:t>
      </w:r>
      <w:r>
        <w:rPr>
          <w:rFonts w:cs="Calibri" w:hint="eastAsia"/>
          <w:color w:val="3F3F3F"/>
          <w:sz w:val="21"/>
          <w:szCs w:val="21"/>
        </w:rPr>
        <w:t>注册会计师应当对与财务报表审计有关的所有重大事项独立作出职业判断，不应完全依赖内部审计工作，如评估重大错报风险、确定重要性水平、确定样本规模、评估会计政策和会计</w:t>
      </w:r>
      <w:r>
        <w:rPr>
          <w:rFonts w:cs="Calibri" w:hint="eastAsia"/>
          <w:color w:val="3F3F3F"/>
          <w:sz w:val="21"/>
          <w:szCs w:val="21"/>
        </w:rPr>
        <w:t>估计等。</w:t>
      </w:r>
    </w:p>
    <w:p w14:paraId="4B9B45BE" w14:textId="77777777" w:rsidR="00000000" w:rsidRDefault="008A3DEF">
      <w:pPr>
        <w:shd w:val="clear" w:color="auto" w:fill="FFFFFF"/>
        <w:rPr>
          <w:rFonts w:ascii="微软雅黑" w:eastAsia="微软雅黑" w:hAnsi="微软雅黑" w:cs="宋体"/>
          <w:color w:val="3F3F3F"/>
          <w:szCs w:val="21"/>
        </w:rPr>
      </w:pPr>
    </w:p>
    <w:p w14:paraId="1ECF5C86" w14:textId="77777777" w:rsidR="00000000" w:rsidRDefault="008A3DEF">
      <w:pPr>
        <w:rPr>
          <w:rFonts w:hint="eastAsia"/>
        </w:rPr>
      </w:pPr>
    </w:p>
    <w:sectPr w:rsidR="00000000">
      <w:headerReference w:type="default" r:id="rId13"/>
      <w:footerReference w:type="default" r:id="rId1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6C9B2" w14:textId="77777777" w:rsidR="00000000" w:rsidRDefault="008A3DEF">
      <w:r>
        <w:separator/>
      </w:r>
    </w:p>
  </w:endnote>
  <w:endnote w:type="continuationSeparator" w:id="0">
    <w:p w14:paraId="7202F218" w14:textId="77777777" w:rsidR="00000000" w:rsidRDefault="008A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F815F95" w14:textId="77777777">
      <w:trPr>
        <w:trHeight w:val="274"/>
      </w:trPr>
      <w:tc>
        <w:tcPr>
          <w:tcW w:w="2050" w:type="dxa"/>
          <w:vAlign w:val="center"/>
        </w:tcPr>
        <w:p w14:paraId="74118AD2" w14:textId="77777777" w:rsidR="00000000" w:rsidRDefault="008A3DEF">
          <w:pPr>
            <w:jc w:val="left"/>
            <w:rPr>
              <w:rFonts w:ascii="楷体" w:eastAsia="楷体" w:hAnsi="楷体"/>
              <w:b/>
              <w:sz w:val="28"/>
              <w:szCs w:val="28"/>
            </w:rPr>
          </w:pPr>
          <w:r>
            <w:rPr>
              <w:lang w:val="en-US" w:eastAsia="zh-CN"/>
            </w:rPr>
            <w:pict w14:anchorId="10409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60078E20" w14:textId="77777777" w:rsidR="00000000" w:rsidRDefault="008A3DEF">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CE45AF0" w14:textId="77777777" w:rsidR="00000000" w:rsidRDefault="008A3DEF">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13CD263" w14:textId="77777777" w:rsidR="00000000" w:rsidRDefault="008A3DEF">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2951C" w14:textId="77777777" w:rsidR="00000000" w:rsidRDefault="008A3DEF">
      <w:r>
        <w:separator/>
      </w:r>
    </w:p>
  </w:footnote>
  <w:footnote w:type="continuationSeparator" w:id="0">
    <w:p w14:paraId="51604EF6" w14:textId="77777777" w:rsidR="00000000" w:rsidRDefault="008A3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265908FC" w14:textId="77777777">
      <w:trPr>
        <w:trHeight w:val="501"/>
      </w:trPr>
      <w:tc>
        <w:tcPr>
          <w:tcW w:w="4272" w:type="dxa"/>
          <w:vAlign w:val="center"/>
        </w:tcPr>
        <w:p w14:paraId="236004E6" w14:textId="77777777" w:rsidR="00000000" w:rsidRDefault="008A3DEF">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5A8C34C" w14:textId="77777777" w:rsidR="00000000" w:rsidRDefault="008A3DEF">
          <w:pPr>
            <w:wordWrap w:val="0"/>
            <w:jc w:val="right"/>
            <w:rPr>
              <w:rFonts w:ascii="微软雅黑" w:eastAsia="微软雅黑" w:hAnsi="微软雅黑"/>
              <w:sz w:val="24"/>
              <w:szCs w:val="24"/>
            </w:rPr>
          </w:pPr>
          <w:r>
            <w:rPr>
              <w:rFonts w:ascii="微软雅黑" w:eastAsia="微软雅黑" w:hAnsi="微软雅黑" w:hint="eastAsia"/>
              <w:sz w:val="24"/>
              <w:szCs w:val="24"/>
            </w:rPr>
            <w:t>第十五章</w:t>
          </w:r>
          <w:r>
            <w:rPr>
              <w:rFonts w:ascii="微软雅黑" w:eastAsia="微软雅黑" w:hAnsi="微软雅黑"/>
              <w:sz w:val="24"/>
              <w:szCs w:val="24"/>
            </w:rPr>
            <w:t>+</w:t>
          </w:r>
          <w:r>
            <w:rPr>
              <w:rFonts w:ascii="微软雅黑" w:eastAsia="微软雅黑" w:hAnsi="微软雅黑"/>
              <w:sz w:val="24"/>
              <w:szCs w:val="24"/>
            </w:rPr>
            <w:t>注册会计师利用他人的工作</w:t>
          </w:r>
        </w:p>
      </w:tc>
    </w:tr>
  </w:tbl>
  <w:p w14:paraId="40BA853C" w14:textId="77777777" w:rsidR="00000000" w:rsidRDefault="008A3DEF">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242B8"/>
    <w:rsid w:val="00354CB5"/>
    <w:rsid w:val="00361200"/>
    <w:rsid w:val="00396A53"/>
    <w:rsid w:val="00397E03"/>
    <w:rsid w:val="00484FE7"/>
    <w:rsid w:val="00494359"/>
    <w:rsid w:val="004C424A"/>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A3DEF"/>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5FC8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1DDB523E"/>
  <w15:chartTrackingRefBased/>
  <w15:docId w15:val="{F8578651-4DDD-4E5A-91DD-558FAEDD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webupload.admin.dongao.com/biz/handout/img/2019/20190610/20190610162026353001.jpg" TargetMode="External"/><Relationship Id="rId12" Type="http://schemas.openxmlformats.org/officeDocument/2006/relationships/image" Target="http://webupload.admin.dongao.com/biz/handout/img/2019/20190610/20190610162026625003.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610/20190610162026587002.jp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