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C4FEB" w14:textId="77777777" w:rsidR="000A4464" w:rsidRDefault="000A4464" w:rsidP="000A446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第十六章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对集团财务报表审计的特殊考虑</w:t>
      </w:r>
    </w:p>
    <w:p w14:paraId="40E2AB2F" w14:textId="77777777" w:rsidR="000A4464" w:rsidRDefault="000A4464" w:rsidP="000A4464">
      <w:pPr>
        <w:pStyle w:val="aa"/>
        <w:shd w:val="clear" w:color="auto" w:fill="FFFFFF"/>
        <w:spacing w:before="312" w:beforeAutospacing="0" w:after="312" w:afterAutospacing="0"/>
        <w:jc w:val="center"/>
        <w:rPr>
          <w:color w:val="3F3F3F"/>
        </w:rPr>
      </w:pPr>
      <w:r>
        <w:rPr>
          <w:rFonts w:hint="eastAsia"/>
          <w:b/>
          <w:bCs/>
          <w:color w:val="3F3F3F"/>
          <w:sz w:val="28"/>
          <w:szCs w:val="28"/>
        </w:rPr>
        <w:t>考点和典题</w:t>
      </w:r>
    </w:p>
    <w:p w14:paraId="52CE087C" w14:textId="77777777" w:rsidR="000A4464" w:rsidRDefault="000A4464" w:rsidP="000A4464">
      <w:pPr>
        <w:pStyle w:val="aa"/>
        <w:shd w:val="clear" w:color="auto" w:fill="FFFFFF"/>
        <w:spacing w:before="0" w:beforeAutospacing="0" w:after="0" w:afterAutospacing="0"/>
        <w:jc w:val="center"/>
        <w:rPr>
          <w:rFonts w:ascii="Calibri" w:eastAsia="微软雅黑" w:hAnsi="Calibri" w:cs="Calibri" w:hint="eastAsia"/>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"http://webupload.admin.dongao.com/biz/handout/img/2019/20190618/20190618100223131001.png"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8.25pt">
            <v:imagedata r:id="rId7" r:href="rId8"/>
          </v:shape>
        </w:pict>
      </w:r>
      <w:r>
        <w:rPr>
          <w:rFonts w:ascii="Calibri" w:eastAsia="微软雅黑" w:hAnsi="Calibri" w:cs="Calibri"/>
          <w:color w:val="3F3F3F"/>
          <w:sz w:val="21"/>
          <w:szCs w:val="21"/>
        </w:rPr>
        <w:fldChar w:fldCharType="end"/>
      </w:r>
    </w:p>
    <w:p w14:paraId="452851CA" w14:textId="77777777" w:rsidR="000A4464" w:rsidRDefault="000A4464" w:rsidP="000A4464">
      <w:pPr>
        <w:pStyle w:val="aa"/>
        <w:shd w:val="clear" w:color="auto" w:fill="FFFFFF"/>
        <w:spacing w:before="312" w:beforeAutospacing="0" w:after="312" w:afterAutospacing="0"/>
        <w:jc w:val="center"/>
        <w:rPr>
          <w:color w:val="3F3F3F"/>
        </w:rPr>
      </w:pPr>
      <w:r>
        <w:rPr>
          <w:rFonts w:hint="eastAsia"/>
          <w:b/>
          <w:bCs/>
          <w:color w:val="3F3F3F"/>
          <w:sz w:val="28"/>
          <w:szCs w:val="28"/>
        </w:rPr>
        <w:t>第三部分　集团财务报表审计的风险评估与应对</w:t>
      </w:r>
    </w:p>
    <w:p w14:paraId="36D69CEF"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hint="eastAsia"/>
          <w:color w:val="3F3F3F"/>
          <w:sz w:val="21"/>
          <w:szCs w:val="21"/>
        </w:rPr>
      </w:pPr>
      <w:r>
        <w:rPr>
          <w:rFonts w:cs="Calibri" w:hint="eastAsia"/>
          <w:color w:val="3F3F3F"/>
          <w:sz w:val="21"/>
          <w:szCs w:val="21"/>
        </w:rPr>
        <w:t>一、了解集团及其环境、集团组成部分及其环境</w:t>
      </w:r>
    </w:p>
    <w:p w14:paraId="624F3B8A"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二、了解组成部分注册会计师</w:t>
      </w:r>
      <w:r>
        <w:rPr>
          <w:rFonts w:cs="Calibri" w:hint="eastAsia"/>
          <w:b/>
          <w:bCs/>
          <w:color w:val="FF0000"/>
          <w:sz w:val="21"/>
          <w:szCs w:val="21"/>
        </w:rPr>
        <w:t>（※※※）</w:t>
      </w:r>
    </w:p>
    <w:p w14:paraId="14ABF840"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三、针对评估的风险采取的应对措施</w:t>
      </w:r>
      <w:r>
        <w:rPr>
          <w:rFonts w:cs="Calibri" w:hint="eastAsia"/>
          <w:b/>
          <w:bCs/>
          <w:color w:val="FF0000"/>
          <w:sz w:val="21"/>
          <w:szCs w:val="21"/>
        </w:rPr>
        <w:t>（※※※）</w:t>
      </w:r>
    </w:p>
    <w:p w14:paraId="245F5DEF" w14:textId="77777777" w:rsidR="000A4464" w:rsidRDefault="000A4464" w:rsidP="000A44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一、了解集团及其环境、集团组成部分及其环境</w:t>
      </w:r>
    </w:p>
    <w:p w14:paraId="79A35384"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1.集团审计的审计风险</w:t>
      </w:r>
    </w:p>
    <w:p w14:paraId="09C7E9EA"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（1）审计风险取决于</w:t>
      </w:r>
      <w:r>
        <w:rPr>
          <w:rFonts w:cs="Calibri" w:hint="eastAsia"/>
          <w:b/>
          <w:bCs/>
          <w:color w:val="FF0000"/>
          <w:sz w:val="21"/>
          <w:szCs w:val="21"/>
        </w:rPr>
        <w:t>重大错报风险</w:t>
      </w:r>
      <w:r>
        <w:rPr>
          <w:rFonts w:cs="Calibri" w:hint="eastAsia"/>
          <w:color w:val="3F3F3F"/>
          <w:sz w:val="21"/>
          <w:szCs w:val="21"/>
        </w:rPr>
        <w:t>和</w:t>
      </w:r>
      <w:r>
        <w:rPr>
          <w:rFonts w:cs="Calibri" w:hint="eastAsia"/>
          <w:b/>
          <w:bCs/>
          <w:color w:val="FF0000"/>
          <w:sz w:val="21"/>
          <w:szCs w:val="21"/>
        </w:rPr>
        <w:t>检查风险</w:t>
      </w:r>
      <w:r>
        <w:rPr>
          <w:rFonts w:cs="Calibri" w:hint="eastAsia"/>
          <w:color w:val="3F3F3F"/>
          <w:sz w:val="21"/>
          <w:szCs w:val="21"/>
        </w:rPr>
        <w:t>。</w:t>
      </w:r>
    </w:p>
    <w:p w14:paraId="55656C54"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（2）在集团审计中，审计风险</w:t>
      </w:r>
      <w:r>
        <w:rPr>
          <w:rFonts w:cs="Calibri" w:hint="eastAsia"/>
          <w:b/>
          <w:bCs/>
          <w:color w:val="FF0000"/>
          <w:sz w:val="21"/>
          <w:szCs w:val="21"/>
        </w:rPr>
        <w:t>包括</w:t>
      </w:r>
      <w:r>
        <w:rPr>
          <w:rFonts w:cs="Calibri" w:hint="eastAsia"/>
          <w:color w:val="3F3F3F"/>
          <w:sz w:val="21"/>
          <w:szCs w:val="21"/>
        </w:rPr>
        <w:t>：</w:t>
      </w:r>
    </w:p>
    <w:p w14:paraId="2EF9C6CE"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a）组成部分注册会计师可能没有发现组成部分财务信息存在的错报（该错报导致集团财务报表发生重大错报）的风险；</w:t>
      </w:r>
    </w:p>
    <w:p w14:paraId="3F4CA314"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b）集团项目组可能没有发现该错报的风险。</w:t>
      </w:r>
    </w:p>
    <w:p w14:paraId="7A1912B9"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2.对注册会计师的要求</w:t>
      </w:r>
    </w:p>
    <w:p w14:paraId="2EF048F5"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通过了解被审计单位及其环境，识别和评估财务报表重大错报风险，集团项目组应当了解的事项包括：</w:t>
      </w:r>
    </w:p>
    <w:p w14:paraId="532B9B52"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（1）在业务承接或保持阶段获取信息的</w:t>
      </w:r>
      <w:r>
        <w:rPr>
          <w:rFonts w:cs="Calibri" w:hint="eastAsia"/>
          <w:b/>
          <w:bCs/>
          <w:color w:val="FF0000"/>
          <w:sz w:val="21"/>
          <w:szCs w:val="21"/>
        </w:rPr>
        <w:t>基础</w:t>
      </w:r>
      <w:r>
        <w:rPr>
          <w:rFonts w:cs="Calibri" w:hint="eastAsia"/>
          <w:color w:val="3F3F3F"/>
          <w:sz w:val="21"/>
          <w:szCs w:val="21"/>
        </w:rPr>
        <w:t>上，</w:t>
      </w:r>
      <w:r>
        <w:rPr>
          <w:rFonts w:cs="Calibri" w:hint="eastAsia"/>
          <w:b/>
          <w:bCs/>
          <w:color w:val="FF0000"/>
          <w:sz w:val="21"/>
          <w:szCs w:val="21"/>
        </w:rPr>
        <w:t>进一步了解</w:t>
      </w:r>
      <w:r>
        <w:rPr>
          <w:rFonts w:cs="Calibri" w:hint="eastAsia"/>
          <w:color w:val="3F3F3F"/>
          <w:sz w:val="21"/>
          <w:szCs w:val="21"/>
        </w:rPr>
        <w:t>集团及其环境、集团组成部分及其环境，包括集团层面</w:t>
      </w:r>
      <w:r>
        <w:rPr>
          <w:rFonts w:cs="Calibri" w:hint="eastAsia"/>
          <w:b/>
          <w:bCs/>
          <w:color w:val="FF0000"/>
          <w:sz w:val="21"/>
          <w:szCs w:val="21"/>
        </w:rPr>
        <w:t>控制</w:t>
      </w:r>
      <w:r>
        <w:rPr>
          <w:rFonts w:cs="Calibri" w:hint="eastAsia"/>
          <w:color w:val="3F3F3F"/>
          <w:sz w:val="21"/>
          <w:szCs w:val="21"/>
        </w:rPr>
        <w:t>；</w:t>
      </w:r>
    </w:p>
    <w:p w14:paraId="4AF27B18"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（2）了解</w:t>
      </w:r>
      <w:r>
        <w:rPr>
          <w:rFonts w:cs="Calibri" w:hint="eastAsia"/>
          <w:b/>
          <w:bCs/>
          <w:color w:val="FF0000"/>
          <w:sz w:val="21"/>
          <w:szCs w:val="21"/>
        </w:rPr>
        <w:t>合并过程</w:t>
      </w:r>
      <w:r>
        <w:rPr>
          <w:rFonts w:cs="Calibri" w:hint="eastAsia"/>
          <w:color w:val="3F3F3F"/>
          <w:sz w:val="21"/>
          <w:szCs w:val="21"/>
        </w:rPr>
        <w:t>，包括集团管理层向组成部分下达的指令。</w:t>
      </w:r>
    </w:p>
    <w:p w14:paraId="53692D8C"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3.了解的内容</w:t>
      </w:r>
    </w:p>
    <w:p w14:paraId="050527EF"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（1）集团管理层下达的指令</w:t>
      </w:r>
    </w:p>
    <w:p w14:paraId="31D9A7A9"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集团管理层下达的指令通常包括：</w:t>
      </w:r>
    </w:p>
    <w:p w14:paraId="0601BBD7"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a）运用的会计政策；</w:t>
      </w:r>
    </w:p>
    <w:p w14:paraId="0B8FD87D"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b）适用于集团财务报表的披露要求；</w:t>
      </w:r>
    </w:p>
    <w:p w14:paraId="2870DB6C"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c）报告的时间要求。</w:t>
      </w:r>
    </w:p>
    <w:p w14:paraId="0C9E97ED"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（2）合并过程</w:t>
      </w:r>
    </w:p>
    <w:p w14:paraId="3B3722D5"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a）如果对合并过程执行工作的性质、时间安排和范围</w:t>
      </w:r>
      <w:r>
        <w:rPr>
          <w:rFonts w:cs="Calibri" w:hint="eastAsia"/>
          <w:b/>
          <w:bCs/>
          <w:color w:val="FF0000"/>
          <w:sz w:val="21"/>
          <w:szCs w:val="21"/>
        </w:rPr>
        <w:t>基于</w:t>
      </w:r>
      <w:r>
        <w:rPr>
          <w:rFonts w:cs="Calibri" w:hint="eastAsia"/>
          <w:color w:val="3F3F3F"/>
          <w:sz w:val="21"/>
          <w:szCs w:val="21"/>
        </w:rPr>
        <w:t>集团层面控制的</w:t>
      </w:r>
      <w:r>
        <w:rPr>
          <w:rFonts w:cs="Calibri" w:hint="eastAsia"/>
          <w:b/>
          <w:bCs/>
          <w:color w:val="FF0000"/>
          <w:sz w:val="21"/>
          <w:szCs w:val="21"/>
        </w:rPr>
        <w:t>有效运行</w:t>
      </w:r>
      <w:r>
        <w:rPr>
          <w:rFonts w:cs="Calibri" w:hint="eastAsia"/>
          <w:color w:val="3F3F3F"/>
          <w:sz w:val="21"/>
          <w:szCs w:val="21"/>
        </w:rPr>
        <w:t>，或者仅实施实质性程序</w:t>
      </w:r>
      <w:r>
        <w:rPr>
          <w:rFonts w:cs="Calibri" w:hint="eastAsia"/>
          <w:b/>
          <w:bCs/>
          <w:color w:val="FF0000"/>
          <w:sz w:val="21"/>
          <w:szCs w:val="21"/>
        </w:rPr>
        <w:t>不足</w:t>
      </w:r>
      <w:r>
        <w:rPr>
          <w:rFonts w:cs="Calibri" w:hint="eastAsia"/>
          <w:color w:val="3F3F3F"/>
          <w:sz w:val="21"/>
          <w:szCs w:val="21"/>
        </w:rPr>
        <w:t>，集团项目组</w:t>
      </w:r>
      <w:r>
        <w:rPr>
          <w:rFonts w:cs="Calibri" w:hint="eastAsia"/>
          <w:b/>
          <w:bCs/>
          <w:color w:val="FF0000"/>
          <w:sz w:val="21"/>
          <w:szCs w:val="21"/>
        </w:rPr>
        <w:t>应当亲自测试</w:t>
      </w:r>
      <w:r>
        <w:rPr>
          <w:rFonts w:cs="Calibri" w:hint="eastAsia"/>
          <w:color w:val="3F3F3F"/>
          <w:sz w:val="21"/>
          <w:szCs w:val="21"/>
        </w:rPr>
        <w:t>或要求组成部分注册会计师</w:t>
      </w:r>
      <w:r>
        <w:rPr>
          <w:rFonts w:cs="Calibri" w:hint="eastAsia"/>
          <w:b/>
          <w:bCs/>
          <w:color w:val="FF0000"/>
          <w:sz w:val="21"/>
          <w:szCs w:val="21"/>
        </w:rPr>
        <w:t>代为测试</w:t>
      </w:r>
      <w:r>
        <w:rPr>
          <w:rFonts w:cs="Calibri" w:hint="eastAsia"/>
          <w:color w:val="3F3F3F"/>
          <w:sz w:val="21"/>
          <w:szCs w:val="21"/>
        </w:rPr>
        <w:t>集团层面</w:t>
      </w:r>
      <w:r>
        <w:rPr>
          <w:rFonts w:cs="Calibri" w:hint="eastAsia"/>
          <w:b/>
          <w:bCs/>
          <w:color w:val="FF0000"/>
          <w:sz w:val="21"/>
          <w:szCs w:val="21"/>
        </w:rPr>
        <w:t>控制运行的有效性</w:t>
      </w:r>
      <w:r>
        <w:rPr>
          <w:rFonts w:cs="Calibri" w:hint="eastAsia"/>
          <w:color w:val="3F3F3F"/>
          <w:sz w:val="21"/>
          <w:szCs w:val="21"/>
        </w:rPr>
        <w:t>；</w:t>
      </w:r>
      <w:r>
        <w:rPr>
          <w:rFonts w:cs="Calibri" w:hint="eastAsia"/>
          <w:b/>
          <w:bCs/>
          <w:color w:val="FF0000"/>
          <w:sz w:val="21"/>
          <w:szCs w:val="21"/>
        </w:rPr>
        <w:t>[易考点][背记]</w:t>
      </w:r>
    </w:p>
    <w:p w14:paraId="4D402703" w14:textId="77777777" w:rsidR="000A4464" w:rsidRDefault="000A4464" w:rsidP="000A44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"http://webupload.admin.dongao.com/biz/handout/img/2019/20190618/20190618100223271002.png"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34pt">
            <v:imagedata r:id="rId9" r:href="rId10"/>
          </v:shape>
        </w:pict>
      </w:r>
      <w:r>
        <w:rPr>
          <w:rFonts w:ascii="Calibri" w:eastAsia="微软雅黑" w:hAnsi="Calibri" w:cs="Calibri"/>
          <w:color w:val="3F3F3F"/>
          <w:sz w:val="21"/>
          <w:szCs w:val="21"/>
        </w:rPr>
        <w:fldChar w:fldCharType="end"/>
      </w:r>
    </w:p>
    <w:p w14:paraId="31256B91"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b）集团项目组</w:t>
      </w:r>
      <w:r>
        <w:rPr>
          <w:rFonts w:cs="Calibri" w:hint="eastAsia"/>
          <w:b/>
          <w:bCs/>
          <w:color w:val="FF0000"/>
          <w:sz w:val="21"/>
          <w:szCs w:val="21"/>
        </w:rPr>
        <w:t>应当</w:t>
      </w:r>
      <w:r>
        <w:rPr>
          <w:rFonts w:cs="Calibri" w:hint="eastAsia"/>
          <w:color w:val="3F3F3F"/>
          <w:sz w:val="21"/>
          <w:szCs w:val="21"/>
        </w:rPr>
        <w:t>针对合并过程设计和实施进一步审计程序，以应对评估的、由合并过程导致的集团财务报表发生重大错报的风险。设计和实施的进一步审计程序</w:t>
      </w:r>
      <w:r>
        <w:rPr>
          <w:rFonts w:cs="Calibri" w:hint="eastAsia"/>
          <w:b/>
          <w:bCs/>
          <w:color w:val="FF0000"/>
          <w:sz w:val="21"/>
          <w:szCs w:val="21"/>
        </w:rPr>
        <w:t>应当包括</w:t>
      </w:r>
      <w:r>
        <w:rPr>
          <w:rFonts w:cs="Calibri" w:hint="eastAsia"/>
          <w:color w:val="3F3F3F"/>
          <w:sz w:val="21"/>
          <w:szCs w:val="21"/>
        </w:rPr>
        <w:t>评价所有组成部分是否均已包括在集团财务报表中。</w:t>
      </w:r>
    </w:p>
    <w:p w14:paraId="039C6C7A"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c）集团项目组</w:t>
      </w:r>
      <w:r>
        <w:rPr>
          <w:rFonts w:cs="Calibri" w:hint="eastAsia"/>
          <w:b/>
          <w:bCs/>
          <w:color w:val="FF0000"/>
          <w:sz w:val="21"/>
          <w:szCs w:val="21"/>
        </w:rPr>
        <w:t>应评价</w:t>
      </w:r>
      <w:r>
        <w:rPr>
          <w:rFonts w:cs="Calibri" w:hint="eastAsia"/>
          <w:color w:val="3F3F3F"/>
          <w:sz w:val="21"/>
          <w:szCs w:val="21"/>
        </w:rPr>
        <w:t>合并调整和重分类事项的适当性、完整性和准确性；</w:t>
      </w:r>
    </w:p>
    <w:p w14:paraId="22FA2CC9"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d）组成部分财务信息是否按集团财务报表的会计政策编制，是否已适当</w:t>
      </w:r>
      <w:r>
        <w:rPr>
          <w:rFonts w:cs="Calibri" w:hint="eastAsia"/>
          <w:b/>
          <w:bCs/>
          <w:color w:val="FF0000"/>
          <w:sz w:val="21"/>
          <w:szCs w:val="21"/>
        </w:rPr>
        <w:t>调整</w:t>
      </w:r>
      <w:r>
        <w:rPr>
          <w:rFonts w:cs="Calibri" w:hint="eastAsia"/>
          <w:color w:val="3F3F3F"/>
          <w:sz w:val="21"/>
          <w:szCs w:val="21"/>
        </w:rPr>
        <w:t>，以满足编制和列报集团财务报表的要求。</w:t>
      </w:r>
    </w:p>
    <w:p w14:paraId="7294D1CA"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4.组织项目组讨论</w:t>
      </w:r>
    </w:p>
    <w:p w14:paraId="52412A1E"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（1）集团项目组</w:t>
      </w:r>
      <w:r>
        <w:rPr>
          <w:rFonts w:cs="Calibri" w:hint="eastAsia"/>
          <w:b/>
          <w:bCs/>
          <w:color w:val="FF0000"/>
          <w:sz w:val="21"/>
          <w:szCs w:val="21"/>
        </w:rPr>
        <w:t>关键成员</w:t>
      </w:r>
      <w:r>
        <w:rPr>
          <w:rFonts w:cs="Calibri" w:hint="eastAsia"/>
          <w:color w:val="3F3F3F"/>
          <w:sz w:val="21"/>
          <w:szCs w:val="21"/>
        </w:rPr>
        <w:t>需要参与讨论；</w:t>
      </w:r>
    </w:p>
    <w:p w14:paraId="28F9A4EE"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（2）组成部分注册会计师</w:t>
      </w:r>
      <w:r>
        <w:rPr>
          <w:rFonts w:cs="Calibri" w:hint="eastAsia"/>
          <w:b/>
          <w:bCs/>
          <w:color w:val="FF0000"/>
          <w:sz w:val="21"/>
          <w:szCs w:val="21"/>
        </w:rPr>
        <w:t>可能</w:t>
      </w:r>
      <w:r>
        <w:rPr>
          <w:rFonts w:cs="Calibri" w:hint="eastAsia"/>
          <w:color w:val="3F3F3F"/>
          <w:sz w:val="21"/>
          <w:szCs w:val="21"/>
        </w:rPr>
        <w:t>参与讨论；</w:t>
      </w:r>
    </w:p>
    <w:p w14:paraId="0C3904BF"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（3）讨论中需要特别强调</w:t>
      </w:r>
      <w:r>
        <w:rPr>
          <w:rFonts w:cs="Calibri" w:hint="eastAsia"/>
          <w:b/>
          <w:bCs/>
          <w:color w:val="FF0000"/>
          <w:sz w:val="21"/>
          <w:szCs w:val="21"/>
        </w:rPr>
        <w:t>舞弊</w:t>
      </w:r>
      <w:r>
        <w:rPr>
          <w:rFonts w:cs="Calibri" w:hint="eastAsia"/>
          <w:color w:val="3F3F3F"/>
          <w:sz w:val="21"/>
          <w:szCs w:val="21"/>
        </w:rPr>
        <w:t>导致的风险。</w:t>
      </w:r>
    </w:p>
    <w:p w14:paraId="0277D567"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5.了解的目的</w:t>
      </w:r>
    </w:p>
    <w:p w14:paraId="4A4284DE"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集团项目组应当对集团及其环境、集团组成部分及其环境获取充分的了解，以足以：</w:t>
      </w:r>
    </w:p>
    <w:p w14:paraId="74F0182E"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（1）确认或修正最初识别的</w:t>
      </w:r>
      <w:r>
        <w:rPr>
          <w:rFonts w:cs="Calibri" w:hint="eastAsia"/>
          <w:b/>
          <w:bCs/>
          <w:color w:val="FF0000"/>
          <w:sz w:val="21"/>
          <w:szCs w:val="21"/>
        </w:rPr>
        <w:t>重要组成部分</w:t>
      </w:r>
      <w:r>
        <w:rPr>
          <w:rFonts w:cs="Calibri" w:hint="eastAsia"/>
          <w:color w:val="3F3F3F"/>
          <w:sz w:val="21"/>
          <w:szCs w:val="21"/>
        </w:rPr>
        <w:t>；</w:t>
      </w:r>
    </w:p>
    <w:p w14:paraId="39DCA442"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（2）评估由于舞弊或错误导致集团财务报表发生重大错报的</w:t>
      </w:r>
      <w:r>
        <w:rPr>
          <w:rFonts w:cs="Calibri" w:hint="eastAsia"/>
          <w:b/>
          <w:bCs/>
          <w:color w:val="FF0000"/>
          <w:sz w:val="21"/>
          <w:szCs w:val="21"/>
        </w:rPr>
        <w:t>风险</w:t>
      </w:r>
      <w:r>
        <w:rPr>
          <w:rFonts w:cs="Calibri" w:hint="eastAsia"/>
          <w:color w:val="3F3F3F"/>
          <w:sz w:val="21"/>
          <w:szCs w:val="21"/>
        </w:rPr>
        <w:t>。</w:t>
      </w:r>
    </w:p>
    <w:p w14:paraId="60964214"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6.评估重大错报风险</w:t>
      </w:r>
    </w:p>
    <w:p w14:paraId="7F71EBC1"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在集团层面评估集团财务报表重大错报风险，可以基于以下信息：</w:t>
      </w:r>
    </w:p>
    <w:p w14:paraId="506E39EE"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（1）在了解集团及其环境、集团组成部分及其环境和合并过程时获取的</w:t>
      </w:r>
      <w:r>
        <w:rPr>
          <w:rFonts w:cs="Calibri" w:hint="eastAsia"/>
          <w:b/>
          <w:bCs/>
          <w:color w:val="FF0000"/>
          <w:sz w:val="21"/>
          <w:szCs w:val="21"/>
        </w:rPr>
        <w:t>信息</w:t>
      </w:r>
      <w:r>
        <w:rPr>
          <w:rFonts w:cs="Calibri" w:hint="eastAsia"/>
          <w:color w:val="3F3F3F"/>
          <w:sz w:val="21"/>
          <w:szCs w:val="21"/>
        </w:rPr>
        <w:t>，包括在评价集团层面控制以及与合并过程相关的控制设计和执行时获取的审计证据；</w:t>
      </w:r>
    </w:p>
    <w:p w14:paraId="2FB1522D"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（2）从组成部分注册会计师获取的信息。</w:t>
      </w:r>
    </w:p>
    <w:p w14:paraId="40AA65B5"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7.评估舞弊风险</w:t>
      </w:r>
    </w:p>
    <w:p w14:paraId="640CB707"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识别和评估：</w:t>
      </w:r>
    </w:p>
    <w:p w14:paraId="56D6856C"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（1）集团管理层对集团财务报表的舞弊风险的评估；</w:t>
      </w:r>
    </w:p>
    <w:p w14:paraId="7EC96010"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（2）集团管理层对集团舞弊风险的识别和应对过程；</w:t>
      </w:r>
    </w:p>
    <w:p w14:paraId="0E77523B"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（3）是否有特定组成部分可能存在舞弊风险；</w:t>
      </w:r>
    </w:p>
    <w:p w14:paraId="129A6433"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（4）集团治理层如何监督集团管理层识别和应对集团舞弊风险的过程，以及集团管理层为降低舞弊风险而建立的控制；</w:t>
      </w:r>
    </w:p>
    <w:p w14:paraId="4802A5EF"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（5）集团治理层、管理层和内部审计人员是否知悉任何影响组成部分或集团的舞弊事实、舞弊嫌疑或舞弊指控。</w:t>
      </w:r>
    </w:p>
    <w:p w14:paraId="28A49E83" w14:textId="77777777" w:rsidR="000A4464" w:rsidRDefault="000A4464" w:rsidP="000A44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二、了解组成部分注册会计师</w:t>
      </w:r>
    </w:p>
    <w:p w14:paraId="4E61D584"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1.对注册会计师的要求</w:t>
      </w:r>
    </w:p>
    <w:p w14:paraId="1A48FF33"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（1）只有当基于集团审计目的，计划要求由组成部分注册会计师执行组成部分财务信息的相关工作时，集团项目组才需要了解组成部分注册会计师；</w:t>
      </w:r>
    </w:p>
    <w:p w14:paraId="7D72FD9F"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（2）如果集团仅在集团层面对某些组成部分</w:t>
      </w:r>
      <w:r>
        <w:rPr>
          <w:rFonts w:cs="Calibri" w:hint="eastAsia"/>
          <w:b/>
          <w:bCs/>
          <w:color w:val="FF0000"/>
          <w:sz w:val="21"/>
          <w:szCs w:val="21"/>
        </w:rPr>
        <w:t>实施分析程序</w:t>
      </w:r>
      <w:r>
        <w:rPr>
          <w:rFonts w:cs="Calibri" w:hint="eastAsia"/>
          <w:color w:val="3F3F3F"/>
          <w:sz w:val="21"/>
          <w:szCs w:val="21"/>
        </w:rPr>
        <w:t>，就</w:t>
      </w:r>
      <w:r>
        <w:rPr>
          <w:rFonts w:cs="Calibri" w:hint="eastAsia"/>
          <w:b/>
          <w:bCs/>
          <w:color w:val="FF0000"/>
          <w:sz w:val="21"/>
          <w:szCs w:val="21"/>
        </w:rPr>
        <w:t>无须了解</w:t>
      </w:r>
      <w:r>
        <w:rPr>
          <w:rFonts w:cs="Calibri" w:hint="eastAsia"/>
          <w:color w:val="3F3F3F"/>
          <w:sz w:val="21"/>
          <w:szCs w:val="21"/>
        </w:rPr>
        <w:t>这些组成部分注册会计师。</w:t>
      </w:r>
      <w:r>
        <w:rPr>
          <w:rFonts w:cs="Calibri" w:hint="eastAsia"/>
          <w:b/>
          <w:bCs/>
          <w:color w:val="FF0000"/>
          <w:sz w:val="21"/>
          <w:szCs w:val="21"/>
        </w:rPr>
        <w:t>[易考点]</w:t>
      </w:r>
    </w:p>
    <w:p w14:paraId="3F78C282" w14:textId="77777777" w:rsidR="000A4464" w:rsidRDefault="000A4464" w:rsidP="000A44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"http://webupload.admin.dongao.com/biz/handout/img/2019/20190618/20190618100223767003.png"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67.75pt">
            <v:imagedata r:id="rId11" r:href="rId12"/>
          </v:shape>
        </w:pict>
      </w:r>
      <w:r>
        <w:rPr>
          <w:rFonts w:ascii="Calibri" w:eastAsia="微软雅黑" w:hAnsi="Calibri" w:cs="Calibri"/>
          <w:color w:val="3F3F3F"/>
          <w:sz w:val="21"/>
          <w:szCs w:val="21"/>
        </w:rPr>
        <w:fldChar w:fldCharType="end"/>
      </w:r>
    </w:p>
    <w:p w14:paraId="16CAD7E9"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2.了解的内容</w:t>
      </w:r>
      <w:r>
        <w:rPr>
          <w:rFonts w:cs="Calibri" w:hint="eastAsia"/>
          <w:b/>
          <w:bCs/>
          <w:color w:val="FF0000"/>
          <w:sz w:val="21"/>
          <w:szCs w:val="21"/>
        </w:rPr>
        <w:t>【多选题/简答题考点】[背记]</w:t>
      </w:r>
    </w:p>
    <w:p w14:paraId="7EC9C195"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（1）组成部分注册会计师是否了解并将遵守</w:t>
      </w:r>
      <w:r>
        <w:rPr>
          <w:rFonts w:cs="Calibri" w:hint="eastAsia"/>
          <w:b/>
          <w:bCs/>
          <w:color w:val="FF0000"/>
          <w:sz w:val="21"/>
          <w:szCs w:val="21"/>
        </w:rPr>
        <w:t>与集团审计相关</w:t>
      </w:r>
      <w:r>
        <w:rPr>
          <w:rFonts w:cs="Calibri" w:hint="eastAsia"/>
          <w:color w:val="3F3F3F"/>
          <w:sz w:val="21"/>
          <w:szCs w:val="21"/>
        </w:rPr>
        <w:t>的</w:t>
      </w:r>
      <w:r>
        <w:rPr>
          <w:rFonts w:cs="Calibri" w:hint="eastAsia"/>
          <w:b/>
          <w:bCs/>
          <w:color w:val="FF0000"/>
          <w:sz w:val="21"/>
          <w:szCs w:val="21"/>
        </w:rPr>
        <w:t>职业道德要求</w:t>
      </w:r>
      <w:r>
        <w:rPr>
          <w:rFonts w:cs="Calibri" w:hint="eastAsia"/>
          <w:color w:val="3F3F3F"/>
          <w:sz w:val="21"/>
          <w:szCs w:val="21"/>
        </w:rPr>
        <w:t>，特别是</w:t>
      </w:r>
      <w:r>
        <w:rPr>
          <w:rFonts w:cs="Calibri" w:hint="eastAsia"/>
          <w:b/>
          <w:bCs/>
          <w:color w:val="FF0000"/>
          <w:sz w:val="21"/>
          <w:szCs w:val="21"/>
        </w:rPr>
        <w:t>独立性</w:t>
      </w:r>
      <w:r>
        <w:rPr>
          <w:rFonts w:cs="Calibri" w:hint="eastAsia"/>
          <w:color w:val="3F3F3F"/>
          <w:sz w:val="21"/>
          <w:szCs w:val="21"/>
        </w:rPr>
        <w:t>要求；</w:t>
      </w:r>
    </w:p>
    <w:p w14:paraId="1D147D52"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（2）组成部分注册会计师是否具备</w:t>
      </w:r>
      <w:r>
        <w:rPr>
          <w:rFonts w:cs="Calibri" w:hint="eastAsia"/>
          <w:b/>
          <w:bCs/>
          <w:color w:val="FF0000"/>
          <w:sz w:val="21"/>
          <w:szCs w:val="21"/>
        </w:rPr>
        <w:t>专业胜任能力</w:t>
      </w:r>
      <w:r>
        <w:rPr>
          <w:rFonts w:cs="Calibri" w:hint="eastAsia"/>
          <w:color w:val="3F3F3F"/>
          <w:sz w:val="21"/>
          <w:szCs w:val="21"/>
        </w:rPr>
        <w:t>；</w:t>
      </w:r>
    </w:p>
    <w:p w14:paraId="361886EF"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（3）集团项目组</w:t>
      </w:r>
      <w:r>
        <w:rPr>
          <w:rFonts w:cs="Calibri" w:hint="eastAsia"/>
          <w:b/>
          <w:bCs/>
          <w:color w:val="FF0000"/>
          <w:sz w:val="21"/>
          <w:szCs w:val="21"/>
        </w:rPr>
        <w:t>参与</w:t>
      </w:r>
      <w:r>
        <w:rPr>
          <w:rFonts w:cs="Calibri" w:hint="eastAsia"/>
          <w:color w:val="3F3F3F"/>
          <w:sz w:val="21"/>
          <w:szCs w:val="21"/>
        </w:rPr>
        <w:t>组成部分注册会计师工作的</w:t>
      </w:r>
      <w:r>
        <w:rPr>
          <w:rFonts w:cs="Calibri" w:hint="eastAsia"/>
          <w:b/>
          <w:bCs/>
          <w:color w:val="FF0000"/>
          <w:sz w:val="21"/>
          <w:szCs w:val="21"/>
        </w:rPr>
        <w:t>程度</w:t>
      </w:r>
      <w:r>
        <w:rPr>
          <w:rFonts w:cs="Calibri" w:hint="eastAsia"/>
          <w:color w:val="3F3F3F"/>
          <w:sz w:val="21"/>
          <w:szCs w:val="21"/>
        </w:rPr>
        <w:t>是否足以获取充分、适当的审计证据；</w:t>
      </w:r>
    </w:p>
    <w:p w14:paraId="65FD57FD"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（4）组成部分注册会计师是否处于积极的</w:t>
      </w:r>
      <w:r>
        <w:rPr>
          <w:rFonts w:cs="Calibri" w:hint="eastAsia"/>
          <w:b/>
          <w:bCs/>
          <w:color w:val="FF0000"/>
          <w:sz w:val="21"/>
          <w:szCs w:val="21"/>
        </w:rPr>
        <w:t>监管环境</w:t>
      </w:r>
      <w:r>
        <w:rPr>
          <w:rFonts w:cs="Calibri" w:hint="eastAsia"/>
          <w:color w:val="3F3F3F"/>
          <w:sz w:val="21"/>
          <w:szCs w:val="21"/>
        </w:rPr>
        <w:t>中。</w:t>
      </w:r>
    </w:p>
    <w:p w14:paraId="43256498" w14:textId="77777777" w:rsidR="000A4464" w:rsidRDefault="000A4464" w:rsidP="000A44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"http://webupload.admin.dongao.com/biz/handout/img/2019/20190618/20190618100223782004.png"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206.25pt">
            <v:imagedata r:id="rId13" r:href="rId14"/>
          </v:shape>
        </w:pict>
      </w:r>
      <w:r>
        <w:rPr>
          <w:rFonts w:ascii="Calibri" w:eastAsia="微软雅黑" w:hAnsi="Calibri" w:cs="Calibri"/>
          <w:color w:val="3F3F3F"/>
          <w:sz w:val="21"/>
          <w:szCs w:val="21"/>
        </w:rPr>
        <w:fldChar w:fldCharType="end"/>
      </w:r>
    </w:p>
    <w:p w14:paraId="0C90F356"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3.对组成部分注册会计师疑虑的处理</w:t>
      </w:r>
      <w:r>
        <w:rPr>
          <w:rFonts w:cs="Calibri" w:hint="eastAsia"/>
          <w:b/>
          <w:bCs/>
          <w:color w:val="FF0000"/>
          <w:sz w:val="21"/>
          <w:szCs w:val="21"/>
        </w:rPr>
        <w:t>【多选题/简答题考点】[背记]</w:t>
      </w:r>
    </w:p>
    <w:p w14:paraId="2FD3F519"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（1）对组成部分注册会计师职业道德、专业胜任能力和所处的监管环境存有</w:t>
      </w:r>
      <w:r>
        <w:rPr>
          <w:rFonts w:cs="Calibri" w:hint="eastAsia"/>
          <w:b/>
          <w:bCs/>
          <w:color w:val="FF0000"/>
          <w:sz w:val="21"/>
          <w:szCs w:val="21"/>
        </w:rPr>
        <w:t>重大疑虑</w:t>
      </w:r>
      <w:r>
        <w:rPr>
          <w:rFonts w:cs="Calibri" w:hint="eastAsia"/>
          <w:color w:val="3F3F3F"/>
          <w:sz w:val="21"/>
          <w:szCs w:val="21"/>
        </w:rPr>
        <w:t>，集团项目组应就组成部分财务信息获取充分、适当的证据，而</w:t>
      </w:r>
      <w:r>
        <w:rPr>
          <w:rFonts w:cs="Calibri" w:hint="eastAsia"/>
          <w:b/>
          <w:bCs/>
          <w:color w:val="FF0000"/>
          <w:sz w:val="21"/>
          <w:szCs w:val="21"/>
        </w:rPr>
        <w:t>不应要求</w:t>
      </w:r>
      <w:r>
        <w:rPr>
          <w:rFonts w:cs="Calibri" w:hint="eastAsia"/>
          <w:color w:val="3F3F3F"/>
          <w:sz w:val="21"/>
          <w:szCs w:val="21"/>
        </w:rPr>
        <w:t>组成部分注册会计师执行相关工作。</w:t>
      </w:r>
    </w:p>
    <w:p w14:paraId="716E852A"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（2）如组成部分注册会计师</w:t>
      </w:r>
      <w:r>
        <w:rPr>
          <w:rFonts w:cs="Calibri" w:hint="eastAsia"/>
          <w:b/>
          <w:bCs/>
          <w:color w:val="FF0000"/>
          <w:sz w:val="21"/>
          <w:szCs w:val="21"/>
        </w:rPr>
        <w:t>不符合</w:t>
      </w:r>
      <w:r>
        <w:rPr>
          <w:rFonts w:cs="Calibri" w:hint="eastAsia"/>
          <w:color w:val="3F3F3F"/>
          <w:sz w:val="21"/>
          <w:szCs w:val="21"/>
        </w:rPr>
        <w:t>集团审计的独立性要求，集团项目组</w:t>
      </w:r>
      <w:r>
        <w:rPr>
          <w:rFonts w:cs="Calibri" w:hint="eastAsia"/>
          <w:b/>
          <w:bCs/>
          <w:color w:val="FF0000"/>
          <w:sz w:val="21"/>
          <w:szCs w:val="21"/>
        </w:rPr>
        <w:t>不能通过</w:t>
      </w:r>
      <w:r>
        <w:rPr>
          <w:rFonts w:cs="Calibri" w:hint="eastAsia"/>
          <w:color w:val="3F3F3F"/>
          <w:sz w:val="21"/>
          <w:szCs w:val="21"/>
        </w:rPr>
        <w:t>参与组成部分注册会计师的工作、实施追加的风险评估程序或进一步程序，以消除组成部分注册会计师不具有独立性的影响。</w:t>
      </w:r>
    </w:p>
    <w:p w14:paraId="37F7883B"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（3）集团项目组</w:t>
      </w:r>
      <w:r>
        <w:rPr>
          <w:rFonts w:cs="Calibri" w:hint="eastAsia"/>
          <w:b/>
          <w:bCs/>
          <w:color w:val="FF0000"/>
          <w:sz w:val="21"/>
          <w:szCs w:val="21"/>
        </w:rPr>
        <w:t>可以通过</w:t>
      </w:r>
      <w:r>
        <w:rPr>
          <w:rFonts w:cs="Calibri" w:hint="eastAsia"/>
          <w:color w:val="3F3F3F"/>
          <w:sz w:val="21"/>
          <w:szCs w:val="21"/>
        </w:rPr>
        <w:t>参与组成部分注册会计师的工作、实施追加的风险评估程序或进一步程序，消除对其专业胜任能力的非重大疑虑，或未处于有效监管的影响。</w:t>
      </w:r>
    </w:p>
    <w:p w14:paraId="2E320F89" w14:textId="77777777" w:rsidR="000A4464" w:rsidRDefault="000A4464" w:rsidP="000A44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"http://webupload.admin.dongao.com/biz/handout/img/2019/20190618/20190618100223584005.png"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224.25pt">
            <v:imagedata r:id="rId15" r:href="rId16"/>
          </v:shape>
        </w:pict>
      </w:r>
      <w:r>
        <w:rPr>
          <w:rFonts w:ascii="Calibri" w:eastAsia="微软雅黑" w:hAnsi="Calibri" w:cs="Calibri"/>
          <w:color w:val="3F3F3F"/>
          <w:sz w:val="21"/>
          <w:szCs w:val="21"/>
        </w:rPr>
        <w:fldChar w:fldCharType="end"/>
      </w:r>
    </w:p>
    <w:p w14:paraId="518AB4EA" w14:textId="77777777" w:rsidR="000A4464" w:rsidRDefault="000A4464" w:rsidP="000A44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14B4D0C" w14:textId="77777777" w:rsidR="000A4464" w:rsidRDefault="000A4464" w:rsidP="000A44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单项选择题【2018年真题】</w:t>
      </w:r>
    </w:p>
    <w:p w14:paraId="50D7AF9B"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在审计集团财务报表时，下列情形中，导致集团项目组无法利用组成部分注册会计师工作的是（　　）。</w:t>
      </w:r>
    </w:p>
    <w:p w14:paraId="7D78BCE0"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A.组成部分注册会计师未处于积极有效监管环境中</w:t>
      </w:r>
    </w:p>
    <w:p w14:paraId="1BF2C8F9"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B.组成部分注册会计师不符合与集团审计相关的独立性要求</w:t>
      </w:r>
    </w:p>
    <w:p w14:paraId="4C14CC00"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C.集团项目组对组成部分注册会计师的专业胜任能力存有并非重大的疑虑</w:t>
      </w:r>
    </w:p>
    <w:p w14:paraId="54E30A25"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D.组成部分注册会计师无法向集团项目组提供所有审计工作底稿</w:t>
      </w:r>
    </w:p>
    <w:p w14:paraId="250907BB"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667A660D"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如果组成部分注册会计师不符合与集团审计相关的独立性要求，集团项目组不能通过参与组成部分注册会计师的工作、实施追加的风险评估程序或对组成部分财务信息实施进一步审计程序，以消除组成部分注册会计师不具有独立性的影响（选项B属于无法利用组成部分注册会计师的工作）。</w:t>
      </w:r>
    </w:p>
    <w:p w14:paraId="00A9E7C1" w14:textId="77777777" w:rsidR="000A4464" w:rsidRDefault="000A4464" w:rsidP="000A44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112C813A"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在了解组成部分注册会计师后，下列情形中，集团项目组可以采取措施消除其疑虑或影响的是（　　）。</w:t>
      </w:r>
    </w:p>
    <w:p w14:paraId="736644B1"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A.集团项目组对组成部分注册会计师的专业胜任能力存有重大疑虑</w:t>
      </w:r>
    </w:p>
    <w:p w14:paraId="35662F9A"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B.集团项目组对组成部分注册会计师的职业道德存有重大疑虑</w:t>
      </w:r>
    </w:p>
    <w:p w14:paraId="2C3CFB64"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C.组成部分注册会计师未处于积极有效的监管环境中</w:t>
      </w:r>
    </w:p>
    <w:p w14:paraId="3A84FA01"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D.组成部分注册会计师不符合与集团审计相关的独立性要求</w:t>
      </w:r>
    </w:p>
    <w:p w14:paraId="1A77C791"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002FB8EE"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选项B和选项D中，如果组成部分注册会计师不符合与集团审计相关的独立性要求，或集团项目组对组成部分注册会计师职业道德、专业胜任能力和所处的监管环境存有重大疑虑，集团项目组应当就组成部分财务信息获取充分、适当的审计证据，而不应要求组成部分注册会计师对组成部分财务信息执行相关工作；选项C中，集团项目组可以通过参与组成部分注册会计师的工作、实施追加的风险评估程序或对组成部分财务信息实施进一步审计程序，消除对组成部分注册会计师专业胜任能力的并非重大的疑虑（如认为其缺乏行业专门知识），或消除组成部分注册会计师未处于积极有效的监管环境中的影响。</w:t>
      </w:r>
    </w:p>
    <w:p w14:paraId="41D63F3A" w14:textId="77777777" w:rsidR="000A4464" w:rsidRDefault="000A4464" w:rsidP="000A44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综合题【改编自历年真题】</w:t>
      </w:r>
    </w:p>
    <w:p w14:paraId="534479D3"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要求：假定不考虑其他条件，逐项指出A注册会计师的处理是否恰当，如不恰当，简要说明理由。</w:t>
      </w:r>
    </w:p>
    <w:p w14:paraId="05026F25"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集团公司是ABC事务所的常年审计客户，A注册会计师负责审计甲集团公司2013年度财务报表；子公司乙公司为重要组成部分，X注册会计师为组成部分注册会计师。子公司丙公司为重要组成部分，Y注册会计师为组成部分注册会计师。</w:t>
      </w:r>
    </w:p>
    <w:p w14:paraId="496E899A"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A注册会计师制定了甲集团公司总体审计策略，部分内容摘录如下：</w:t>
      </w:r>
    </w:p>
    <w:p w14:paraId="30A1A466"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（1）X注册会计师未能参与集团项目组对集团财务报表重大错报风险的讨论。A注册会计师拟另行安排时间与X注册会计师进行沟通，并向其通报集团项目组讨论的情况；</w:t>
      </w:r>
    </w:p>
    <w:p w14:paraId="442CB386" w14:textId="77777777" w:rsidR="000A4464" w:rsidRDefault="000A4464" w:rsidP="000A44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（2）经初步了解，负责丙公司审计的Y注册会计师不符合与集团审计相关的独立性要求。集团项目组拟通过参与该注册会计师对丙公司实施的审计工作，消除其不具有独立性的影响。</w:t>
      </w:r>
    </w:p>
    <w:p w14:paraId="01EFE6B0" w14:textId="77777777" w:rsidR="000A4464" w:rsidRDefault="000A4464" w:rsidP="000A44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tbl>
      <w:tblPr>
        <w:tblW w:w="8505" w:type="dxa"/>
        <w:jc w:val="center"/>
        <w:tblCellMar>
          <w:left w:w="0" w:type="dxa"/>
          <w:right w:w="0" w:type="dxa"/>
        </w:tblCellMar>
        <w:tblLook w:val="04A0" w:firstRow="1" w:lastRow="0" w:firstColumn="1" w:lastColumn="0" w:noHBand="0" w:noVBand="1"/>
      </w:tblPr>
      <w:tblGrid>
        <w:gridCol w:w="1001"/>
        <w:gridCol w:w="1584"/>
        <w:gridCol w:w="5920"/>
      </w:tblGrid>
      <w:tr w:rsidR="000A4464" w14:paraId="0F302885" w14:textId="77777777" w:rsidTr="000A4464">
        <w:trPr>
          <w:trHeight w:val="502"/>
          <w:jc w:val="center"/>
        </w:trPr>
        <w:tc>
          <w:tcPr>
            <w:tcW w:w="10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719A98" w14:textId="77777777" w:rsidR="000A4464" w:rsidRDefault="000A4464" w:rsidP="000A44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序号</w:t>
            </w:r>
          </w:p>
        </w:tc>
        <w:tc>
          <w:tcPr>
            <w:tcW w:w="15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0449CF4" w14:textId="77777777" w:rsidR="000A4464" w:rsidRDefault="000A4464" w:rsidP="000A44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是否恰当</w:t>
            </w:r>
          </w:p>
        </w:tc>
        <w:tc>
          <w:tcPr>
            <w:tcW w:w="59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45FE0D" w14:textId="77777777" w:rsidR="000A4464" w:rsidRDefault="000A4464" w:rsidP="000A44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r>
      <w:tr w:rsidR="000A4464" w14:paraId="075E0C50" w14:textId="77777777" w:rsidTr="000A4464">
        <w:trPr>
          <w:trHeight w:val="502"/>
          <w:jc w:val="center"/>
        </w:trPr>
        <w:tc>
          <w:tcPr>
            <w:tcW w:w="10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8F387A" w14:textId="77777777" w:rsidR="000A4464" w:rsidRDefault="000A4464" w:rsidP="000A44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15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768912" w14:textId="77777777" w:rsidR="000A4464" w:rsidRDefault="000A4464" w:rsidP="000A44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59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754ED5" w14:textId="77777777" w:rsidR="000A4464" w:rsidRDefault="000A4464" w:rsidP="000A44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A4464" w14:paraId="1D14A4FD" w14:textId="77777777" w:rsidTr="000A4464">
        <w:trPr>
          <w:trHeight w:val="2048"/>
          <w:jc w:val="center"/>
        </w:trPr>
        <w:tc>
          <w:tcPr>
            <w:tcW w:w="10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0AFEC0" w14:textId="77777777" w:rsidR="000A4464" w:rsidRDefault="000A4464" w:rsidP="000A44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15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DBF39A" w14:textId="77777777" w:rsidR="000A4464" w:rsidRDefault="000A4464" w:rsidP="000A44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9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1D2B57" w14:textId="77777777" w:rsidR="000A4464" w:rsidRDefault="000A4464" w:rsidP="000A44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组成部分注册会计师不符合集团审计的独立性要求，集团项目组不能通过参与组成部分注册会计师的工作、实施追加的风险评估程序或进一步程序，以消除组成部分注册会计师不具有独立性的影响。集团项目组应就该组成部分财务信息亲自获取充分、适当的审计证据</w:t>
            </w:r>
          </w:p>
        </w:tc>
      </w:tr>
    </w:tbl>
    <w:p w14:paraId="3C0A4578" w14:textId="77777777" w:rsidR="000A4464" w:rsidRDefault="000A4464" w:rsidP="000A4464">
      <w:pPr>
        <w:pStyle w:val="aa"/>
        <w:shd w:val="clear" w:color="auto" w:fill="FFFFFF"/>
        <w:spacing w:before="312" w:beforeAutospacing="0" w:after="312" w:afterAutospacing="0"/>
        <w:jc w:val="center"/>
        <w:rPr>
          <w:color w:val="3F3F3F"/>
        </w:rPr>
      </w:pPr>
      <w:r>
        <w:rPr>
          <w:rFonts w:hint="eastAsia"/>
          <w:b/>
          <w:bCs/>
          <w:color w:val="3F3F3F"/>
          <w:sz w:val="28"/>
          <w:szCs w:val="28"/>
        </w:rPr>
        <w:t>脉络和复习</w:t>
      </w:r>
    </w:p>
    <w:p w14:paraId="7117D1FA" w14:textId="77777777" w:rsidR="000A4464" w:rsidRDefault="000A4464" w:rsidP="000A4464">
      <w:pPr>
        <w:pStyle w:val="aa"/>
        <w:shd w:val="clear" w:color="auto" w:fill="FFFFFF"/>
        <w:spacing w:before="0" w:beforeAutospacing="0" w:after="0" w:afterAutospacing="0"/>
        <w:jc w:val="center"/>
        <w:rPr>
          <w:rFonts w:ascii="Calibri" w:eastAsia="微软雅黑" w:hAnsi="Calibri" w:cs="Calibri" w:hint="eastAsia"/>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"http://webupload.admin.dongao.com/biz/handout/img/2019/20190618/20190618100223795006.png"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20pt;height:234pt">
            <v:imagedata r:id="rId17" r:href="rId18"/>
          </v:shape>
        </w:pict>
      </w:r>
      <w:r>
        <w:rPr>
          <w:rFonts w:ascii="Calibri" w:eastAsia="微软雅黑" w:hAnsi="Calibri" w:cs="Calibri"/>
          <w:color w:val="3F3F3F"/>
          <w:sz w:val="21"/>
          <w:szCs w:val="21"/>
        </w:rPr>
        <w:fldChar w:fldCharType="end"/>
      </w:r>
    </w:p>
    <w:p w14:paraId="39DF454D" w14:textId="77777777" w:rsidR="000A4464" w:rsidRDefault="000A4464" w:rsidP="000A4464">
      <w:pPr>
        <w:shd w:val="clear" w:color="auto" w:fill="FFFFFF"/>
        <w:rPr>
          <w:rFonts w:ascii="微软雅黑" w:eastAsia="微软雅黑" w:hAnsi="微软雅黑" w:cs="宋体"/>
          <w:color w:val="3F3F3F"/>
          <w:szCs w:val="21"/>
        </w:rPr>
      </w:pPr>
    </w:p>
    <w:p w14:paraId="457280F3" w14:textId="77777777" w:rsidR="00271D8C" w:rsidRPr="000A4464" w:rsidRDefault="00271D8C" w:rsidP="000A4464">
      <w:pPr>
        <w:rPr>
          <w:rFonts w:hint="eastAsia"/>
        </w:rPr>
      </w:pPr>
    </w:p>
    <w:sectPr w:rsidR="00271D8C" w:rsidRPr="000A4464" w:rsidSect="001F62DD">
      <w:headerReference w:type="default" r:id="rId19"/>
      <w:footerReference w:type="default" r:id="rId2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13069" w14:textId="77777777" w:rsidR="00C3417D" w:rsidRDefault="00C3417D" w:rsidP="00CD53C5">
      <w:r>
        <w:separator/>
      </w:r>
    </w:p>
  </w:endnote>
  <w:endnote w:type="continuationSeparator" w:id="0">
    <w:p w14:paraId="164B6004" w14:textId="77777777" w:rsidR="00C3417D" w:rsidRDefault="00C3417D"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D3DA3BE" w14:textId="77777777" w:rsidTr="007B0BFD">
      <w:trPr>
        <w:trHeight w:val="274"/>
      </w:trPr>
      <w:tc>
        <w:tcPr>
          <w:tcW w:w="2050" w:type="dxa"/>
          <w:shd w:val="clear" w:color="auto" w:fill="auto"/>
          <w:vAlign w:val="center"/>
        </w:tcPr>
        <w:p w14:paraId="7C1D3E33"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1" type="#_x0000_t75" style="width:90.75pt;height:26.25pt;visibility:visible">
                <v:imagedata r:id="rId1" o:title=""/>
              </v:shape>
            </w:pict>
          </w:r>
        </w:p>
      </w:tc>
      <w:tc>
        <w:tcPr>
          <w:tcW w:w="3742" w:type="dxa"/>
          <w:shd w:val="clear" w:color="auto" w:fill="auto"/>
          <w:vAlign w:val="center"/>
        </w:tcPr>
        <w:p w14:paraId="08E8378C"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FA7A3A4"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70BF8FB4"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9CC48" w14:textId="77777777" w:rsidR="00C3417D" w:rsidRDefault="00C3417D" w:rsidP="00CD53C5">
      <w:r>
        <w:separator/>
      </w:r>
    </w:p>
  </w:footnote>
  <w:footnote w:type="continuationSeparator" w:id="0">
    <w:p w14:paraId="3A66C483" w14:textId="77777777" w:rsidR="00C3417D" w:rsidRDefault="00C3417D"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3D3A1AD0" w14:textId="77777777" w:rsidTr="007B0BFD">
      <w:trPr>
        <w:trHeight w:val="501"/>
      </w:trPr>
      <w:tc>
        <w:tcPr>
          <w:tcW w:w="4272" w:type="dxa"/>
          <w:shd w:val="clear" w:color="auto" w:fill="auto"/>
          <w:vAlign w:val="center"/>
        </w:tcPr>
        <w:p w14:paraId="2E644342" w14:textId="77777777" w:rsidR="001545C6" w:rsidRPr="001F62DD" w:rsidRDefault="000A4464"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774F725" w14:textId="77777777" w:rsidR="001545C6" w:rsidRPr="004D61E7" w:rsidRDefault="000A4464"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第十六章</w:t>
          </w:r>
          <w:r>
            <w:rPr>
              <w:rFonts w:ascii="微软雅黑" w:eastAsia="微软雅黑" w:hAnsi="微软雅黑"/>
              <w:sz w:val="24"/>
              <w:szCs w:val="24"/>
            </w:rPr>
            <w:t>+对集团财务报表审计的特殊考虑</w:t>
          </w:r>
        </w:p>
      </w:tc>
    </w:tr>
  </w:tbl>
  <w:p w14:paraId="79236544"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A4464"/>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A2EA2"/>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3417D"/>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E2FFDF"/>
  <w15:docId w15:val="{59F8256A-4A09-4666-B71F-1301FCFD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55907694">
      <w:bodyDiv w:val="1"/>
      <w:marLeft w:val="0"/>
      <w:marRight w:val="0"/>
      <w:marTop w:val="0"/>
      <w:marBottom w:val="0"/>
      <w:divBdr>
        <w:top w:val="none" w:sz="0" w:space="0" w:color="auto"/>
        <w:left w:val="none" w:sz="0" w:space="0" w:color="auto"/>
        <w:bottom w:val="none" w:sz="0" w:space="0" w:color="auto"/>
        <w:right w:val="none" w:sz="0" w:space="0" w:color="auto"/>
      </w:divBdr>
      <w:divsChild>
        <w:div w:id="1711416366">
          <w:marLeft w:val="0"/>
          <w:marRight w:val="0"/>
          <w:marTop w:val="0"/>
          <w:marBottom w:val="0"/>
          <w:divBdr>
            <w:top w:val="none" w:sz="0" w:space="0" w:color="auto"/>
            <w:left w:val="none" w:sz="0" w:space="0" w:color="auto"/>
            <w:bottom w:val="none" w:sz="0" w:space="0" w:color="auto"/>
            <w:right w:val="none" w:sz="0" w:space="0" w:color="auto"/>
          </w:divBdr>
          <w:divsChild>
            <w:div w:id="183828892">
              <w:marLeft w:val="0"/>
              <w:marRight w:val="0"/>
              <w:marTop w:val="0"/>
              <w:marBottom w:val="0"/>
              <w:divBdr>
                <w:top w:val="none" w:sz="0" w:space="0" w:color="auto"/>
                <w:left w:val="none" w:sz="0" w:space="0" w:color="auto"/>
                <w:bottom w:val="none" w:sz="0" w:space="0" w:color="auto"/>
                <w:right w:val="none" w:sz="0" w:space="0" w:color="auto"/>
              </w:divBdr>
              <w:divsChild>
                <w:div w:id="1837962086">
                  <w:marLeft w:val="0"/>
                  <w:marRight w:val="0"/>
                  <w:marTop w:val="0"/>
                  <w:marBottom w:val="0"/>
                  <w:divBdr>
                    <w:top w:val="none" w:sz="0" w:space="0" w:color="auto"/>
                    <w:left w:val="none" w:sz="0" w:space="0" w:color="auto"/>
                    <w:bottom w:val="none" w:sz="0" w:space="0" w:color="auto"/>
                    <w:right w:val="none" w:sz="0" w:space="0" w:color="auto"/>
                  </w:divBdr>
                  <w:divsChild>
                    <w:div w:id="1707945933">
                      <w:marLeft w:val="0"/>
                      <w:marRight w:val="0"/>
                      <w:marTop w:val="0"/>
                      <w:marBottom w:val="0"/>
                      <w:divBdr>
                        <w:top w:val="none" w:sz="0" w:space="0" w:color="auto"/>
                        <w:left w:val="none" w:sz="0" w:space="0" w:color="auto"/>
                        <w:bottom w:val="none" w:sz="0" w:space="0" w:color="auto"/>
                        <w:right w:val="none" w:sz="0" w:space="0" w:color="auto"/>
                      </w:divBdr>
                      <w:divsChild>
                        <w:div w:id="24333625">
                          <w:marLeft w:val="0"/>
                          <w:marRight w:val="0"/>
                          <w:marTop w:val="0"/>
                          <w:marBottom w:val="0"/>
                          <w:divBdr>
                            <w:top w:val="none" w:sz="0" w:space="0" w:color="auto"/>
                            <w:left w:val="none" w:sz="0" w:space="0" w:color="auto"/>
                            <w:bottom w:val="none" w:sz="0" w:space="0" w:color="auto"/>
                            <w:right w:val="none" w:sz="0" w:space="0" w:color="auto"/>
                          </w:divBdr>
                        </w:div>
                        <w:div w:id="26877971">
                          <w:marLeft w:val="0"/>
                          <w:marRight w:val="0"/>
                          <w:marTop w:val="0"/>
                          <w:marBottom w:val="0"/>
                          <w:divBdr>
                            <w:top w:val="none" w:sz="0" w:space="0" w:color="auto"/>
                            <w:left w:val="none" w:sz="0" w:space="0" w:color="auto"/>
                            <w:bottom w:val="none" w:sz="0" w:space="0" w:color="auto"/>
                            <w:right w:val="none" w:sz="0" w:space="0" w:color="auto"/>
                          </w:divBdr>
                        </w:div>
                        <w:div w:id="336811418">
                          <w:marLeft w:val="0"/>
                          <w:marRight w:val="0"/>
                          <w:marTop w:val="0"/>
                          <w:marBottom w:val="0"/>
                          <w:divBdr>
                            <w:top w:val="none" w:sz="0" w:space="0" w:color="auto"/>
                            <w:left w:val="none" w:sz="0" w:space="0" w:color="auto"/>
                            <w:bottom w:val="none" w:sz="0" w:space="0" w:color="auto"/>
                            <w:right w:val="none" w:sz="0" w:space="0" w:color="auto"/>
                          </w:divBdr>
                        </w:div>
                        <w:div w:id="364331463">
                          <w:marLeft w:val="0"/>
                          <w:marRight w:val="0"/>
                          <w:marTop w:val="0"/>
                          <w:marBottom w:val="0"/>
                          <w:divBdr>
                            <w:top w:val="none" w:sz="0" w:space="0" w:color="auto"/>
                            <w:left w:val="none" w:sz="0" w:space="0" w:color="auto"/>
                            <w:bottom w:val="none" w:sz="0" w:space="0" w:color="auto"/>
                            <w:right w:val="none" w:sz="0" w:space="0" w:color="auto"/>
                          </w:divBdr>
                        </w:div>
                        <w:div w:id="372774470">
                          <w:marLeft w:val="0"/>
                          <w:marRight w:val="0"/>
                          <w:marTop w:val="0"/>
                          <w:marBottom w:val="0"/>
                          <w:divBdr>
                            <w:top w:val="none" w:sz="0" w:space="0" w:color="auto"/>
                            <w:left w:val="none" w:sz="0" w:space="0" w:color="auto"/>
                            <w:bottom w:val="none" w:sz="0" w:space="0" w:color="auto"/>
                            <w:right w:val="none" w:sz="0" w:space="0" w:color="auto"/>
                          </w:divBdr>
                        </w:div>
                        <w:div w:id="487288572">
                          <w:marLeft w:val="0"/>
                          <w:marRight w:val="0"/>
                          <w:marTop w:val="0"/>
                          <w:marBottom w:val="0"/>
                          <w:divBdr>
                            <w:top w:val="none" w:sz="0" w:space="0" w:color="auto"/>
                            <w:left w:val="none" w:sz="0" w:space="0" w:color="auto"/>
                            <w:bottom w:val="none" w:sz="0" w:space="0" w:color="auto"/>
                            <w:right w:val="none" w:sz="0" w:space="0" w:color="auto"/>
                          </w:divBdr>
                        </w:div>
                        <w:div w:id="855774136">
                          <w:marLeft w:val="0"/>
                          <w:marRight w:val="0"/>
                          <w:marTop w:val="0"/>
                          <w:marBottom w:val="0"/>
                          <w:divBdr>
                            <w:top w:val="none" w:sz="0" w:space="0" w:color="auto"/>
                            <w:left w:val="none" w:sz="0" w:space="0" w:color="auto"/>
                            <w:bottom w:val="none" w:sz="0" w:space="0" w:color="auto"/>
                            <w:right w:val="none" w:sz="0" w:space="0" w:color="auto"/>
                          </w:divBdr>
                        </w:div>
                        <w:div w:id="924919143">
                          <w:marLeft w:val="0"/>
                          <w:marRight w:val="0"/>
                          <w:marTop w:val="0"/>
                          <w:marBottom w:val="0"/>
                          <w:divBdr>
                            <w:top w:val="none" w:sz="0" w:space="0" w:color="auto"/>
                            <w:left w:val="none" w:sz="0" w:space="0" w:color="auto"/>
                            <w:bottom w:val="none" w:sz="0" w:space="0" w:color="auto"/>
                            <w:right w:val="none" w:sz="0" w:space="0" w:color="auto"/>
                          </w:divBdr>
                        </w:div>
                        <w:div w:id="1046417738">
                          <w:marLeft w:val="0"/>
                          <w:marRight w:val="0"/>
                          <w:marTop w:val="0"/>
                          <w:marBottom w:val="0"/>
                          <w:divBdr>
                            <w:top w:val="none" w:sz="0" w:space="0" w:color="auto"/>
                            <w:left w:val="none" w:sz="0" w:space="0" w:color="auto"/>
                            <w:bottom w:val="none" w:sz="0" w:space="0" w:color="auto"/>
                            <w:right w:val="none" w:sz="0" w:space="0" w:color="auto"/>
                          </w:divBdr>
                        </w:div>
                        <w:div w:id="1199002770">
                          <w:marLeft w:val="0"/>
                          <w:marRight w:val="0"/>
                          <w:marTop w:val="0"/>
                          <w:marBottom w:val="0"/>
                          <w:divBdr>
                            <w:top w:val="none" w:sz="0" w:space="0" w:color="auto"/>
                            <w:left w:val="none" w:sz="0" w:space="0" w:color="auto"/>
                            <w:bottom w:val="none" w:sz="0" w:space="0" w:color="auto"/>
                            <w:right w:val="none" w:sz="0" w:space="0" w:color="auto"/>
                          </w:divBdr>
                        </w:div>
                        <w:div w:id="1486774618">
                          <w:marLeft w:val="0"/>
                          <w:marRight w:val="0"/>
                          <w:marTop w:val="0"/>
                          <w:marBottom w:val="0"/>
                          <w:divBdr>
                            <w:top w:val="none" w:sz="0" w:space="0" w:color="auto"/>
                            <w:left w:val="none" w:sz="0" w:space="0" w:color="auto"/>
                            <w:bottom w:val="none" w:sz="0" w:space="0" w:color="auto"/>
                            <w:right w:val="none" w:sz="0" w:space="0" w:color="auto"/>
                          </w:divBdr>
                        </w:div>
                        <w:div w:id="1563250669">
                          <w:marLeft w:val="0"/>
                          <w:marRight w:val="0"/>
                          <w:marTop w:val="0"/>
                          <w:marBottom w:val="0"/>
                          <w:divBdr>
                            <w:top w:val="none" w:sz="0" w:space="0" w:color="auto"/>
                            <w:left w:val="none" w:sz="0" w:space="0" w:color="auto"/>
                            <w:bottom w:val="none" w:sz="0" w:space="0" w:color="auto"/>
                            <w:right w:val="none" w:sz="0" w:space="0" w:color="auto"/>
                          </w:divBdr>
                        </w:div>
                        <w:div w:id="1676834650">
                          <w:marLeft w:val="0"/>
                          <w:marRight w:val="0"/>
                          <w:marTop w:val="0"/>
                          <w:marBottom w:val="0"/>
                          <w:divBdr>
                            <w:top w:val="none" w:sz="0" w:space="0" w:color="auto"/>
                            <w:left w:val="none" w:sz="0" w:space="0" w:color="auto"/>
                            <w:bottom w:val="none" w:sz="0" w:space="0" w:color="auto"/>
                            <w:right w:val="none" w:sz="0" w:space="0" w:color="auto"/>
                          </w:divBdr>
                        </w:div>
                        <w:div w:id="1959606938">
                          <w:marLeft w:val="0"/>
                          <w:marRight w:val="0"/>
                          <w:marTop w:val="0"/>
                          <w:marBottom w:val="0"/>
                          <w:divBdr>
                            <w:top w:val="none" w:sz="0" w:space="0" w:color="auto"/>
                            <w:left w:val="none" w:sz="0" w:space="0" w:color="auto"/>
                            <w:bottom w:val="none" w:sz="0" w:space="0" w:color="auto"/>
                            <w:right w:val="none" w:sz="0" w:space="0" w:color="auto"/>
                          </w:divBdr>
                        </w:div>
                        <w:div w:id="2116708024">
                          <w:marLeft w:val="0"/>
                          <w:marRight w:val="0"/>
                          <w:marTop w:val="0"/>
                          <w:marBottom w:val="0"/>
                          <w:divBdr>
                            <w:top w:val="none" w:sz="0" w:space="0" w:color="auto"/>
                            <w:left w:val="none" w:sz="0" w:space="0" w:color="auto"/>
                            <w:bottom w:val="none" w:sz="0" w:space="0" w:color="auto"/>
                            <w:right w:val="none" w:sz="0" w:space="0" w:color="auto"/>
                          </w:divBdr>
                        </w:div>
                        <w:div w:id="21307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18/20190618100223131001.png" TargetMode="External"/><Relationship Id="rId13" Type="http://schemas.openxmlformats.org/officeDocument/2006/relationships/image" Target="media/image4.png"/><Relationship Id="rId18" Type="http://schemas.openxmlformats.org/officeDocument/2006/relationships/image" Target="http://webupload.admin.dongao.com/biz/handout/img/2019/20190618/20190618100223795006.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http://webupload.admin.dongao.com/biz/handout/img/2019/20190618/2019061810022376700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webupload.admin.dongao.com/biz/handout/img/2019/20190618/20190618100223584005.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618/20190618100223271002.p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18/20190618100223782004.p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BE9EF-8DFA-40A8-88F5-7B03329F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