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87799" w14:textId="77777777" w:rsidR="00915774" w:rsidRDefault="00915774" w:rsidP="00915774">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第十六章</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对集团财务报表审计的特殊考虑</w:t>
      </w:r>
    </w:p>
    <w:p w14:paraId="67A0F468" w14:textId="77777777" w:rsidR="00915774" w:rsidRDefault="00915774" w:rsidP="00915774">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4CD3318" w14:textId="77777777" w:rsidR="00915774" w:rsidRDefault="00915774" w:rsidP="00915774">
      <w:pPr>
        <w:pStyle w:val="aa"/>
        <w:shd w:val="clear" w:color="auto" w:fill="FFFFFF"/>
        <w:spacing w:before="312" w:beforeAutospacing="0" w:after="312" w:afterAutospacing="0"/>
        <w:jc w:val="center"/>
        <w:rPr>
          <w:color w:val="3F3F3F"/>
        </w:rPr>
      </w:pPr>
      <w:r>
        <w:rPr>
          <w:rFonts w:hint="eastAsia"/>
          <w:b/>
          <w:bCs/>
          <w:color w:val="3F3F3F"/>
          <w:sz w:val="28"/>
          <w:szCs w:val="28"/>
        </w:rPr>
        <w:t>第三部分　集团财务报表审计的风险评估与应对</w:t>
      </w:r>
    </w:p>
    <w:p w14:paraId="6F2DD61D" w14:textId="77777777" w:rsidR="00915774" w:rsidRDefault="00915774" w:rsidP="00915774">
      <w:pPr>
        <w:pStyle w:val="aa"/>
        <w:shd w:val="clear" w:color="auto" w:fill="FFFFFF"/>
        <w:spacing w:before="0" w:beforeAutospacing="0" w:after="0" w:afterAutospacing="0"/>
        <w:ind w:firstLine="422"/>
        <w:jc w:val="both"/>
        <w:rPr>
          <w:rFonts w:ascii="Calibri" w:eastAsia="微软雅黑" w:hAnsi="Calibri" w:cs="Calibri" w:hint="eastAsia"/>
          <w:color w:val="3F3F3F"/>
          <w:sz w:val="21"/>
          <w:szCs w:val="21"/>
        </w:rPr>
      </w:pPr>
      <w:r>
        <w:rPr>
          <w:rFonts w:cs="Calibri" w:hint="eastAsia"/>
          <w:b/>
          <w:bCs/>
          <w:color w:val="3F3F3F"/>
          <w:sz w:val="21"/>
          <w:szCs w:val="21"/>
        </w:rPr>
        <w:t>三、针对评估的风险采取的应对措施</w:t>
      </w:r>
    </w:p>
    <w:p w14:paraId="4C7C11CB"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集团项目组</w:t>
      </w:r>
      <w:r>
        <w:rPr>
          <w:rFonts w:cs="Calibri" w:hint="eastAsia"/>
          <w:b/>
          <w:bCs/>
          <w:color w:val="FF0000"/>
          <w:sz w:val="21"/>
          <w:szCs w:val="21"/>
        </w:rPr>
        <w:t>应当确定</w:t>
      </w:r>
      <w:r>
        <w:rPr>
          <w:rFonts w:cs="Calibri" w:hint="eastAsia"/>
          <w:color w:val="3F3F3F"/>
          <w:sz w:val="21"/>
          <w:szCs w:val="21"/>
        </w:rPr>
        <w:t>由其亲自执行或由组成部分注册会计师代为执行的工作的类型。</w:t>
      </w:r>
    </w:p>
    <w:p w14:paraId="4EC36AF1" w14:textId="77777777" w:rsidR="00915774" w:rsidRDefault="00915774" w:rsidP="0091577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"http://webupload.admin.dongao.com/biz/handout/img/2019/20190617/20190617172225663001.png"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174.75pt">
            <v:imagedata r:id="rId7" r:href="rId8"/>
          </v:shape>
        </w:pict>
      </w:r>
      <w:r>
        <w:rPr>
          <w:rFonts w:ascii="Calibri" w:eastAsia="微软雅黑" w:hAnsi="Calibri" w:cs="Calibri"/>
          <w:color w:val="3F3F3F"/>
          <w:sz w:val="21"/>
          <w:szCs w:val="21"/>
        </w:rPr>
        <w:fldChar w:fldCharType="end"/>
      </w:r>
    </w:p>
    <w:p w14:paraId="39EA835B"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1.对组成部分执行工作</w:t>
      </w:r>
      <w:r>
        <w:rPr>
          <w:rFonts w:cs="Calibri" w:hint="eastAsia"/>
          <w:b/>
          <w:bCs/>
          <w:color w:val="FF0000"/>
          <w:sz w:val="21"/>
          <w:szCs w:val="21"/>
        </w:rPr>
        <w:t>【简答题/综合题必考点】[背记]</w:t>
      </w:r>
    </w:p>
    <w:p w14:paraId="74BE11CC" w14:textId="77777777" w:rsidR="00915774" w:rsidRDefault="00915774" w:rsidP="0091577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"http://webupload.admin.dongao.com/biz/handout/img/2019/20190617/20190617172225627002.png"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420pt;height:211.5pt">
            <v:imagedata r:id="rId9" r:href="rId10"/>
          </v:shape>
        </w:pict>
      </w:r>
      <w:r>
        <w:rPr>
          <w:rFonts w:ascii="Calibri" w:eastAsia="微软雅黑" w:hAnsi="Calibri" w:cs="Calibri"/>
          <w:color w:val="3F3F3F"/>
          <w:sz w:val="21"/>
          <w:szCs w:val="21"/>
        </w:rPr>
        <w:fldChar w:fldCharType="end"/>
      </w:r>
    </w:p>
    <w:tbl>
      <w:tblPr>
        <w:tblW w:w="8505" w:type="dxa"/>
        <w:jc w:val="center"/>
        <w:tblCellMar>
          <w:left w:w="0" w:type="dxa"/>
          <w:right w:w="0" w:type="dxa"/>
        </w:tblCellMar>
        <w:tblLook w:val="04A0" w:firstRow="1" w:lastRow="0" w:firstColumn="1" w:lastColumn="0" w:noHBand="0" w:noVBand="1"/>
      </w:tblPr>
      <w:tblGrid>
        <w:gridCol w:w="1000"/>
        <w:gridCol w:w="1330"/>
        <w:gridCol w:w="6175"/>
      </w:tblGrid>
      <w:tr w:rsidR="00915774" w14:paraId="6FAE4927" w14:textId="77777777" w:rsidTr="00915774">
        <w:trPr>
          <w:trHeight w:val="412"/>
          <w:jc w:val="center"/>
        </w:trPr>
        <w:tc>
          <w:tcPr>
            <w:tcW w:w="233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BDB3D9"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组成部分类型</w:t>
            </w:r>
          </w:p>
        </w:tc>
        <w:tc>
          <w:tcPr>
            <w:tcW w:w="617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AA965AC"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程序</w:t>
            </w:r>
          </w:p>
        </w:tc>
      </w:tr>
      <w:tr w:rsidR="00915774" w14:paraId="4EA2063F" w14:textId="77777777" w:rsidTr="00915774">
        <w:trPr>
          <w:trHeight w:val="776"/>
          <w:jc w:val="center"/>
        </w:trPr>
        <w:tc>
          <w:tcPr>
            <w:tcW w:w="100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395CED"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重要组成部分</w:t>
            </w:r>
          </w:p>
        </w:tc>
        <w:tc>
          <w:tcPr>
            <w:tcW w:w="1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AE980A"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财务</w:t>
            </w:r>
          </w:p>
          <w:p w14:paraId="380B63FE"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重大性</w:t>
            </w:r>
          </w:p>
        </w:tc>
        <w:tc>
          <w:tcPr>
            <w:tcW w:w="61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07CF22"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由集团项目组或组成部分注册会计师运用该</w:t>
            </w:r>
            <w:r>
              <w:rPr>
                <w:rFonts w:cs="Calibri" w:hint="eastAsia"/>
                <w:b/>
                <w:bCs/>
                <w:color w:val="FF0000"/>
                <w:sz w:val="21"/>
                <w:szCs w:val="21"/>
              </w:rPr>
              <w:t>组成部分重要性</w:t>
            </w:r>
            <w:r>
              <w:rPr>
                <w:rFonts w:cs="Calibri" w:hint="eastAsia"/>
                <w:color w:val="333333"/>
                <w:sz w:val="21"/>
                <w:szCs w:val="21"/>
              </w:rPr>
              <w:t>对该组成部分财务信息</w:t>
            </w:r>
            <w:r>
              <w:rPr>
                <w:rFonts w:cs="Calibri" w:hint="eastAsia"/>
                <w:b/>
                <w:bCs/>
                <w:color w:val="FF0000"/>
                <w:sz w:val="21"/>
                <w:szCs w:val="21"/>
              </w:rPr>
              <w:t>实施审计</w:t>
            </w:r>
          </w:p>
        </w:tc>
      </w:tr>
      <w:tr w:rsidR="00915774" w14:paraId="408FC5BD" w14:textId="77777777" w:rsidTr="00915774">
        <w:trPr>
          <w:trHeight w:val="2117"/>
          <w:jc w:val="center"/>
        </w:trPr>
        <w:tc>
          <w:tcPr>
            <w:tcW w:w="0" w:type="auto"/>
            <w:vMerge/>
            <w:tcBorders>
              <w:top w:val="nil"/>
              <w:left w:val="single" w:sz="8" w:space="0" w:color="auto"/>
              <w:bottom w:val="single" w:sz="8" w:space="0" w:color="auto"/>
              <w:right w:val="single" w:sz="8" w:space="0" w:color="auto"/>
            </w:tcBorders>
            <w:vAlign w:val="center"/>
            <w:hideMark/>
          </w:tcPr>
          <w:p w14:paraId="38D66FE3" w14:textId="77777777" w:rsidR="00915774" w:rsidRDefault="00915774" w:rsidP="00915774">
            <w:pPr>
              <w:rPr>
                <w:rFonts w:eastAsia="微软雅黑" w:cs="Calibri"/>
                <w:color w:val="333333"/>
                <w:szCs w:val="21"/>
              </w:rPr>
            </w:pPr>
          </w:p>
        </w:tc>
        <w:tc>
          <w:tcPr>
            <w:tcW w:w="1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8F1881"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特别</w:t>
            </w:r>
          </w:p>
          <w:p w14:paraId="2DABD9D1"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风险</w:t>
            </w:r>
          </w:p>
        </w:tc>
        <w:tc>
          <w:tcPr>
            <w:tcW w:w="61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CFEF4F"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执行下列一项或多项工作：</w:t>
            </w:r>
          </w:p>
          <w:p w14:paraId="281C6F02"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a）使用组成部分重要性对该组成部分</w:t>
            </w:r>
            <w:r>
              <w:rPr>
                <w:rFonts w:cs="Calibri" w:hint="eastAsia"/>
                <w:b/>
                <w:bCs/>
                <w:color w:val="FF0000"/>
                <w:sz w:val="21"/>
                <w:szCs w:val="21"/>
              </w:rPr>
              <w:t>实施审计</w:t>
            </w:r>
          </w:p>
          <w:p w14:paraId="65DB7A3D"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b）针对与可能导致集团财务报表发生重大错报的</w:t>
            </w:r>
            <w:r>
              <w:rPr>
                <w:rFonts w:cs="Calibri" w:hint="eastAsia"/>
                <w:b/>
                <w:bCs/>
                <w:color w:val="FF0000"/>
                <w:sz w:val="21"/>
                <w:szCs w:val="21"/>
              </w:rPr>
              <w:t>特别风险相关</w:t>
            </w:r>
            <w:r>
              <w:rPr>
                <w:rFonts w:cs="Calibri" w:hint="eastAsia"/>
                <w:color w:val="333333"/>
                <w:sz w:val="21"/>
                <w:szCs w:val="21"/>
              </w:rPr>
              <w:t>的一个或多个账户余额、一类或多类交易或披露事项实施审计</w:t>
            </w:r>
          </w:p>
          <w:p w14:paraId="2FED602F"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c）针对可能导致集团财务报表发生重大错报的特别风险实施</w:t>
            </w:r>
            <w:r>
              <w:rPr>
                <w:rFonts w:cs="Calibri" w:hint="eastAsia"/>
                <w:b/>
                <w:bCs/>
                <w:color w:val="FF0000"/>
                <w:sz w:val="21"/>
                <w:szCs w:val="21"/>
              </w:rPr>
              <w:t>特定的审计程序</w:t>
            </w:r>
          </w:p>
        </w:tc>
      </w:tr>
      <w:tr w:rsidR="00915774" w14:paraId="53F85666" w14:textId="77777777" w:rsidTr="00915774">
        <w:trPr>
          <w:trHeight w:val="412"/>
          <w:jc w:val="center"/>
        </w:trPr>
        <w:tc>
          <w:tcPr>
            <w:tcW w:w="233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A1B541"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非重要组成部分</w:t>
            </w:r>
          </w:p>
        </w:tc>
        <w:tc>
          <w:tcPr>
            <w:tcW w:w="61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B37765"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集团项目组应当在</w:t>
            </w:r>
            <w:r>
              <w:rPr>
                <w:rFonts w:cs="Calibri" w:hint="eastAsia"/>
                <w:b/>
                <w:bCs/>
                <w:color w:val="FF0000"/>
                <w:sz w:val="21"/>
                <w:szCs w:val="21"/>
              </w:rPr>
              <w:t>集团层面实施分析程序</w:t>
            </w:r>
          </w:p>
        </w:tc>
      </w:tr>
    </w:tbl>
    <w:p w14:paraId="791778CB"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2.已执行工作不能提供充分、适当审计证据</w:t>
      </w:r>
      <w:r>
        <w:rPr>
          <w:rFonts w:cs="Calibri" w:hint="eastAsia"/>
          <w:b/>
          <w:bCs/>
          <w:color w:val="FF0000"/>
          <w:sz w:val="21"/>
          <w:szCs w:val="21"/>
        </w:rPr>
        <w:t>【简答题/综合题必考点】[背记]</w:t>
      </w:r>
    </w:p>
    <w:p w14:paraId="1481F99C"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应选择某些</w:t>
      </w:r>
      <w:r>
        <w:rPr>
          <w:rFonts w:cs="Calibri" w:hint="eastAsia"/>
          <w:b/>
          <w:bCs/>
          <w:color w:val="FF0000"/>
          <w:sz w:val="21"/>
          <w:szCs w:val="21"/>
        </w:rPr>
        <w:t>不重要</w:t>
      </w:r>
      <w:r>
        <w:rPr>
          <w:rFonts w:cs="Calibri" w:hint="eastAsia"/>
          <w:color w:val="3F3F3F"/>
          <w:sz w:val="21"/>
          <w:szCs w:val="21"/>
        </w:rPr>
        <w:t>的组成部分执行下列一项或多项工作：</w:t>
      </w:r>
    </w:p>
    <w:p w14:paraId="5951A4DF" w14:textId="77777777" w:rsidR="00915774" w:rsidRDefault="00915774" w:rsidP="0091577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（1）使用该组成部分重要性对组成部分</w:t>
      </w:r>
      <w:r>
        <w:rPr>
          <w:rFonts w:cs="Calibri" w:hint="eastAsia"/>
          <w:b/>
          <w:bCs/>
          <w:color w:val="FF0000"/>
          <w:sz w:val="21"/>
          <w:szCs w:val="21"/>
        </w:rPr>
        <w:t>实施审计</w:t>
      </w:r>
      <w:r>
        <w:rPr>
          <w:rFonts w:cs="Calibri" w:hint="eastAsia"/>
          <w:color w:val="3F3F3F"/>
          <w:sz w:val="21"/>
          <w:szCs w:val="21"/>
        </w:rPr>
        <w:t>；</w:t>
      </w:r>
    </w:p>
    <w:p w14:paraId="2C2ED8A1" w14:textId="77777777" w:rsidR="00915774" w:rsidRDefault="00915774" w:rsidP="0091577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（2）对一个或多个账户余额、一类或多类交易或披露</w:t>
      </w:r>
      <w:r>
        <w:rPr>
          <w:rFonts w:cs="Calibri" w:hint="eastAsia"/>
          <w:b/>
          <w:bCs/>
          <w:color w:val="FF0000"/>
          <w:sz w:val="21"/>
          <w:szCs w:val="21"/>
        </w:rPr>
        <w:t>实施审计</w:t>
      </w:r>
      <w:r>
        <w:rPr>
          <w:rFonts w:cs="Calibri" w:hint="eastAsia"/>
          <w:color w:val="3F3F3F"/>
          <w:sz w:val="21"/>
          <w:szCs w:val="21"/>
        </w:rPr>
        <w:t>；</w:t>
      </w:r>
    </w:p>
    <w:p w14:paraId="1C395542" w14:textId="77777777" w:rsidR="00915774" w:rsidRDefault="00915774" w:rsidP="0091577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（3）使用组成部分重要性对组成部分</w:t>
      </w:r>
      <w:r>
        <w:rPr>
          <w:rFonts w:cs="Calibri" w:hint="eastAsia"/>
          <w:b/>
          <w:bCs/>
          <w:color w:val="FF0000"/>
          <w:sz w:val="21"/>
          <w:szCs w:val="21"/>
        </w:rPr>
        <w:t>实施审阅</w:t>
      </w:r>
      <w:r>
        <w:rPr>
          <w:rFonts w:cs="Calibri" w:hint="eastAsia"/>
          <w:color w:val="3F3F3F"/>
          <w:sz w:val="21"/>
          <w:szCs w:val="21"/>
        </w:rPr>
        <w:t>；</w:t>
      </w:r>
    </w:p>
    <w:p w14:paraId="5E88845D" w14:textId="77777777" w:rsidR="00915774" w:rsidRDefault="00915774" w:rsidP="0091577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w:t>
      </w:r>
      <w:r>
        <w:rPr>
          <w:rFonts w:cs="Calibri" w:hint="eastAsia"/>
          <w:b/>
          <w:bCs/>
          <w:color w:val="FF0000"/>
          <w:sz w:val="21"/>
          <w:szCs w:val="21"/>
        </w:rPr>
        <w:t>实施特定</w:t>
      </w:r>
      <w:r>
        <w:rPr>
          <w:rFonts w:cs="Calibri" w:hint="eastAsia"/>
          <w:color w:val="3F3F3F"/>
          <w:sz w:val="21"/>
          <w:szCs w:val="21"/>
        </w:rPr>
        <w:t>程序。</w:t>
      </w:r>
    </w:p>
    <w:p w14:paraId="364AD740" w14:textId="77777777" w:rsidR="00915774" w:rsidRDefault="00915774" w:rsidP="0091577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"http://webupload.admin.dongao.com/biz/handout/img/2019/20190617/20190617172225489003.png"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420pt;height:184.5pt">
            <v:imagedata r:id="rId11" r:href="rId12"/>
          </v:shape>
        </w:pict>
      </w:r>
      <w:r>
        <w:rPr>
          <w:rFonts w:ascii="Calibri" w:eastAsia="微软雅黑" w:hAnsi="Calibri" w:cs="Calibri"/>
          <w:color w:val="3F3F3F"/>
          <w:sz w:val="21"/>
          <w:szCs w:val="21"/>
        </w:rPr>
        <w:fldChar w:fldCharType="end"/>
      </w:r>
    </w:p>
    <w:p w14:paraId="70308891"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3.参与组成部分注册会计师的工作</w:t>
      </w:r>
    </w:p>
    <w:p w14:paraId="10F4061C" w14:textId="77777777" w:rsidR="00915774" w:rsidRDefault="00915774" w:rsidP="0091577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（1）对注册会计师的要求</w:t>
      </w:r>
      <w:r>
        <w:rPr>
          <w:rFonts w:cs="Calibri" w:hint="eastAsia"/>
          <w:b/>
          <w:bCs/>
          <w:color w:val="FF0000"/>
          <w:sz w:val="21"/>
          <w:szCs w:val="21"/>
        </w:rPr>
        <w:t>[简答题/多选题考点][背记]</w:t>
      </w:r>
    </w:p>
    <w:tbl>
      <w:tblPr>
        <w:tblW w:w="8505" w:type="dxa"/>
        <w:jc w:val="center"/>
        <w:tblCellMar>
          <w:left w:w="0" w:type="dxa"/>
          <w:right w:w="0" w:type="dxa"/>
        </w:tblCellMar>
        <w:tblLook w:val="04A0" w:firstRow="1" w:lastRow="0" w:firstColumn="1" w:lastColumn="0" w:noHBand="0" w:noVBand="1"/>
      </w:tblPr>
      <w:tblGrid>
        <w:gridCol w:w="849"/>
        <w:gridCol w:w="847"/>
        <w:gridCol w:w="6809"/>
      </w:tblGrid>
      <w:tr w:rsidR="00915774" w14:paraId="2D72CE2D" w14:textId="77777777" w:rsidTr="00915774">
        <w:trPr>
          <w:trHeight w:val="372"/>
          <w:jc w:val="center"/>
        </w:trPr>
        <w:tc>
          <w:tcPr>
            <w:tcW w:w="1696"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9B1525"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参与类型</w:t>
            </w:r>
          </w:p>
        </w:tc>
        <w:tc>
          <w:tcPr>
            <w:tcW w:w="68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4871663"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915774" w14:paraId="1DBE7F93" w14:textId="77777777" w:rsidTr="00915774">
        <w:trPr>
          <w:trHeight w:val="2684"/>
          <w:jc w:val="center"/>
        </w:trPr>
        <w:tc>
          <w:tcPr>
            <w:tcW w:w="849"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5C51A4"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重要组成部分</w:t>
            </w:r>
          </w:p>
        </w:tc>
        <w:tc>
          <w:tcPr>
            <w:tcW w:w="8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B4CA61"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风险</w:t>
            </w:r>
          </w:p>
          <w:p w14:paraId="4AC4E838"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评估</w:t>
            </w:r>
          </w:p>
        </w:tc>
        <w:tc>
          <w:tcPr>
            <w:tcW w:w="68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0D8548"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集团项目组</w:t>
            </w:r>
            <w:r>
              <w:rPr>
                <w:rFonts w:cs="Calibri" w:hint="eastAsia"/>
                <w:b/>
                <w:bCs/>
                <w:color w:val="FF0000"/>
                <w:sz w:val="21"/>
                <w:szCs w:val="21"/>
              </w:rPr>
              <w:t>应当参与</w:t>
            </w:r>
            <w:r>
              <w:rPr>
                <w:rFonts w:cs="Calibri" w:hint="eastAsia"/>
                <w:color w:val="333333"/>
                <w:sz w:val="21"/>
                <w:szCs w:val="21"/>
              </w:rPr>
              <w:t>组成部分注册会计师实施的</w:t>
            </w:r>
            <w:r>
              <w:rPr>
                <w:rFonts w:cs="Calibri" w:hint="eastAsia"/>
                <w:b/>
                <w:bCs/>
                <w:color w:val="FF0000"/>
                <w:sz w:val="21"/>
                <w:szCs w:val="21"/>
              </w:rPr>
              <w:t>风险评估程序</w:t>
            </w:r>
            <w:r>
              <w:rPr>
                <w:rFonts w:cs="Calibri" w:hint="eastAsia"/>
                <w:color w:val="333333"/>
                <w:sz w:val="21"/>
                <w:szCs w:val="21"/>
              </w:rPr>
              <w:t>，以识别导致集团财务报表发生重大错报的特别风险</w:t>
            </w:r>
          </w:p>
          <w:p w14:paraId="44BF0C4C"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a）与组成部分注册会计师或组成部分管理层</w:t>
            </w:r>
            <w:r>
              <w:rPr>
                <w:rFonts w:cs="Calibri" w:hint="eastAsia"/>
                <w:b/>
                <w:bCs/>
                <w:color w:val="FF0000"/>
                <w:sz w:val="21"/>
                <w:szCs w:val="21"/>
              </w:rPr>
              <w:t>讨论</w:t>
            </w:r>
            <w:r>
              <w:rPr>
                <w:rFonts w:cs="Calibri" w:hint="eastAsia"/>
                <w:color w:val="333333"/>
                <w:sz w:val="21"/>
                <w:szCs w:val="21"/>
              </w:rPr>
              <w:t>对集团而言重要的组成部分</w:t>
            </w:r>
            <w:r>
              <w:rPr>
                <w:rFonts w:cs="Calibri" w:hint="eastAsia"/>
                <w:b/>
                <w:bCs/>
                <w:color w:val="FF0000"/>
                <w:sz w:val="21"/>
                <w:szCs w:val="21"/>
              </w:rPr>
              <w:t>业务活动</w:t>
            </w:r>
          </w:p>
          <w:p w14:paraId="7047A43C"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b）与组成部分注册会计师讨论由于舞弊或错误导致组成部分财务信息发生</w:t>
            </w:r>
            <w:r>
              <w:rPr>
                <w:rFonts w:cs="Calibri" w:hint="eastAsia"/>
                <w:b/>
                <w:bCs/>
                <w:color w:val="FF0000"/>
                <w:sz w:val="21"/>
                <w:szCs w:val="21"/>
              </w:rPr>
              <w:t>重大错报</w:t>
            </w:r>
            <w:r>
              <w:rPr>
                <w:rFonts w:cs="Calibri" w:hint="eastAsia"/>
                <w:color w:val="333333"/>
                <w:sz w:val="21"/>
                <w:szCs w:val="21"/>
              </w:rPr>
              <w:t>的可能性</w:t>
            </w:r>
          </w:p>
          <w:p w14:paraId="07748FD4"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c）复核组成部分注册会计师对识别出的导致集团财务报表发生重大错报的特别风险形成的</w:t>
            </w:r>
            <w:r>
              <w:rPr>
                <w:rFonts w:cs="Calibri" w:hint="eastAsia"/>
                <w:b/>
                <w:bCs/>
                <w:color w:val="FF0000"/>
                <w:sz w:val="21"/>
                <w:szCs w:val="21"/>
              </w:rPr>
              <w:t>审计工作底稿</w:t>
            </w:r>
          </w:p>
        </w:tc>
      </w:tr>
      <w:tr w:rsidR="00915774" w14:paraId="4C1A1444" w14:textId="77777777" w:rsidTr="00915774">
        <w:trPr>
          <w:trHeight w:val="2114"/>
          <w:jc w:val="center"/>
        </w:trPr>
        <w:tc>
          <w:tcPr>
            <w:tcW w:w="0" w:type="auto"/>
            <w:vMerge/>
            <w:tcBorders>
              <w:top w:val="nil"/>
              <w:left w:val="single" w:sz="8" w:space="0" w:color="auto"/>
              <w:bottom w:val="single" w:sz="8" w:space="0" w:color="auto"/>
              <w:right w:val="single" w:sz="8" w:space="0" w:color="auto"/>
            </w:tcBorders>
            <w:vAlign w:val="center"/>
            <w:hideMark/>
          </w:tcPr>
          <w:p w14:paraId="3030EFCA" w14:textId="77777777" w:rsidR="00915774" w:rsidRDefault="00915774" w:rsidP="00915774">
            <w:pPr>
              <w:rPr>
                <w:rFonts w:eastAsia="微软雅黑" w:cs="Calibri"/>
                <w:color w:val="333333"/>
                <w:szCs w:val="21"/>
              </w:rPr>
            </w:pPr>
          </w:p>
        </w:tc>
        <w:tc>
          <w:tcPr>
            <w:tcW w:w="8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6BD380"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特别</w:t>
            </w:r>
          </w:p>
          <w:p w14:paraId="239DBB68"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风险</w:t>
            </w:r>
          </w:p>
        </w:tc>
        <w:tc>
          <w:tcPr>
            <w:tcW w:w="68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2B3974"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集团项目组</w:t>
            </w:r>
            <w:r>
              <w:rPr>
                <w:rFonts w:cs="Calibri" w:hint="eastAsia"/>
                <w:b/>
                <w:bCs/>
                <w:color w:val="FF0000"/>
                <w:sz w:val="21"/>
                <w:szCs w:val="21"/>
              </w:rPr>
              <w:t>应当评价</w:t>
            </w:r>
            <w:r>
              <w:rPr>
                <w:rFonts w:cs="Calibri" w:hint="eastAsia"/>
                <w:color w:val="333333"/>
                <w:sz w:val="21"/>
                <w:szCs w:val="21"/>
              </w:rPr>
              <w:t>针对识别出的特别风险拟实施的进一步审计程序的</w:t>
            </w:r>
            <w:r>
              <w:rPr>
                <w:rFonts w:cs="Calibri" w:hint="eastAsia"/>
                <w:b/>
                <w:bCs/>
                <w:color w:val="FF0000"/>
                <w:sz w:val="21"/>
                <w:szCs w:val="21"/>
              </w:rPr>
              <w:t>恰当性</w:t>
            </w:r>
            <w:r>
              <w:rPr>
                <w:rFonts w:cs="Calibri" w:hint="eastAsia"/>
                <w:color w:val="333333"/>
                <w:sz w:val="21"/>
                <w:szCs w:val="21"/>
              </w:rPr>
              <w:t>；</w:t>
            </w:r>
            <w:r>
              <w:rPr>
                <w:rFonts w:cs="Calibri" w:hint="eastAsia"/>
                <w:b/>
                <w:bCs/>
                <w:color w:val="FF0000"/>
                <w:sz w:val="21"/>
                <w:szCs w:val="21"/>
              </w:rPr>
              <w:t>根据</w:t>
            </w:r>
            <w:r>
              <w:rPr>
                <w:rFonts w:cs="Calibri" w:hint="eastAsia"/>
                <w:color w:val="333333"/>
                <w:sz w:val="21"/>
                <w:szCs w:val="21"/>
              </w:rPr>
              <w:t>对组成部分注册会计师的了解，集团项目组</w:t>
            </w:r>
            <w:r>
              <w:rPr>
                <w:rFonts w:cs="Calibri" w:hint="eastAsia"/>
                <w:b/>
                <w:bCs/>
                <w:color w:val="FF0000"/>
                <w:sz w:val="21"/>
                <w:szCs w:val="21"/>
              </w:rPr>
              <w:t>应当确定</w:t>
            </w:r>
            <w:r>
              <w:rPr>
                <w:rFonts w:cs="Calibri" w:hint="eastAsia"/>
                <w:color w:val="333333"/>
                <w:sz w:val="21"/>
                <w:szCs w:val="21"/>
              </w:rPr>
              <w:t>是否有必要参与进一步审计程序，</w:t>
            </w:r>
            <w:r>
              <w:rPr>
                <w:rFonts w:cs="Calibri" w:hint="eastAsia"/>
                <w:b/>
                <w:bCs/>
                <w:color w:val="FF0000"/>
                <w:sz w:val="21"/>
                <w:szCs w:val="21"/>
              </w:rPr>
              <w:t>考虑因素</w:t>
            </w:r>
            <w:r>
              <w:rPr>
                <w:rFonts w:cs="Calibri" w:hint="eastAsia"/>
                <w:color w:val="333333"/>
                <w:sz w:val="21"/>
                <w:szCs w:val="21"/>
              </w:rPr>
              <w:t>包括：</w:t>
            </w:r>
          </w:p>
          <w:p w14:paraId="16480B95"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a）组成部分的重要程度</w:t>
            </w:r>
          </w:p>
          <w:p w14:paraId="64F11118"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b）识别出的导致集团财务报表发生重大错报的特别风险</w:t>
            </w:r>
          </w:p>
          <w:p w14:paraId="0F29A7E1"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c）集团项目组对组成部分注册会计师的了解</w:t>
            </w:r>
          </w:p>
        </w:tc>
      </w:tr>
      <w:tr w:rsidR="00915774" w14:paraId="1E9AB302" w14:textId="77777777" w:rsidTr="00915774">
        <w:trPr>
          <w:trHeight w:val="905"/>
          <w:jc w:val="center"/>
        </w:trPr>
        <w:tc>
          <w:tcPr>
            <w:tcW w:w="169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885104"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非重要</w:t>
            </w:r>
          </w:p>
          <w:p w14:paraId="4B98D7E6"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组成部分</w:t>
            </w:r>
          </w:p>
        </w:tc>
        <w:tc>
          <w:tcPr>
            <w:tcW w:w="68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9F7D67"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集团项目组仍可能决定参与组成部分注册会计师的风险评估</w:t>
            </w:r>
          </w:p>
        </w:tc>
      </w:tr>
    </w:tbl>
    <w:p w14:paraId="2FD21E5B" w14:textId="77777777" w:rsidR="00915774" w:rsidRDefault="00915774" w:rsidP="0091577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（2）参与的方式</w:t>
      </w:r>
    </w:p>
    <w:tbl>
      <w:tblPr>
        <w:tblW w:w="8505" w:type="dxa"/>
        <w:jc w:val="center"/>
        <w:tblCellMar>
          <w:left w:w="0" w:type="dxa"/>
          <w:right w:w="0" w:type="dxa"/>
        </w:tblCellMar>
        <w:tblLook w:val="04A0" w:firstRow="1" w:lastRow="0" w:firstColumn="1" w:lastColumn="0" w:noHBand="0" w:noVBand="1"/>
      </w:tblPr>
      <w:tblGrid>
        <w:gridCol w:w="915"/>
        <w:gridCol w:w="7590"/>
      </w:tblGrid>
      <w:tr w:rsidR="00915774" w14:paraId="16E2CAE1" w14:textId="77777777" w:rsidTr="00915774">
        <w:trPr>
          <w:trHeight w:val="2924"/>
          <w:jc w:val="center"/>
        </w:trPr>
        <w:tc>
          <w:tcPr>
            <w:tcW w:w="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E35F9A"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方式</w:t>
            </w:r>
          </w:p>
        </w:tc>
        <w:tc>
          <w:tcPr>
            <w:tcW w:w="75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FD768EA"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“两会两核走流程”</w:t>
            </w:r>
          </w:p>
          <w:p w14:paraId="35E0CE46"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a）与组成部分管理层或组成部分注册会计师</w:t>
            </w:r>
            <w:r>
              <w:rPr>
                <w:rFonts w:cs="Calibri" w:hint="eastAsia"/>
                <w:b/>
                <w:bCs/>
                <w:color w:val="FF0000"/>
                <w:sz w:val="21"/>
                <w:szCs w:val="21"/>
              </w:rPr>
              <w:t>会谈</w:t>
            </w:r>
            <w:r>
              <w:rPr>
                <w:rFonts w:cs="Calibri" w:hint="eastAsia"/>
                <w:color w:val="333333"/>
                <w:sz w:val="21"/>
                <w:szCs w:val="21"/>
              </w:rPr>
              <w:t>，获取对组成部分及其环境的了解</w:t>
            </w:r>
          </w:p>
          <w:p w14:paraId="0C561140"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b/>
                <w:bCs/>
                <w:color w:val="FF0000"/>
                <w:sz w:val="21"/>
                <w:szCs w:val="21"/>
              </w:rPr>
              <w:t>复核</w:t>
            </w:r>
            <w:r>
              <w:rPr>
                <w:rFonts w:cs="Calibri" w:hint="eastAsia"/>
                <w:color w:val="333333"/>
                <w:sz w:val="21"/>
                <w:szCs w:val="21"/>
              </w:rPr>
              <w:t>组成部分注册会计师的总体审计策略和具体审计计划</w:t>
            </w:r>
          </w:p>
          <w:p w14:paraId="5CE0721B"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c）单独或与组成部分注册会计师共同实施</w:t>
            </w:r>
            <w:r>
              <w:rPr>
                <w:rFonts w:cs="Calibri" w:hint="eastAsia"/>
                <w:b/>
                <w:bCs/>
                <w:color w:val="FF0000"/>
                <w:sz w:val="21"/>
                <w:szCs w:val="21"/>
              </w:rPr>
              <w:t>风险评估</w:t>
            </w:r>
            <w:r>
              <w:rPr>
                <w:rFonts w:cs="Calibri" w:hint="eastAsia"/>
                <w:color w:val="333333"/>
                <w:sz w:val="21"/>
                <w:szCs w:val="21"/>
              </w:rPr>
              <w:t>程序，识别和评估组成部分层面的重大错报风险</w:t>
            </w:r>
          </w:p>
          <w:p w14:paraId="298655F1"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d）单独或与组成部分注册会计师共同设计和实施</w:t>
            </w:r>
            <w:r>
              <w:rPr>
                <w:rFonts w:cs="Calibri" w:hint="eastAsia"/>
                <w:b/>
                <w:bCs/>
                <w:color w:val="FF0000"/>
                <w:sz w:val="21"/>
                <w:szCs w:val="21"/>
              </w:rPr>
              <w:t>进一步程序</w:t>
            </w:r>
          </w:p>
          <w:p w14:paraId="219BDA1E"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e）参加组成部分注册会计师与管理层的总结和其他重要</w:t>
            </w:r>
            <w:r>
              <w:rPr>
                <w:rFonts w:cs="Calibri" w:hint="eastAsia"/>
                <w:b/>
                <w:bCs/>
                <w:color w:val="FF0000"/>
                <w:sz w:val="21"/>
                <w:szCs w:val="21"/>
              </w:rPr>
              <w:t>会议</w:t>
            </w:r>
          </w:p>
          <w:p w14:paraId="730B6306"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f）</w:t>
            </w:r>
            <w:r>
              <w:rPr>
                <w:rFonts w:cs="Calibri" w:hint="eastAsia"/>
                <w:b/>
                <w:bCs/>
                <w:color w:val="FF0000"/>
                <w:sz w:val="21"/>
                <w:szCs w:val="21"/>
              </w:rPr>
              <w:t>复核</w:t>
            </w:r>
            <w:r>
              <w:rPr>
                <w:rFonts w:cs="Calibri" w:hint="eastAsia"/>
                <w:color w:val="333333"/>
                <w:sz w:val="21"/>
                <w:szCs w:val="21"/>
              </w:rPr>
              <w:t>组成部分注册会计师的审计工作底稿的其他相关部分</w:t>
            </w:r>
          </w:p>
        </w:tc>
      </w:tr>
    </w:tbl>
    <w:p w14:paraId="158DCA38" w14:textId="77777777" w:rsidR="00915774" w:rsidRDefault="00915774" w:rsidP="0091577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7B938DD2" w14:textId="77777777" w:rsidR="00915774" w:rsidRDefault="00915774" w:rsidP="0091577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单项选择题【2017年真题】</w:t>
      </w:r>
    </w:p>
    <w:p w14:paraId="66B4BC6E"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在审计集团财务报表时，下列工作类型中，不适用于重要组成部分的是（　　）。</w:t>
      </w:r>
    </w:p>
    <w:p w14:paraId="3EADADA4"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A.特定项目审计</w:t>
      </w:r>
    </w:p>
    <w:p w14:paraId="27EB32B6"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B.实施特定审计程序</w:t>
      </w:r>
    </w:p>
    <w:p w14:paraId="05054A8F"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C.财务信息审阅</w:t>
      </w:r>
    </w:p>
    <w:p w14:paraId="370A0CA4"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D.财务信息审计</w:t>
      </w:r>
    </w:p>
    <w:p w14:paraId="1793CE5D"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1C609703"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[点评]选项C属于针对重要组成部分已执行工作仍不能提供充分、适当审计证据时，对于不重要的组成部分实施的工作。所以财务报表审阅针对的是不重要的组成部分。</w:t>
      </w:r>
    </w:p>
    <w:p w14:paraId="408DFDAB" w14:textId="77777777" w:rsidR="00915774" w:rsidRDefault="00915774" w:rsidP="0091577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单项选择题【2015年真题】</w:t>
      </w:r>
    </w:p>
    <w:p w14:paraId="22497013"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下列各项工作中，可以由组成部分注册会计师代表集团项目组执行的是（　　）。</w:t>
      </w:r>
    </w:p>
    <w:p w14:paraId="765D5267"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A.测试集团层面控制运行的有效性</w:t>
      </w:r>
    </w:p>
    <w:p w14:paraId="752F40E3"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B.对不重要的组成部分实施集团层面分析程序</w:t>
      </w:r>
    </w:p>
    <w:p w14:paraId="30D92DE4"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C.确定对组成部分财务信息执行工作的类型</w:t>
      </w:r>
    </w:p>
    <w:p w14:paraId="16C24D30"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D.了解集团层面的控制和合并过程</w:t>
      </w:r>
    </w:p>
    <w:p w14:paraId="3717D73F"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w:t>
      </w:r>
    </w:p>
    <w:p w14:paraId="28A95731"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[点评]本题非常经典，同学们务必借助本题举一反三，强化每个选项的重要观点。选项A中，如果预期集团层面控制运行有效，集团项目组应当测试或者要求组成部分注册会计师测试这些控制运行的有效性。</w:t>
      </w:r>
    </w:p>
    <w:p w14:paraId="0382BB56" w14:textId="77777777" w:rsidR="00915774" w:rsidRDefault="00915774" w:rsidP="0091577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简答题【2011年真题】</w:t>
      </w:r>
    </w:p>
    <w:p w14:paraId="49597F20"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w:t>
      </w:r>
    </w:p>
    <w:p w14:paraId="096EC0E6" w14:textId="77777777" w:rsidR="00915774" w:rsidRDefault="00915774" w:rsidP="0091577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（1）针对确定的重要组成部分，简要说明A注册会计师执行工作的类型。</w:t>
      </w:r>
    </w:p>
    <w:p w14:paraId="78EAFBF6" w14:textId="77777777" w:rsidR="00915774" w:rsidRDefault="00915774" w:rsidP="0091577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（2）针对确定的非重要组成部分，简要说明A注册会计师执行工作的类型。</w:t>
      </w:r>
    </w:p>
    <w:p w14:paraId="69D10659"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ABC会计师事务所负责审计D集团公司2010年度财务报表，并委派A注册会计师担任审计项目合伙人。D集团公司属于家电制造行业，共有4家全资子公司，各子公司的相关资料摘录如下：</w:t>
      </w:r>
    </w:p>
    <w:tbl>
      <w:tblPr>
        <w:tblW w:w="8505" w:type="dxa"/>
        <w:jc w:val="center"/>
        <w:tblCellMar>
          <w:left w:w="0" w:type="dxa"/>
          <w:right w:w="0" w:type="dxa"/>
        </w:tblCellMar>
        <w:tblLook w:val="04A0" w:firstRow="1" w:lastRow="0" w:firstColumn="1" w:lastColumn="0" w:noHBand="0" w:noVBand="1"/>
      </w:tblPr>
      <w:tblGrid>
        <w:gridCol w:w="1001"/>
        <w:gridCol w:w="1547"/>
        <w:gridCol w:w="1631"/>
        <w:gridCol w:w="1716"/>
        <w:gridCol w:w="1716"/>
        <w:gridCol w:w="894"/>
      </w:tblGrid>
      <w:tr w:rsidR="00915774" w14:paraId="03C81AC5" w14:textId="77777777" w:rsidTr="00915774">
        <w:trPr>
          <w:trHeight w:val="272"/>
          <w:jc w:val="center"/>
        </w:trPr>
        <w:tc>
          <w:tcPr>
            <w:tcW w:w="10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ED7973"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公司</w:t>
            </w:r>
          </w:p>
          <w:p w14:paraId="3B58E095"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名称</w:t>
            </w:r>
          </w:p>
        </w:tc>
        <w:tc>
          <w:tcPr>
            <w:tcW w:w="15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BAC899F"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主营业务</w:t>
            </w:r>
          </w:p>
        </w:tc>
        <w:tc>
          <w:tcPr>
            <w:tcW w:w="163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5287C45"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资产总额在集团中所占的份额</w:t>
            </w:r>
          </w:p>
        </w:tc>
        <w:tc>
          <w:tcPr>
            <w:tcW w:w="171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D341EEE"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营业收入在集团中所占的份额</w:t>
            </w:r>
          </w:p>
        </w:tc>
        <w:tc>
          <w:tcPr>
            <w:tcW w:w="171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39395AF"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利润总额在集团中所占的份额</w:t>
            </w:r>
          </w:p>
        </w:tc>
        <w:tc>
          <w:tcPr>
            <w:tcW w:w="8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FE232EA"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说明</w:t>
            </w:r>
          </w:p>
        </w:tc>
      </w:tr>
      <w:tr w:rsidR="00915774" w14:paraId="3F1F3722" w14:textId="77777777" w:rsidTr="00915774">
        <w:trPr>
          <w:jc w:val="center"/>
        </w:trPr>
        <w:tc>
          <w:tcPr>
            <w:tcW w:w="10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B7B04A"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E公司</w:t>
            </w:r>
          </w:p>
        </w:tc>
        <w:tc>
          <w:tcPr>
            <w:tcW w:w="15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F2CD9D"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彩电</w:t>
            </w:r>
          </w:p>
        </w:tc>
        <w:tc>
          <w:tcPr>
            <w:tcW w:w="16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C6EBDC"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80%</w:t>
            </w:r>
          </w:p>
        </w:tc>
        <w:tc>
          <w:tcPr>
            <w:tcW w:w="1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531903"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50%</w:t>
            </w:r>
          </w:p>
        </w:tc>
        <w:tc>
          <w:tcPr>
            <w:tcW w:w="1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F34381"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78%</w:t>
            </w:r>
          </w:p>
        </w:tc>
        <w:tc>
          <w:tcPr>
            <w:tcW w:w="8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71ADA3"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p>
        </w:tc>
      </w:tr>
      <w:tr w:rsidR="00915774" w14:paraId="2484A244" w14:textId="77777777" w:rsidTr="00915774">
        <w:trPr>
          <w:jc w:val="center"/>
        </w:trPr>
        <w:tc>
          <w:tcPr>
            <w:tcW w:w="10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B92E2ED"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F公司</w:t>
            </w:r>
          </w:p>
        </w:tc>
        <w:tc>
          <w:tcPr>
            <w:tcW w:w="15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187431"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冰箱</w:t>
            </w:r>
          </w:p>
        </w:tc>
        <w:tc>
          <w:tcPr>
            <w:tcW w:w="16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2E4A53"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1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E639C8"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1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43693A"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w:t>
            </w:r>
          </w:p>
        </w:tc>
        <w:tc>
          <w:tcPr>
            <w:tcW w:w="8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289910"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p>
        </w:tc>
      </w:tr>
      <w:tr w:rsidR="00915774" w14:paraId="3C135994" w14:textId="77777777" w:rsidTr="00915774">
        <w:trPr>
          <w:jc w:val="center"/>
        </w:trPr>
        <w:tc>
          <w:tcPr>
            <w:tcW w:w="10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51C351"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G公司</w:t>
            </w:r>
          </w:p>
        </w:tc>
        <w:tc>
          <w:tcPr>
            <w:tcW w:w="15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BEA386"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洗衣机</w:t>
            </w:r>
          </w:p>
        </w:tc>
        <w:tc>
          <w:tcPr>
            <w:tcW w:w="16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942A81"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1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2F585B"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40%</w:t>
            </w:r>
          </w:p>
        </w:tc>
        <w:tc>
          <w:tcPr>
            <w:tcW w:w="1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5D4518"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8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3096BB"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w:t>
            </w:r>
          </w:p>
        </w:tc>
      </w:tr>
      <w:tr w:rsidR="00915774" w14:paraId="2D7A2164" w14:textId="77777777" w:rsidTr="00915774">
        <w:trPr>
          <w:jc w:val="center"/>
        </w:trPr>
        <w:tc>
          <w:tcPr>
            <w:tcW w:w="10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D604DD8"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H公司</w:t>
            </w:r>
          </w:p>
        </w:tc>
        <w:tc>
          <w:tcPr>
            <w:tcW w:w="15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973176"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集团产品的出口销售</w:t>
            </w:r>
          </w:p>
        </w:tc>
        <w:tc>
          <w:tcPr>
            <w:tcW w:w="16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51351C"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1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6F6AB0"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1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5CA18D"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w:t>
            </w:r>
          </w:p>
        </w:tc>
        <w:tc>
          <w:tcPr>
            <w:tcW w:w="8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AE803A" w14:textId="77777777" w:rsidR="00915774" w:rsidRDefault="00915774" w:rsidP="0091577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w:t>
            </w:r>
          </w:p>
        </w:tc>
      </w:tr>
      <w:tr w:rsidR="00915774" w14:paraId="58F99756" w14:textId="77777777" w:rsidTr="00915774">
        <w:trPr>
          <w:jc w:val="center"/>
        </w:trPr>
        <w:tc>
          <w:tcPr>
            <w:tcW w:w="8505" w:type="dxa"/>
            <w:gridSpan w:val="6"/>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15FB785"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说明：</w:t>
            </w:r>
          </w:p>
          <w:p w14:paraId="10103A04"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（1）E公司的业务和财务状况稳定。</w:t>
            </w:r>
          </w:p>
          <w:p w14:paraId="598E76FB"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（2）F公司从事的业务刚刚开始两年，规模较小，财务状况较为稳定。</w:t>
            </w:r>
          </w:p>
          <w:p w14:paraId="4977589E"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（3）为拓展市场，G公司向部分主要客户提供特殊退货安排。</w:t>
            </w:r>
          </w:p>
          <w:p w14:paraId="028F92A6" w14:textId="77777777" w:rsidR="00915774" w:rsidRDefault="00915774" w:rsidP="0091577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（4）H公司从事了若干远期外汇合同交易，以管理2010年度外汇汇率持续波动的风险。</w:t>
            </w:r>
          </w:p>
        </w:tc>
      </w:tr>
    </w:tbl>
    <w:p w14:paraId="7A2F9E73"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w:t>
      </w:r>
    </w:p>
    <w:p w14:paraId="0FDE9B50"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针对要求（1）：</w:t>
      </w:r>
    </w:p>
    <w:p w14:paraId="69F91783"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A注册会计师应当对E公司和G公司运用该组成部分的重要性对其财务信息实施审计。</w:t>
      </w:r>
    </w:p>
    <w:p w14:paraId="1407F96C"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A注册会计师应当针对H公司受到远期外汇合同交易影响而存在特别风险的账户余额和披露实施特定审计程序。</w:t>
      </w:r>
    </w:p>
    <w:p w14:paraId="10F86F3E"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针对要求（2）：</w:t>
      </w:r>
    </w:p>
    <w:p w14:paraId="25D04A2F" w14:textId="77777777" w:rsidR="00915774" w:rsidRDefault="00915774" w:rsidP="0091577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A注册会计师应当对F公司在集团层面实施分析程序，因为F公司属于不重要的组成部分。</w:t>
      </w:r>
    </w:p>
    <w:p w14:paraId="42BAAA71" w14:textId="77777777" w:rsidR="00915774" w:rsidRDefault="00915774" w:rsidP="00915774">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0E2981D4" w14:textId="77777777" w:rsidR="00915774" w:rsidRDefault="00915774" w:rsidP="0091577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"http://webupload.admin.dongao.com/biz/handout/img/2019/20190617/20190617172225260004.png"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420pt;height:186pt">
            <v:imagedata r:id="rId13" r:href="rId14"/>
          </v:shape>
        </w:pict>
      </w:r>
      <w:r>
        <w:rPr>
          <w:rFonts w:ascii="Calibri" w:eastAsia="微软雅黑" w:hAnsi="Calibri" w:cs="Calibri"/>
          <w:color w:val="3F3F3F"/>
          <w:sz w:val="21"/>
          <w:szCs w:val="21"/>
        </w:rPr>
        <w:fldChar w:fldCharType="end"/>
      </w:r>
    </w:p>
    <w:p w14:paraId="69664E25" w14:textId="77777777" w:rsidR="00915774" w:rsidRDefault="00915774" w:rsidP="0091577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"http://webupload.admin.dongao.com/biz/handout/img/2019/20190617/20190617172225468005.png"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9" type="#_x0000_t75" style="width:271.5pt;height:219.75pt">
            <v:imagedata r:id="rId15" r:href="rId16"/>
          </v:shape>
        </w:pict>
      </w:r>
      <w:r>
        <w:rPr>
          <w:rFonts w:ascii="Calibri" w:eastAsia="微软雅黑" w:hAnsi="Calibri" w:cs="Calibri"/>
          <w:color w:val="3F3F3F"/>
          <w:sz w:val="21"/>
          <w:szCs w:val="21"/>
        </w:rPr>
        <w:fldChar w:fldCharType="end"/>
      </w:r>
    </w:p>
    <w:p w14:paraId="14D0E11F" w14:textId="77777777" w:rsidR="00915774" w:rsidRDefault="00915774" w:rsidP="00915774">
      <w:pPr>
        <w:shd w:val="clear" w:color="auto" w:fill="FFFFFF"/>
        <w:rPr>
          <w:rFonts w:ascii="微软雅黑" w:eastAsia="微软雅黑" w:hAnsi="微软雅黑" w:cs="宋体"/>
          <w:color w:val="3F3F3F"/>
          <w:szCs w:val="21"/>
        </w:rPr>
      </w:pPr>
    </w:p>
    <w:p w14:paraId="2C592985" w14:textId="77777777" w:rsidR="00271D8C" w:rsidRPr="00915774" w:rsidRDefault="00271D8C" w:rsidP="00915774">
      <w:pPr>
        <w:rPr>
          <w:rFonts w:hint="eastAsia"/>
        </w:rPr>
      </w:pPr>
    </w:p>
    <w:sectPr w:rsidR="00271D8C" w:rsidRPr="00915774" w:rsidSect="001F62DD">
      <w:headerReference w:type="default" r:id="rId17"/>
      <w:footerReference w:type="default" r:id="rId18"/>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D4A2B" w14:textId="77777777" w:rsidR="0095215E" w:rsidRDefault="0095215E" w:rsidP="00CD53C5">
      <w:r>
        <w:separator/>
      </w:r>
    </w:p>
  </w:endnote>
  <w:endnote w:type="continuationSeparator" w:id="0">
    <w:p w14:paraId="0D3F73FB" w14:textId="77777777" w:rsidR="0095215E" w:rsidRDefault="0095215E"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29AE6C54" w14:textId="77777777" w:rsidTr="007B0BFD">
      <w:trPr>
        <w:trHeight w:val="274"/>
      </w:trPr>
      <w:tc>
        <w:tcPr>
          <w:tcW w:w="2050" w:type="dxa"/>
          <w:shd w:val="clear" w:color="auto" w:fill="auto"/>
          <w:vAlign w:val="center"/>
        </w:tcPr>
        <w:p w14:paraId="10878161"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0" type="#_x0000_t75" style="width:90.75pt;height:26.25pt;visibility:visible">
                <v:imagedata r:id="rId1" o:title=""/>
              </v:shape>
            </w:pict>
          </w:r>
        </w:p>
      </w:tc>
      <w:tc>
        <w:tcPr>
          <w:tcW w:w="3742" w:type="dxa"/>
          <w:shd w:val="clear" w:color="auto" w:fill="auto"/>
          <w:vAlign w:val="center"/>
        </w:tcPr>
        <w:p w14:paraId="397B1DFC"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433A2BC8"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237E8FBC"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AA330" w14:textId="77777777" w:rsidR="0095215E" w:rsidRDefault="0095215E" w:rsidP="00CD53C5">
      <w:r>
        <w:separator/>
      </w:r>
    </w:p>
  </w:footnote>
  <w:footnote w:type="continuationSeparator" w:id="0">
    <w:p w14:paraId="7A6005E5" w14:textId="77777777" w:rsidR="0095215E" w:rsidRDefault="0095215E"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3BE0F03A" w14:textId="77777777" w:rsidTr="007B0BFD">
      <w:trPr>
        <w:trHeight w:val="501"/>
      </w:trPr>
      <w:tc>
        <w:tcPr>
          <w:tcW w:w="4272" w:type="dxa"/>
          <w:shd w:val="clear" w:color="auto" w:fill="auto"/>
          <w:vAlign w:val="center"/>
        </w:tcPr>
        <w:p w14:paraId="0224C7A1" w14:textId="77777777" w:rsidR="001545C6" w:rsidRPr="001F62DD" w:rsidRDefault="00915774"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580B12E6" w14:textId="77777777" w:rsidR="001545C6" w:rsidRPr="004D61E7" w:rsidRDefault="00915774"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第十六章</w:t>
          </w:r>
          <w:r>
            <w:rPr>
              <w:rFonts w:ascii="微软雅黑" w:eastAsia="微软雅黑" w:hAnsi="微软雅黑"/>
              <w:sz w:val="24"/>
              <w:szCs w:val="24"/>
            </w:rPr>
            <w:t>+对集团财务报表审计的特殊考虑</w:t>
          </w:r>
        </w:p>
      </w:tc>
    </w:tr>
  </w:tbl>
  <w:p w14:paraId="3F6CB66A"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15774"/>
    <w:rsid w:val="0093134D"/>
    <w:rsid w:val="0095215E"/>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95C78"/>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EF64308"/>
  <w15:docId w15:val="{DCE7A07D-129D-4AD9-9C20-D7CBD0C1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673872731">
      <w:bodyDiv w:val="1"/>
      <w:marLeft w:val="0"/>
      <w:marRight w:val="0"/>
      <w:marTop w:val="0"/>
      <w:marBottom w:val="0"/>
      <w:divBdr>
        <w:top w:val="none" w:sz="0" w:space="0" w:color="auto"/>
        <w:left w:val="none" w:sz="0" w:space="0" w:color="auto"/>
        <w:bottom w:val="none" w:sz="0" w:space="0" w:color="auto"/>
        <w:right w:val="none" w:sz="0" w:space="0" w:color="auto"/>
      </w:divBdr>
      <w:divsChild>
        <w:div w:id="1479151186">
          <w:marLeft w:val="0"/>
          <w:marRight w:val="0"/>
          <w:marTop w:val="0"/>
          <w:marBottom w:val="0"/>
          <w:divBdr>
            <w:top w:val="none" w:sz="0" w:space="0" w:color="auto"/>
            <w:left w:val="none" w:sz="0" w:space="0" w:color="auto"/>
            <w:bottom w:val="none" w:sz="0" w:space="0" w:color="auto"/>
            <w:right w:val="none" w:sz="0" w:space="0" w:color="auto"/>
          </w:divBdr>
          <w:divsChild>
            <w:div w:id="59254868">
              <w:marLeft w:val="0"/>
              <w:marRight w:val="0"/>
              <w:marTop w:val="0"/>
              <w:marBottom w:val="0"/>
              <w:divBdr>
                <w:top w:val="none" w:sz="0" w:space="0" w:color="auto"/>
                <w:left w:val="none" w:sz="0" w:space="0" w:color="auto"/>
                <w:bottom w:val="none" w:sz="0" w:space="0" w:color="auto"/>
                <w:right w:val="none" w:sz="0" w:space="0" w:color="auto"/>
              </w:divBdr>
            </w:div>
            <w:div w:id="501702221">
              <w:marLeft w:val="0"/>
              <w:marRight w:val="0"/>
              <w:marTop w:val="0"/>
              <w:marBottom w:val="0"/>
              <w:divBdr>
                <w:top w:val="none" w:sz="0" w:space="0" w:color="auto"/>
                <w:left w:val="none" w:sz="0" w:space="0" w:color="auto"/>
                <w:bottom w:val="none" w:sz="0" w:space="0" w:color="auto"/>
                <w:right w:val="none" w:sz="0" w:space="0" w:color="auto"/>
              </w:divBdr>
            </w:div>
            <w:div w:id="775514709">
              <w:marLeft w:val="0"/>
              <w:marRight w:val="0"/>
              <w:marTop w:val="0"/>
              <w:marBottom w:val="0"/>
              <w:divBdr>
                <w:top w:val="none" w:sz="0" w:space="0" w:color="auto"/>
                <w:left w:val="none" w:sz="0" w:space="0" w:color="auto"/>
                <w:bottom w:val="none" w:sz="0" w:space="0" w:color="auto"/>
                <w:right w:val="none" w:sz="0" w:space="0" w:color="auto"/>
              </w:divBdr>
            </w:div>
            <w:div w:id="822626052">
              <w:marLeft w:val="0"/>
              <w:marRight w:val="0"/>
              <w:marTop w:val="0"/>
              <w:marBottom w:val="0"/>
              <w:divBdr>
                <w:top w:val="none" w:sz="0" w:space="0" w:color="auto"/>
                <w:left w:val="none" w:sz="0" w:space="0" w:color="auto"/>
                <w:bottom w:val="none" w:sz="0" w:space="0" w:color="auto"/>
                <w:right w:val="none" w:sz="0" w:space="0" w:color="auto"/>
              </w:divBdr>
            </w:div>
            <w:div w:id="1112163175">
              <w:marLeft w:val="0"/>
              <w:marRight w:val="0"/>
              <w:marTop w:val="0"/>
              <w:marBottom w:val="0"/>
              <w:divBdr>
                <w:top w:val="none" w:sz="0" w:space="0" w:color="auto"/>
                <w:left w:val="none" w:sz="0" w:space="0" w:color="auto"/>
                <w:bottom w:val="none" w:sz="0" w:space="0" w:color="auto"/>
                <w:right w:val="none" w:sz="0" w:space="0" w:color="auto"/>
              </w:divBdr>
            </w:div>
            <w:div w:id="1155101941">
              <w:marLeft w:val="0"/>
              <w:marRight w:val="0"/>
              <w:marTop w:val="0"/>
              <w:marBottom w:val="0"/>
              <w:divBdr>
                <w:top w:val="none" w:sz="0" w:space="0" w:color="auto"/>
                <w:left w:val="none" w:sz="0" w:space="0" w:color="auto"/>
                <w:bottom w:val="none" w:sz="0" w:space="0" w:color="auto"/>
                <w:right w:val="none" w:sz="0" w:space="0" w:color="auto"/>
              </w:divBdr>
            </w:div>
            <w:div w:id="1206332632">
              <w:marLeft w:val="0"/>
              <w:marRight w:val="0"/>
              <w:marTop w:val="0"/>
              <w:marBottom w:val="0"/>
              <w:divBdr>
                <w:top w:val="none" w:sz="0" w:space="0" w:color="auto"/>
                <w:left w:val="none" w:sz="0" w:space="0" w:color="auto"/>
                <w:bottom w:val="none" w:sz="0" w:space="0" w:color="auto"/>
                <w:right w:val="none" w:sz="0" w:space="0" w:color="auto"/>
              </w:divBdr>
            </w:div>
            <w:div w:id="1482849268">
              <w:marLeft w:val="0"/>
              <w:marRight w:val="0"/>
              <w:marTop w:val="0"/>
              <w:marBottom w:val="0"/>
              <w:divBdr>
                <w:top w:val="none" w:sz="0" w:space="0" w:color="auto"/>
                <w:left w:val="none" w:sz="0" w:space="0" w:color="auto"/>
                <w:bottom w:val="none" w:sz="0" w:space="0" w:color="auto"/>
                <w:right w:val="none" w:sz="0" w:space="0" w:color="auto"/>
              </w:divBdr>
            </w:div>
            <w:div w:id="1942370438">
              <w:marLeft w:val="0"/>
              <w:marRight w:val="0"/>
              <w:marTop w:val="0"/>
              <w:marBottom w:val="0"/>
              <w:divBdr>
                <w:top w:val="none" w:sz="0" w:space="0" w:color="auto"/>
                <w:left w:val="none" w:sz="0" w:space="0" w:color="auto"/>
                <w:bottom w:val="none" w:sz="0" w:space="0" w:color="auto"/>
                <w:right w:val="none" w:sz="0" w:space="0" w:color="auto"/>
              </w:divBdr>
            </w:div>
            <w:div w:id="21140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17/20190617172225663001.pn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617/20190617172225489003.p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http://webupload.admin.dongao.com/biz/handout/img/2019/20190617/20190617172225468005.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webupload.admin.dongao.com/biz/handout/img/2019/20190617/20190617172225627002.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617/20190617172225260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5A52E-BB03-4E25-9EF8-3083A0101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