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90F76" w14:textId="77777777" w:rsidR="00DD615B" w:rsidRDefault="00DD615B" w:rsidP="00DD615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第十六章</w:t>
      </w:r>
      <w:r>
        <w:rPr>
          <w:rFonts w:cs="Calibri" w:hint="eastAsia"/>
          <w:b/>
          <w:bCs/>
          <w:color w:val="3F3F3F"/>
          <w:sz w:val="52"/>
          <w:szCs w:val="52"/>
        </w:rPr>
        <w:t>•</w:t>
      </w:r>
      <w:r>
        <w:rPr>
          <w:rFonts w:ascii="楷体" w:eastAsia="楷体" w:hAnsi="楷体" w:cs="Calibri" w:hint="eastAsia"/>
          <w:b/>
          <w:bCs/>
          <w:color w:val="3F3F3F"/>
          <w:sz w:val="52"/>
          <w:szCs w:val="52"/>
        </w:rPr>
        <w:t>对集团财务报表审计的特殊考虑</w:t>
      </w:r>
    </w:p>
    <w:p w14:paraId="41B2E288" w14:textId="77777777" w:rsidR="00DD615B" w:rsidRDefault="00DD615B" w:rsidP="00DD615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06A94BE2" w14:textId="77777777" w:rsidR="00DD615B" w:rsidRDefault="00DD615B" w:rsidP="00DD615B">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"http://webupload.admin.dongao.com/biz/handout/img/2019/20190619/20190619121036590001.png"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81.5pt">
            <v:imagedata r:id="rId7" r:href="rId8"/>
          </v:shape>
        </w:pict>
      </w:r>
      <w:r>
        <w:rPr>
          <w:rFonts w:cs="Calibri"/>
          <w:color w:val="3F3F3F"/>
          <w:sz w:val="21"/>
          <w:szCs w:val="21"/>
        </w:rPr>
        <w:fldChar w:fldCharType="end"/>
      </w:r>
    </w:p>
    <w:p w14:paraId="27D0D3BA" w14:textId="77777777" w:rsidR="00DD615B" w:rsidRDefault="00DD615B" w:rsidP="00DD615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第四部分　集团财务报表审计的沟通与评价</w:t>
      </w:r>
    </w:p>
    <w:p w14:paraId="11574A02"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一、与组成部分注册会计师的沟通</w:t>
      </w:r>
    </w:p>
    <w:p w14:paraId="5CBEF47C"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二、评价审计证据</w:t>
      </w:r>
      <w:r>
        <w:rPr>
          <w:rFonts w:cs="Calibri" w:hint="eastAsia"/>
          <w:b/>
          <w:bCs/>
          <w:color w:val="FF0000"/>
          <w:sz w:val="21"/>
          <w:szCs w:val="21"/>
        </w:rPr>
        <w:t>（※※）</w:t>
      </w:r>
    </w:p>
    <w:p w14:paraId="24B61702"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三、与集团管理层和治理层沟通</w:t>
      </w:r>
    </w:p>
    <w:p w14:paraId="789D7905"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一、与组成部分注册会计师的沟通</w:t>
      </w:r>
    </w:p>
    <w:p w14:paraId="4C38B817"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1.双向沟通</w:t>
      </w:r>
      <w:r>
        <w:rPr>
          <w:rFonts w:cs="Calibri" w:hint="eastAsia"/>
          <w:b/>
          <w:bCs/>
          <w:color w:val="FF0000"/>
          <w:sz w:val="21"/>
          <w:szCs w:val="21"/>
        </w:rPr>
        <w:t>[理解]</w:t>
      </w:r>
    </w:p>
    <w:tbl>
      <w:tblPr>
        <w:tblW w:w="8505" w:type="dxa"/>
        <w:jc w:val="center"/>
        <w:tblCellMar>
          <w:left w:w="0" w:type="dxa"/>
          <w:right w:w="0" w:type="dxa"/>
        </w:tblCellMar>
        <w:tblLook w:val="04A0" w:firstRow="1" w:lastRow="0" w:firstColumn="1" w:lastColumn="0" w:noHBand="0" w:noVBand="1"/>
      </w:tblPr>
      <w:tblGrid>
        <w:gridCol w:w="738"/>
        <w:gridCol w:w="3390"/>
        <w:gridCol w:w="4377"/>
      </w:tblGrid>
      <w:tr w:rsidR="00DD615B" w14:paraId="565798E8" w14:textId="77777777" w:rsidTr="00DD615B">
        <w:trPr>
          <w:trHeight w:val="103"/>
          <w:jc w:val="center"/>
        </w:trPr>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FB2D30" w14:textId="77777777" w:rsidR="00DD615B" w:rsidRDefault="00DD615B" w:rsidP="00DD615B">
            <w:pPr>
              <w:rPr>
                <w:rFonts w:eastAsia="微软雅黑" w:cs="Calibri"/>
                <w:color w:val="3F3F3F"/>
                <w:szCs w:val="21"/>
              </w:rPr>
            </w:pPr>
          </w:p>
        </w:tc>
        <w:tc>
          <w:tcPr>
            <w:tcW w:w="33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015451"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集团→组成部分</w:t>
            </w:r>
            <w:r>
              <w:rPr>
                <w:rFonts w:cs="Calibri" w:hint="eastAsia"/>
                <w:b/>
                <w:bCs/>
                <w:color w:val="FF0000"/>
                <w:sz w:val="21"/>
                <w:szCs w:val="21"/>
              </w:rPr>
              <w:t>[下达圣旨]</w:t>
            </w:r>
          </w:p>
        </w:tc>
        <w:tc>
          <w:tcPr>
            <w:tcW w:w="43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70C8504"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组成部分→集团</w:t>
            </w:r>
            <w:r>
              <w:rPr>
                <w:rFonts w:cs="Calibri" w:hint="eastAsia"/>
                <w:b/>
                <w:bCs/>
                <w:color w:val="FF0000"/>
                <w:sz w:val="21"/>
                <w:szCs w:val="21"/>
              </w:rPr>
              <w:t>[递上奏折]</w:t>
            </w:r>
          </w:p>
        </w:tc>
      </w:tr>
      <w:tr w:rsidR="00DD615B" w14:paraId="6F563ADE" w14:textId="77777777" w:rsidTr="00DD615B">
        <w:trPr>
          <w:trHeight w:val="2758"/>
          <w:jc w:val="center"/>
        </w:trPr>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91EDCB"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通报和沟通内容</w:t>
            </w:r>
          </w:p>
        </w:tc>
        <w:tc>
          <w:tcPr>
            <w:tcW w:w="33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5C8C10"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（1）组成部分应执行的工作；</w:t>
            </w:r>
          </w:p>
          <w:p w14:paraId="6F7643CF"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集团项目组对其工作的利用；</w:t>
            </w:r>
          </w:p>
          <w:p w14:paraId="27146219"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（2）沟通的形式和内容</w:t>
            </w:r>
          </w:p>
          <w:p w14:paraId="54042356"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（3）配合集团项目组的工作</w:t>
            </w:r>
          </w:p>
          <w:p w14:paraId="3DCC744E"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（4）职业道德和独立性</w:t>
            </w:r>
          </w:p>
          <w:p w14:paraId="6796BAE9"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（5）重要性和临界值</w:t>
            </w:r>
          </w:p>
          <w:p w14:paraId="1C8D7009"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（6）导致集团财务报表发生重大错报的特别风险</w:t>
            </w:r>
          </w:p>
          <w:p w14:paraId="790FD89E"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（7）集团管理层编制的关联方清单</w:t>
            </w:r>
          </w:p>
        </w:tc>
        <w:tc>
          <w:tcPr>
            <w:tcW w:w="43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F60CF2"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（1）遵守职业道德的情况</w:t>
            </w:r>
          </w:p>
          <w:p w14:paraId="4D5BA151"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（2）是否遵守集团项目组的要求</w:t>
            </w:r>
          </w:p>
          <w:p w14:paraId="4F486E93"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（3）组成部分财务信息</w:t>
            </w:r>
          </w:p>
          <w:p w14:paraId="28C6E88D"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（4）因违反法律法规可能导致集团报表发生重大错报的信息</w:t>
            </w:r>
          </w:p>
          <w:p w14:paraId="71D43951"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（5）达到临界值的未更正错报</w:t>
            </w:r>
          </w:p>
          <w:p w14:paraId="75A7DF4B"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（6）管理层偏向的迹象</w:t>
            </w:r>
          </w:p>
          <w:p w14:paraId="442E3EA6"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（7）值得关注的内部控制缺陷</w:t>
            </w:r>
          </w:p>
          <w:p w14:paraId="3D2650A1"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（8）组成部分管理层及其他人员的舞弊或舞弊嫌疑</w:t>
            </w:r>
          </w:p>
          <w:p w14:paraId="01F000AA"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（9）总体发现、形成的结论和意见等</w:t>
            </w:r>
          </w:p>
        </w:tc>
      </w:tr>
    </w:tbl>
    <w:p w14:paraId="5A1D50EF"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1B6BC2A"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4A5D5AD8"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下列各项中，属于组成部分注册会计师应当向集团项目组通报的内容的是（　　）。</w:t>
      </w:r>
    </w:p>
    <w:p w14:paraId="7A72E429"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A.组成部分财务信息中未更正错报的清单</w:t>
      </w:r>
    </w:p>
    <w:p w14:paraId="24A7F4FA"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B.低于集团项目组通报的明显微小错报临界值的错报</w:t>
      </w:r>
    </w:p>
    <w:p w14:paraId="5A6DECDE"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C.对组成部分实施审计时的重要性水平</w:t>
      </w:r>
    </w:p>
    <w:p w14:paraId="4624D684"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D.集团管理层编制的关联方清单</w:t>
      </w:r>
    </w:p>
    <w:p w14:paraId="0E4665F1"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3DC175D0"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[点评]选项B中，低于集团项目组通报的明显微小错报临界值的错报，组成部分注册会计师通常无需向集团项目组通报；选项C和选项D中，属于集团项目组向组成部分注册会计师通报的内容。</w:t>
      </w:r>
    </w:p>
    <w:p w14:paraId="41D18D4C"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2.评价沟通</w:t>
      </w:r>
    </w:p>
    <w:p w14:paraId="1F266332" w14:textId="77777777" w:rsidR="00DD615B" w:rsidRDefault="00DD615B" w:rsidP="00DD615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（1）集团项目组</w:t>
      </w:r>
      <w:r>
        <w:rPr>
          <w:rFonts w:cs="Calibri" w:hint="eastAsia"/>
          <w:b/>
          <w:bCs/>
          <w:color w:val="FF0000"/>
          <w:sz w:val="21"/>
          <w:szCs w:val="21"/>
        </w:rPr>
        <w:t>应当</w:t>
      </w:r>
      <w:r>
        <w:rPr>
          <w:rFonts w:cs="Calibri" w:hint="eastAsia"/>
          <w:color w:val="3F3F3F"/>
          <w:sz w:val="21"/>
          <w:szCs w:val="21"/>
        </w:rPr>
        <w:t>与组成部分注册会计师、组成部分管理层或集团公司管理层讨论发现的重大事项；</w:t>
      </w:r>
    </w:p>
    <w:p w14:paraId="1EB82CB0" w14:textId="77777777" w:rsidR="00DD615B" w:rsidRDefault="00DD615B" w:rsidP="00DD615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（2）确定是否有必要复核组成部分注册会计师工作底稿的相关部分。在复核时，通常关注与</w:t>
      </w:r>
      <w:r>
        <w:rPr>
          <w:rFonts w:cs="Calibri" w:hint="eastAsia"/>
          <w:b/>
          <w:bCs/>
          <w:color w:val="FF0000"/>
          <w:sz w:val="21"/>
          <w:szCs w:val="21"/>
        </w:rPr>
        <w:t>集团特别风险相关</w:t>
      </w:r>
      <w:r>
        <w:rPr>
          <w:rFonts w:cs="Calibri" w:hint="eastAsia"/>
          <w:color w:val="3F3F3F"/>
          <w:sz w:val="21"/>
          <w:szCs w:val="21"/>
        </w:rPr>
        <w:t>的审计工作底稿。</w:t>
      </w:r>
    </w:p>
    <w:p w14:paraId="1A972645"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二、评价审计证据</w:t>
      </w:r>
    </w:p>
    <w:p w14:paraId="33A3DFBD"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1.评价内容</w:t>
      </w:r>
    </w:p>
    <w:p w14:paraId="30CB11C1"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集团项目组应当评价是否已获取充分、适当的审计证据，作为形成集团审计意见的基础，如否，可以要求组成部分注册会计师对组成部分财务信息</w:t>
      </w:r>
      <w:r>
        <w:rPr>
          <w:rFonts w:cs="Calibri" w:hint="eastAsia"/>
          <w:b/>
          <w:bCs/>
          <w:color w:val="FF0000"/>
          <w:sz w:val="21"/>
          <w:szCs w:val="21"/>
        </w:rPr>
        <w:t>实施追加的程序</w:t>
      </w:r>
      <w:r>
        <w:rPr>
          <w:rFonts w:cs="Calibri" w:hint="eastAsia"/>
          <w:color w:val="3F3F3F"/>
          <w:sz w:val="21"/>
          <w:szCs w:val="21"/>
        </w:rPr>
        <w:t>；如不可行，集团项目组可以</w:t>
      </w:r>
      <w:r>
        <w:rPr>
          <w:rFonts w:cs="Calibri" w:hint="eastAsia"/>
          <w:b/>
          <w:bCs/>
          <w:color w:val="FF0000"/>
          <w:sz w:val="21"/>
          <w:szCs w:val="21"/>
        </w:rPr>
        <w:t>直接</w:t>
      </w:r>
      <w:r>
        <w:rPr>
          <w:rFonts w:cs="Calibri" w:hint="eastAsia"/>
          <w:color w:val="3F3F3F"/>
          <w:sz w:val="21"/>
          <w:szCs w:val="21"/>
        </w:rPr>
        <w:t>对组成部分财务信息实施程序。</w:t>
      </w:r>
    </w:p>
    <w:p w14:paraId="7974E683"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2.审计范围受到限制</w:t>
      </w:r>
    </w:p>
    <w:p w14:paraId="14BC21C9" w14:textId="77777777" w:rsidR="00DD615B" w:rsidRDefault="00DD615B" w:rsidP="00DD615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（1）情形</w:t>
      </w:r>
    </w:p>
    <w:tbl>
      <w:tblPr>
        <w:tblW w:w="8505" w:type="dxa"/>
        <w:jc w:val="center"/>
        <w:tblCellMar>
          <w:left w:w="0" w:type="dxa"/>
          <w:right w:w="0" w:type="dxa"/>
        </w:tblCellMar>
        <w:tblLook w:val="04A0" w:firstRow="1" w:lastRow="0" w:firstColumn="1" w:lastColumn="0" w:noHBand="0" w:noVBand="1"/>
      </w:tblPr>
      <w:tblGrid>
        <w:gridCol w:w="1605"/>
        <w:gridCol w:w="6900"/>
      </w:tblGrid>
      <w:tr w:rsidR="00DD615B" w14:paraId="42C32CA6" w14:textId="77777777" w:rsidTr="00DD615B">
        <w:trPr>
          <w:trHeight w:val="425"/>
          <w:jc w:val="center"/>
        </w:trPr>
        <w:tc>
          <w:tcPr>
            <w:tcW w:w="1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68C89B"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限制来源</w:t>
            </w:r>
          </w:p>
        </w:tc>
        <w:tc>
          <w:tcPr>
            <w:tcW w:w="66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EE498B5"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处理方法</w:t>
            </w:r>
          </w:p>
        </w:tc>
      </w:tr>
      <w:tr w:rsidR="00DD615B" w14:paraId="49574630" w14:textId="77777777" w:rsidTr="00DD615B">
        <w:trPr>
          <w:trHeight w:val="145"/>
          <w:jc w:val="center"/>
        </w:trPr>
        <w:tc>
          <w:tcPr>
            <w:tcW w:w="1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4AE6D"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重要组成部分</w:t>
            </w:r>
          </w:p>
        </w:tc>
        <w:tc>
          <w:tcPr>
            <w:tcW w:w="6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F4686F"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如果无法获取充分、适当的审计证据，需要考虑对审计意见的影响</w:t>
            </w:r>
          </w:p>
        </w:tc>
      </w:tr>
      <w:tr w:rsidR="00DD615B" w14:paraId="71CCD5E4" w14:textId="77777777" w:rsidTr="00DD615B">
        <w:trPr>
          <w:trHeight w:val="1277"/>
          <w:jc w:val="center"/>
        </w:trPr>
        <w:tc>
          <w:tcPr>
            <w:tcW w:w="1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2C6D70"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非重要组成部分</w:t>
            </w:r>
          </w:p>
        </w:tc>
        <w:tc>
          <w:tcPr>
            <w:tcW w:w="6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6F3EE6"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仍有可能</w:t>
            </w:r>
            <w:r>
              <w:rPr>
                <w:rFonts w:cs="Calibri" w:hint="eastAsia"/>
                <w:color w:val="333333"/>
                <w:sz w:val="21"/>
                <w:szCs w:val="21"/>
              </w:rPr>
              <w:t>获取充分、适当的审计证据；例如，对于按权益法核算的组成部分，集团项目组拥有其整套财务报表和审计报告，并能接触集团管理层拥有的与该组成部分相关的信息，则可能认为已构成充分、适当的审计证据</w:t>
            </w:r>
            <w:r>
              <w:rPr>
                <w:rFonts w:cs="Calibri" w:hint="eastAsia"/>
                <w:b/>
                <w:bCs/>
                <w:color w:val="FF0000"/>
                <w:sz w:val="21"/>
                <w:szCs w:val="21"/>
              </w:rPr>
              <w:t>[易考点]</w:t>
            </w:r>
          </w:p>
        </w:tc>
      </w:tr>
    </w:tbl>
    <w:p w14:paraId="5A3691F3" w14:textId="77777777" w:rsidR="00DD615B" w:rsidRDefault="00DD615B" w:rsidP="00DD615B">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"http://webupload.admin.dongao.com/biz/handout/img/2019/20190619/20190619121036382002.png" \* MERGEFORMATINET </w:instrText>
      </w:r>
      <w:r>
        <w:rPr>
          <w:rFonts w:cs="Calibri"/>
          <w:color w:val="3F3F3F"/>
          <w:sz w:val="21"/>
          <w:szCs w:val="21"/>
        </w:rPr>
        <w:fldChar w:fldCharType="separate"/>
      </w:r>
      <w:r>
        <w:rPr>
          <w:rFonts w:cs="Calibri"/>
          <w:color w:val="3F3F3F"/>
          <w:sz w:val="21"/>
          <w:szCs w:val="21"/>
        </w:rPr>
        <w:pict>
          <v:shape id="_x0000_i1026" type="#_x0000_t75" alt="说明: C:\Users\leiyuxin\Desktop\图片1.png" style="width:279.75pt;height:206.25pt">
            <v:imagedata r:id="rId9" r:href="rId10"/>
          </v:shape>
        </w:pict>
      </w:r>
      <w:r>
        <w:rPr>
          <w:rFonts w:cs="Calibri"/>
          <w:color w:val="3F3F3F"/>
          <w:sz w:val="21"/>
          <w:szCs w:val="21"/>
        </w:rPr>
        <w:fldChar w:fldCharType="end"/>
      </w:r>
    </w:p>
    <w:p w14:paraId="7A89F682" w14:textId="77777777" w:rsidR="00DD615B" w:rsidRDefault="00DD615B" w:rsidP="00DD615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（2）措施</w:t>
      </w:r>
    </w:p>
    <w:p w14:paraId="19C2D443"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如集团管理层施加的限制可能导致对集团财务报表发表无法表示意见，集团项目合伙人应当视情况采取下列措施：</w:t>
      </w:r>
    </w:p>
    <w:p w14:paraId="6255CBB4"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A）如果是新业务，</w:t>
      </w:r>
      <w:r>
        <w:rPr>
          <w:rFonts w:cs="Calibri" w:hint="eastAsia"/>
          <w:b/>
          <w:bCs/>
          <w:color w:val="FF0000"/>
          <w:sz w:val="21"/>
          <w:szCs w:val="21"/>
        </w:rPr>
        <w:t>拒绝接受</w:t>
      </w:r>
      <w:r>
        <w:rPr>
          <w:rFonts w:cs="Calibri" w:hint="eastAsia"/>
          <w:color w:val="3F3F3F"/>
          <w:sz w:val="21"/>
          <w:szCs w:val="21"/>
        </w:rPr>
        <w:t>业务委托；</w:t>
      </w:r>
    </w:p>
    <w:p w14:paraId="1074AF88"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B）如果是连续审计业务，法律法规允许时，</w:t>
      </w:r>
      <w:r>
        <w:rPr>
          <w:rFonts w:cs="Calibri" w:hint="eastAsia"/>
          <w:b/>
          <w:bCs/>
          <w:color w:val="FF0000"/>
          <w:sz w:val="21"/>
          <w:szCs w:val="21"/>
        </w:rPr>
        <w:t>解除</w:t>
      </w:r>
      <w:r>
        <w:rPr>
          <w:rFonts w:cs="Calibri" w:hint="eastAsia"/>
          <w:color w:val="3F3F3F"/>
          <w:sz w:val="21"/>
          <w:szCs w:val="21"/>
        </w:rPr>
        <w:t>业务约定；</w:t>
      </w:r>
    </w:p>
    <w:p w14:paraId="677EA089"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C）如法律法规禁止拒绝接受委托或解约，对集团财务报表发表</w:t>
      </w:r>
      <w:r>
        <w:rPr>
          <w:rFonts w:cs="Calibri" w:hint="eastAsia"/>
          <w:b/>
          <w:bCs/>
          <w:color w:val="FF0000"/>
          <w:sz w:val="21"/>
          <w:szCs w:val="21"/>
        </w:rPr>
        <w:t>无法表示意见</w:t>
      </w:r>
      <w:r>
        <w:rPr>
          <w:rFonts w:cs="Calibri" w:hint="eastAsia"/>
          <w:color w:val="3F3F3F"/>
          <w:sz w:val="21"/>
          <w:szCs w:val="21"/>
        </w:rPr>
        <w:t>。</w:t>
      </w:r>
    </w:p>
    <w:p w14:paraId="7FE1A772"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三、与集团管理层和治理层沟通</w:t>
      </w:r>
    </w:p>
    <w:p w14:paraId="0EE1AE0A"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1.与集团管理层的沟通</w:t>
      </w:r>
    </w:p>
    <w:tbl>
      <w:tblPr>
        <w:tblW w:w="8505" w:type="dxa"/>
        <w:jc w:val="center"/>
        <w:tblCellMar>
          <w:left w:w="0" w:type="dxa"/>
          <w:right w:w="0" w:type="dxa"/>
        </w:tblCellMar>
        <w:tblLook w:val="04A0" w:firstRow="1" w:lastRow="0" w:firstColumn="1" w:lastColumn="0" w:noHBand="0" w:noVBand="1"/>
      </w:tblPr>
      <w:tblGrid>
        <w:gridCol w:w="1105"/>
        <w:gridCol w:w="7400"/>
      </w:tblGrid>
      <w:tr w:rsidR="00DD615B" w14:paraId="65A4264B" w14:textId="77777777" w:rsidTr="00DD615B">
        <w:trPr>
          <w:trHeight w:val="60"/>
          <w:jc w:val="center"/>
        </w:trPr>
        <w:tc>
          <w:tcPr>
            <w:tcW w:w="1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DE5F39" w14:textId="77777777" w:rsidR="00DD615B" w:rsidRDefault="00DD615B" w:rsidP="00DD615B">
            <w:pPr>
              <w:rPr>
                <w:rFonts w:eastAsia="微软雅黑" w:cs="Calibri"/>
                <w:color w:val="3F3F3F"/>
                <w:szCs w:val="21"/>
              </w:rPr>
            </w:pPr>
          </w:p>
        </w:tc>
        <w:tc>
          <w:tcPr>
            <w:tcW w:w="74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7F7B9EB"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沟通内容</w:t>
            </w:r>
          </w:p>
        </w:tc>
      </w:tr>
      <w:tr w:rsidR="00DD615B" w14:paraId="16123E00" w14:textId="77777777" w:rsidTr="00DD615B">
        <w:trPr>
          <w:trHeight w:val="416"/>
          <w:jc w:val="center"/>
        </w:trPr>
        <w:tc>
          <w:tcPr>
            <w:tcW w:w="1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DE562"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内控</w:t>
            </w:r>
          </w:p>
          <w:p w14:paraId="5E35CE25"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缺陷</w:t>
            </w:r>
          </w:p>
        </w:tc>
        <w:tc>
          <w:tcPr>
            <w:tcW w:w="7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3250B6"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（1）集团项目组识别出的集团层面内部控制缺陷</w:t>
            </w:r>
          </w:p>
          <w:p w14:paraId="124F25D8"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（2）集团项目组识别出的组成部分层面内部控制缺陷</w:t>
            </w:r>
          </w:p>
          <w:p w14:paraId="016B8D24"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lastRenderedPageBreak/>
              <w:t>（3）组成部分注册会计师提请集团项目组关注的内部控制缺陷</w:t>
            </w:r>
          </w:p>
        </w:tc>
      </w:tr>
      <w:tr w:rsidR="00DD615B" w14:paraId="19353A91" w14:textId="77777777" w:rsidTr="00DD615B">
        <w:trPr>
          <w:trHeight w:val="558"/>
          <w:jc w:val="center"/>
        </w:trPr>
        <w:tc>
          <w:tcPr>
            <w:tcW w:w="1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E14803"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lastRenderedPageBreak/>
              <w:t>舞弊</w:t>
            </w:r>
          </w:p>
        </w:tc>
        <w:tc>
          <w:tcPr>
            <w:tcW w:w="7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948167"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如集团项目组识别出舞弊，或组成部分注册会计师提请集团项目组关注舞弊，或者有关信息表明可能存在舞弊，集团项目组应</w:t>
            </w:r>
            <w:r>
              <w:rPr>
                <w:rFonts w:cs="Calibri" w:hint="eastAsia"/>
                <w:b/>
                <w:bCs/>
                <w:color w:val="FF0000"/>
                <w:sz w:val="21"/>
                <w:szCs w:val="21"/>
              </w:rPr>
              <w:t>及时</w:t>
            </w:r>
            <w:r>
              <w:rPr>
                <w:rFonts w:cs="Calibri" w:hint="eastAsia"/>
                <w:color w:val="333333"/>
                <w:sz w:val="21"/>
                <w:szCs w:val="21"/>
              </w:rPr>
              <w:t>向管理层通报</w:t>
            </w:r>
          </w:p>
        </w:tc>
      </w:tr>
      <w:tr w:rsidR="00DD615B" w14:paraId="22C88BB3" w14:textId="77777777" w:rsidTr="00DD615B">
        <w:trPr>
          <w:trHeight w:val="623"/>
          <w:jc w:val="center"/>
        </w:trPr>
        <w:tc>
          <w:tcPr>
            <w:tcW w:w="1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14809A"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组成</w:t>
            </w:r>
          </w:p>
          <w:p w14:paraId="6F966910"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部分</w:t>
            </w:r>
          </w:p>
          <w:p w14:paraId="784971D6" w14:textId="77777777" w:rsidR="00DD615B" w:rsidRDefault="00DD615B" w:rsidP="00DD615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事项</w:t>
            </w:r>
          </w:p>
        </w:tc>
        <w:tc>
          <w:tcPr>
            <w:tcW w:w="7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A115A8" w14:textId="77777777" w:rsidR="00DD615B" w:rsidRDefault="00DD615B" w:rsidP="00DD615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于组成部分财务报表产生重要影响但组成部分管理层尚未知悉的事项，集团项目组应要求集团管理层告知组成部分管理层。如集团管理层拒绝向组成部分管理层通报，集团项目组应与集团治理层讨论。如事项仍未得到解决，集团项目组应考虑是否建议组成部分注册会计师在该事项得到解决之前，不对组成部分财务报表出具审计报告</w:t>
            </w:r>
          </w:p>
        </w:tc>
      </w:tr>
    </w:tbl>
    <w:p w14:paraId="02A41850"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2.与集团治理层的沟通</w:t>
      </w:r>
      <w:r>
        <w:rPr>
          <w:rFonts w:cs="Calibri" w:hint="eastAsia"/>
          <w:b/>
          <w:bCs/>
          <w:color w:val="FF0000"/>
          <w:sz w:val="21"/>
          <w:szCs w:val="21"/>
        </w:rPr>
        <w:t>[链接第14章]</w:t>
      </w:r>
    </w:p>
    <w:p w14:paraId="6C457712" w14:textId="77777777" w:rsidR="00DD615B" w:rsidRDefault="00DD615B" w:rsidP="00DD615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（1）对组成部分财务信息拟执行工作的类型的</w:t>
      </w:r>
      <w:r>
        <w:rPr>
          <w:rFonts w:cs="Calibri" w:hint="eastAsia"/>
          <w:b/>
          <w:bCs/>
          <w:color w:val="FF0000"/>
          <w:sz w:val="21"/>
          <w:szCs w:val="21"/>
        </w:rPr>
        <w:t>概述</w:t>
      </w:r>
      <w:r>
        <w:rPr>
          <w:rFonts w:cs="Calibri" w:hint="eastAsia"/>
          <w:color w:val="3F3F3F"/>
          <w:sz w:val="21"/>
          <w:szCs w:val="21"/>
        </w:rPr>
        <w:t>；</w:t>
      </w:r>
    </w:p>
    <w:p w14:paraId="3FF5EEB8" w14:textId="77777777" w:rsidR="00DD615B" w:rsidRDefault="00DD615B" w:rsidP="00DD615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（2）在组成部分注册会计师对重要组成部分财务信息拟执行的工作中，集团项目组计划参与其工作的性质的</w:t>
      </w:r>
      <w:r>
        <w:rPr>
          <w:rFonts w:cs="Calibri" w:hint="eastAsia"/>
          <w:b/>
          <w:bCs/>
          <w:color w:val="FF0000"/>
          <w:sz w:val="21"/>
          <w:szCs w:val="21"/>
        </w:rPr>
        <w:t>概述</w:t>
      </w:r>
      <w:r>
        <w:rPr>
          <w:rFonts w:cs="Calibri" w:hint="eastAsia"/>
          <w:color w:val="3F3F3F"/>
          <w:sz w:val="21"/>
          <w:szCs w:val="21"/>
        </w:rPr>
        <w:t>；</w:t>
      </w:r>
    </w:p>
    <w:p w14:paraId="58D3D917" w14:textId="77777777" w:rsidR="00DD615B" w:rsidRDefault="00DD615B" w:rsidP="00DD615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（3）对组成部分注册会计师工作作出的评价，引起集团项目组对组成部分注册会计师工作质量</w:t>
      </w:r>
      <w:r>
        <w:rPr>
          <w:rFonts w:cs="Calibri" w:hint="eastAsia"/>
          <w:b/>
          <w:bCs/>
          <w:color w:val="FF0000"/>
          <w:sz w:val="21"/>
          <w:szCs w:val="21"/>
        </w:rPr>
        <w:t>产生疑虑</w:t>
      </w:r>
      <w:r>
        <w:rPr>
          <w:rFonts w:cs="Calibri" w:hint="eastAsia"/>
          <w:color w:val="3F3F3F"/>
          <w:sz w:val="21"/>
          <w:szCs w:val="21"/>
        </w:rPr>
        <w:t>的情形；</w:t>
      </w:r>
    </w:p>
    <w:p w14:paraId="523C35CD" w14:textId="77777777" w:rsidR="00DD615B" w:rsidRDefault="00DD615B" w:rsidP="00DD615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（4）集团审计受到的限制，如接触某些信息受到的限制；</w:t>
      </w:r>
      <w:r>
        <w:rPr>
          <w:rFonts w:cs="Calibri" w:hint="eastAsia"/>
          <w:b/>
          <w:bCs/>
          <w:color w:val="FF0000"/>
          <w:sz w:val="21"/>
          <w:szCs w:val="21"/>
        </w:rPr>
        <w:t>[重大困难]</w:t>
      </w:r>
    </w:p>
    <w:p w14:paraId="6AE8C945" w14:textId="77777777" w:rsidR="00DD615B" w:rsidRDefault="00DD615B" w:rsidP="00DD615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（5）涉及集团管理层、组成部分管理层、在集团层面控制中承担重要职责的员工以及其他人员的</w:t>
      </w:r>
      <w:r>
        <w:rPr>
          <w:rFonts w:cs="Calibri" w:hint="eastAsia"/>
          <w:b/>
          <w:bCs/>
          <w:color w:val="FF0000"/>
          <w:sz w:val="21"/>
          <w:szCs w:val="21"/>
        </w:rPr>
        <w:t>舞弊或舞弊嫌疑。[易考点]</w:t>
      </w:r>
    </w:p>
    <w:p w14:paraId="7F7E470F"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A791957"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单项选择题【2013年真题】</w:t>
      </w:r>
    </w:p>
    <w:p w14:paraId="02CDE112"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下列有关集团项目组与集团治理层的沟通内容的说法中，错误的是（　　）。</w:t>
      </w:r>
    </w:p>
    <w:p w14:paraId="2F402770"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A.沟通内容应当包括引起集团项目组对组成部分注册会计师工作质量产生疑虑的情形</w:t>
      </w:r>
    </w:p>
    <w:p w14:paraId="4B35BA7F"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B.沟通内容应当包括集团项目组计划参与组成部分注册会计师工作的性质的概述</w:t>
      </w:r>
    </w:p>
    <w:p w14:paraId="67407D91"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C.如果集团项目组认为组成部分管理层的舞弊行为不会导致集团财务报表发生重大错报，无需就该事项进行沟通</w:t>
      </w:r>
    </w:p>
    <w:p w14:paraId="301DFEF1"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D.沟通内容应当包括集团项目组对组成部分注册会计师工作作出的评价</w:t>
      </w:r>
    </w:p>
    <w:p w14:paraId="09CA202C"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2A40E970"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[点评]集团审计项目组了解到涉及集团管理层、组成部分管理层、在集团层面控制中承担重要职责的员工以及其他人员的舞弊或舞弊嫌疑，应当与集团治理层沟通。</w:t>
      </w:r>
    </w:p>
    <w:p w14:paraId="17484309" w14:textId="77777777" w:rsidR="00DD615B" w:rsidRDefault="00DD615B" w:rsidP="00DD615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4A405F79" w14:textId="77777777" w:rsidR="00DD615B" w:rsidRDefault="00DD615B" w:rsidP="00DD615B">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"http://webupload.admin.dongao.com/biz/handout/img/2019/20190619/20190619121036638003.jpg" \* MERGEFORMATINET </w:instrText>
      </w:r>
      <w:r>
        <w:rPr>
          <w:rFonts w:cs="Calibri"/>
          <w:color w:val="3F3F3F"/>
          <w:sz w:val="21"/>
          <w:szCs w:val="21"/>
        </w:rPr>
        <w:fldChar w:fldCharType="separate"/>
      </w:r>
      <w:r>
        <w:rPr>
          <w:rFonts w:cs="Calibri"/>
          <w:color w:val="3F3F3F"/>
          <w:sz w:val="21"/>
          <w:szCs w:val="21"/>
        </w:rPr>
        <w:pict>
          <v:shape id="_x0000_i1027" type="#_x0000_t75" alt="说明: C:\Users\leiyuxin\Desktop\1605手写板2.png" style="width:315.75pt;height:185.25pt">
            <v:imagedata r:id="rId11" r:href="rId12"/>
          </v:shape>
        </w:pict>
      </w:r>
      <w:r>
        <w:rPr>
          <w:rFonts w:cs="Calibri"/>
          <w:color w:val="3F3F3F"/>
          <w:sz w:val="21"/>
          <w:szCs w:val="21"/>
        </w:rPr>
        <w:fldChar w:fldCharType="end"/>
      </w:r>
    </w:p>
    <w:p w14:paraId="229B8F6F"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44DA4D12"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05CB8AC7"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•对于重要性、针对评估的风险采取的应对措施，进行识记；</w:t>
      </w:r>
    </w:p>
    <w:p w14:paraId="6C97A299"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•复习第二章有关重要性的内容；</w:t>
      </w:r>
    </w:p>
    <w:p w14:paraId="1045AB2A"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•收听</w:t>
      </w:r>
      <w:r>
        <w:rPr>
          <w:rFonts w:cs="Calibri" w:hint="eastAsia"/>
          <w:b/>
          <w:bCs/>
          <w:color w:val="FF0000"/>
          <w:sz w:val="21"/>
          <w:szCs w:val="21"/>
        </w:rPr>
        <w:t>“专题班”之集团财务报表审计</w:t>
      </w:r>
      <w:r>
        <w:rPr>
          <w:rFonts w:cs="Calibri" w:hint="eastAsia"/>
          <w:color w:val="3F3F3F"/>
          <w:sz w:val="21"/>
          <w:szCs w:val="21"/>
        </w:rPr>
        <w:t>。</w:t>
      </w:r>
    </w:p>
    <w:p w14:paraId="5BC42D2B" w14:textId="77777777" w:rsidR="00DD615B" w:rsidRDefault="00DD615B" w:rsidP="00DD615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第二轮：</w:t>
      </w:r>
    </w:p>
    <w:p w14:paraId="1005AC55" w14:textId="77777777" w:rsidR="00DD615B" w:rsidRDefault="00DD615B" w:rsidP="00DD615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•复习“评估——计划——应对”三步曲的核心考点和解题模式。</w:t>
      </w:r>
    </w:p>
    <w:p w14:paraId="44B0E6F6" w14:textId="77777777" w:rsidR="00DD615B" w:rsidRDefault="00DD615B" w:rsidP="00DD615B">
      <w:pPr>
        <w:shd w:val="clear" w:color="auto" w:fill="FFFFFF"/>
        <w:rPr>
          <w:rFonts w:ascii="微软雅黑" w:eastAsia="微软雅黑" w:hAnsi="微软雅黑" w:cs="宋体"/>
          <w:color w:val="3F3F3F"/>
          <w:szCs w:val="21"/>
        </w:rPr>
      </w:pPr>
    </w:p>
    <w:p w14:paraId="51993A0B" w14:textId="77777777" w:rsidR="00271D8C" w:rsidRPr="00DD615B" w:rsidRDefault="00271D8C" w:rsidP="00DD615B">
      <w:pPr>
        <w:rPr>
          <w:rFonts w:hint="eastAsia"/>
        </w:rPr>
      </w:pPr>
    </w:p>
    <w:sectPr w:rsidR="00271D8C" w:rsidRPr="00DD615B" w:rsidSect="001F62DD">
      <w:headerReference w:type="default" r:id="rId13"/>
      <w:footerReference w:type="default" r:id="rId14"/>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50203" w14:textId="77777777" w:rsidR="0032125A" w:rsidRDefault="0032125A" w:rsidP="00CD53C5">
      <w:r>
        <w:separator/>
      </w:r>
    </w:p>
  </w:endnote>
  <w:endnote w:type="continuationSeparator" w:id="0">
    <w:p w14:paraId="3F3E9036" w14:textId="77777777" w:rsidR="0032125A" w:rsidRDefault="0032125A"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208C32BF" w14:textId="77777777" w:rsidTr="007B0BFD">
      <w:trPr>
        <w:trHeight w:val="274"/>
      </w:trPr>
      <w:tc>
        <w:tcPr>
          <w:tcW w:w="2050" w:type="dxa"/>
          <w:shd w:val="clear" w:color="auto" w:fill="auto"/>
          <w:vAlign w:val="center"/>
        </w:tcPr>
        <w:p w14:paraId="12392980"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visibility:visible">
                <v:imagedata r:id="rId1" o:title=""/>
              </v:shape>
            </w:pict>
          </w:r>
        </w:p>
      </w:tc>
      <w:tc>
        <w:tcPr>
          <w:tcW w:w="3742" w:type="dxa"/>
          <w:shd w:val="clear" w:color="auto" w:fill="auto"/>
          <w:vAlign w:val="center"/>
        </w:tcPr>
        <w:p w14:paraId="35F9CCBF"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4B308C89"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3D838E19"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48731" w14:textId="77777777" w:rsidR="0032125A" w:rsidRDefault="0032125A" w:rsidP="00CD53C5">
      <w:r>
        <w:separator/>
      </w:r>
    </w:p>
  </w:footnote>
  <w:footnote w:type="continuationSeparator" w:id="0">
    <w:p w14:paraId="47814F6C" w14:textId="77777777" w:rsidR="0032125A" w:rsidRDefault="0032125A"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4655DEBD" w14:textId="77777777" w:rsidTr="007B0BFD">
      <w:trPr>
        <w:trHeight w:val="501"/>
      </w:trPr>
      <w:tc>
        <w:tcPr>
          <w:tcW w:w="4272" w:type="dxa"/>
          <w:shd w:val="clear" w:color="auto" w:fill="auto"/>
          <w:vAlign w:val="center"/>
        </w:tcPr>
        <w:p w14:paraId="562594B8" w14:textId="77777777" w:rsidR="001545C6" w:rsidRPr="001F62DD" w:rsidRDefault="00DD615B"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7AC72EA8" w14:textId="77777777" w:rsidR="001545C6" w:rsidRPr="004D61E7" w:rsidRDefault="00DD615B"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第十六章</w:t>
          </w:r>
          <w:r>
            <w:rPr>
              <w:rFonts w:ascii="微软雅黑" w:eastAsia="微软雅黑" w:hAnsi="微软雅黑"/>
              <w:sz w:val="24"/>
              <w:szCs w:val="24"/>
            </w:rPr>
            <w:t>+对集团财务报表审计的特殊考虑</w:t>
          </w:r>
        </w:p>
      </w:tc>
    </w:tr>
  </w:tbl>
  <w:p w14:paraId="674ECE4D"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2125A"/>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19C7"/>
    <w:rsid w:val="00DC6EA5"/>
    <w:rsid w:val="00DD615B"/>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68E88DC"/>
  <w15:docId w15:val="{78F83D7A-3C69-478D-8936-2FF3DB4D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326787170">
      <w:bodyDiv w:val="1"/>
      <w:marLeft w:val="0"/>
      <w:marRight w:val="0"/>
      <w:marTop w:val="0"/>
      <w:marBottom w:val="0"/>
      <w:divBdr>
        <w:top w:val="none" w:sz="0" w:space="0" w:color="auto"/>
        <w:left w:val="none" w:sz="0" w:space="0" w:color="auto"/>
        <w:bottom w:val="none" w:sz="0" w:space="0" w:color="auto"/>
        <w:right w:val="none" w:sz="0" w:space="0" w:color="auto"/>
      </w:divBdr>
      <w:divsChild>
        <w:div w:id="532883576">
          <w:marLeft w:val="0"/>
          <w:marRight w:val="0"/>
          <w:marTop w:val="0"/>
          <w:marBottom w:val="0"/>
          <w:divBdr>
            <w:top w:val="none" w:sz="0" w:space="0" w:color="auto"/>
            <w:left w:val="none" w:sz="0" w:space="0" w:color="auto"/>
            <w:bottom w:val="none" w:sz="0" w:space="0" w:color="auto"/>
            <w:right w:val="none" w:sz="0" w:space="0" w:color="auto"/>
          </w:divBdr>
          <w:divsChild>
            <w:div w:id="80495075">
              <w:marLeft w:val="0"/>
              <w:marRight w:val="0"/>
              <w:marTop w:val="0"/>
              <w:marBottom w:val="0"/>
              <w:divBdr>
                <w:top w:val="none" w:sz="0" w:space="0" w:color="auto"/>
                <w:left w:val="none" w:sz="0" w:space="0" w:color="auto"/>
                <w:bottom w:val="none" w:sz="0" w:space="0" w:color="auto"/>
                <w:right w:val="none" w:sz="0" w:space="0" w:color="auto"/>
              </w:divBdr>
            </w:div>
            <w:div w:id="750739211">
              <w:marLeft w:val="0"/>
              <w:marRight w:val="0"/>
              <w:marTop w:val="0"/>
              <w:marBottom w:val="0"/>
              <w:divBdr>
                <w:top w:val="none" w:sz="0" w:space="0" w:color="auto"/>
                <w:left w:val="none" w:sz="0" w:space="0" w:color="auto"/>
                <w:bottom w:val="none" w:sz="0" w:space="0" w:color="auto"/>
                <w:right w:val="none" w:sz="0" w:space="0" w:color="auto"/>
              </w:divBdr>
            </w:div>
            <w:div w:id="908152354">
              <w:marLeft w:val="0"/>
              <w:marRight w:val="0"/>
              <w:marTop w:val="0"/>
              <w:marBottom w:val="0"/>
              <w:divBdr>
                <w:top w:val="none" w:sz="0" w:space="0" w:color="auto"/>
                <w:left w:val="none" w:sz="0" w:space="0" w:color="auto"/>
                <w:bottom w:val="none" w:sz="0" w:space="0" w:color="auto"/>
                <w:right w:val="none" w:sz="0" w:space="0" w:color="auto"/>
              </w:divBdr>
            </w:div>
            <w:div w:id="1412511268">
              <w:marLeft w:val="0"/>
              <w:marRight w:val="0"/>
              <w:marTop w:val="0"/>
              <w:marBottom w:val="0"/>
              <w:divBdr>
                <w:top w:val="none" w:sz="0" w:space="0" w:color="auto"/>
                <w:left w:val="none" w:sz="0" w:space="0" w:color="auto"/>
                <w:bottom w:val="none" w:sz="0" w:space="0" w:color="auto"/>
                <w:right w:val="none" w:sz="0" w:space="0" w:color="auto"/>
              </w:divBdr>
            </w:div>
            <w:div w:id="1488399151">
              <w:marLeft w:val="0"/>
              <w:marRight w:val="0"/>
              <w:marTop w:val="0"/>
              <w:marBottom w:val="0"/>
              <w:divBdr>
                <w:top w:val="none" w:sz="0" w:space="0" w:color="auto"/>
                <w:left w:val="none" w:sz="0" w:space="0" w:color="auto"/>
                <w:bottom w:val="none" w:sz="0" w:space="0" w:color="auto"/>
                <w:right w:val="none" w:sz="0" w:space="0" w:color="auto"/>
              </w:divBdr>
            </w:div>
            <w:div w:id="19979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414888750">
      <w:bodyDiv w:val="1"/>
      <w:marLeft w:val="0"/>
      <w:marRight w:val="0"/>
      <w:marTop w:val="0"/>
      <w:marBottom w:val="0"/>
      <w:divBdr>
        <w:top w:val="none" w:sz="0" w:space="0" w:color="auto"/>
        <w:left w:val="none" w:sz="0" w:space="0" w:color="auto"/>
        <w:bottom w:val="none" w:sz="0" w:space="0" w:color="auto"/>
        <w:right w:val="none" w:sz="0" w:space="0" w:color="auto"/>
      </w:divBdr>
      <w:divsChild>
        <w:div w:id="1052927522">
          <w:marLeft w:val="0"/>
          <w:marRight w:val="0"/>
          <w:marTop w:val="0"/>
          <w:marBottom w:val="0"/>
          <w:divBdr>
            <w:top w:val="none" w:sz="0" w:space="0" w:color="auto"/>
            <w:left w:val="none" w:sz="0" w:space="0" w:color="auto"/>
            <w:bottom w:val="none" w:sz="0" w:space="0" w:color="auto"/>
            <w:right w:val="none" w:sz="0" w:space="0" w:color="auto"/>
          </w:divBdr>
          <w:divsChild>
            <w:div w:id="428474831">
              <w:marLeft w:val="0"/>
              <w:marRight w:val="0"/>
              <w:marTop w:val="0"/>
              <w:marBottom w:val="0"/>
              <w:divBdr>
                <w:top w:val="none" w:sz="0" w:space="0" w:color="auto"/>
                <w:left w:val="none" w:sz="0" w:space="0" w:color="auto"/>
                <w:bottom w:val="none" w:sz="0" w:space="0" w:color="auto"/>
                <w:right w:val="none" w:sz="0" w:space="0" w:color="auto"/>
              </w:divBdr>
            </w:div>
            <w:div w:id="515728478">
              <w:marLeft w:val="0"/>
              <w:marRight w:val="0"/>
              <w:marTop w:val="0"/>
              <w:marBottom w:val="0"/>
              <w:divBdr>
                <w:top w:val="none" w:sz="0" w:space="0" w:color="auto"/>
                <w:left w:val="none" w:sz="0" w:space="0" w:color="auto"/>
                <w:bottom w:val="none" w:sz="0" w:space="0" w:color="auto"/>
                <w:right w:val="none" w:sz="0" w:space="0" w:color="auto"/>
              </w:divBdr>
            </w:div>
            <w:div w:id="643049968">
              <w:marLeft w:val="0"/>
              <w:marRight w:val="0"/>
              <w:marTop w:val="0"/>
              <w:marBottom w:val="0"/>
              <w:divBdr>
                <w:top w:val="none" w:sz="0" w:space="0" w:color="auto"/>
                <w:left w:val="none" w:sz="0" w:space="0" w:color="auto"/>
                <w:bottom w:val="none" w:sz="0" w:space="0" w:color="auto"/>
                <w:right w:val="none" w:sz="0" w:space="0" w:color="auto"/>
              </w:divBdr>
            </w:div>
            <w:div w:id="1048382213">
              <w:marLeft w:val="0"/>
              <w:marRight w:val="0"/>
              <w:marTop w:val="0"/>
              <w:marBottom w:val="0"/>
              <w:divBdr>
                <w:top w:val="none" w:sz="0" w:space="0" w:color="auto"/>
                <w:left w:val="none" w:sz="0" w:space="0" w:color="auto"/>
                <w:bottom w:val="none" w:sz="0" w:space="0" w:color="auto"/>
                <w:right w:val="none" w:sz="0" w:space="0" w:color="auto"/>
              </w:divBdr>
            </w:div>
            <w:div w:id="1941988534">
              <w:marLeft w:val="0"/>
              <w:marRight w:val="0"/>
              <w:marTop w:val="0"/>
              <w:marBottom w:val="0"/>
              <w:divBdr>
                <w:top w:val="none" w:sz="0" w:space="0" w:color="auto"/>
                <w:left w:val="none" w:sz="0" w:space="0" w:color="auto"/>
                <w:bottom w:val="none" w:sz="0" w:space="0" w:color="auto"/>
                <w:right w:val="none" w:sz="0" w:space="0" w:color="auto"/>
              </w:divBdr>
            </w:div>
            <w:div w:id="20740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19/20190619121036590001.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619/20190619121036638003.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ebupload.admin.dongao.com/biz/handout/img/2019/20190619/20190619121036382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0883E-E097-419F-80F3-C7B1B2B54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