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163BA" w14:textId="77777777" w:rsidR="00FC35A6" w:rsidRDefault="00FC35A6" w:rsidP="00FC35A6">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第十七章</w:t>
      </w:r>
      <w:r>
        <w:rPr>
          <w:rFonts w:cs="Calibri" w:hint="eastAsia"/>
          <w:b/>
          <w:bCs/>
          <w:color w:val="3F3F3F"/>
          <w:sz w:val="52"/>
          <w:szCs w:val="52"/>
        </w:rPr>
        <w:t>•</w:t>
      </w:r>
      <w:r>
        <w:rPr>
          <w:rFonts w:ascii="楷体" w:eastAsia="楷体" w:hAnsi="楷体" w:cs="Calibri" w:hint="eastAsia"/>
          <w:b/>
          <w:bCs/>
          <w:color w:val="3F3F3F"/>
          <w:sz w:val="52"/>
          <w:szCs w:val="52"/>
        </w:rPr>
        <w:t>其他特殊项目的审计</w:t>
      </w:r>
    </w:p>
    <w:p w14:paraId="1F3BBBF3" w14:textId="77777777" w:rsidR="00FC35A6" w:rsidRDefault="00FC35A6" w:rsidP="00FC35A6">
      <w:pPr>
        <w:pStyle w:val="aa"/>
        <w:shd w:val="clear" w:color="auto" w:fill="FFFFFF"/>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51A629E6" w14:textId="77777777" w:rsidR="00FC35A6" w:rsidRDefault="00FC35A6" w:rsidP="00FC35A6">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6EA2477A" w14:textId="77777777" w:rsidR="00FC35A6" w:rsidRDefault="00FC35A6" w:rsidP="00FC35A6">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629CF4E0" w14:textId="77777777" w:rsidR="00FC35A6" w:rsidRDefault="00FC35A6" w:rsidP="00FC35A6">
      <w:pPr>
        <w:pStyle w:val="aa"/>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考情和方法</w:t>
      </w:r>
    </w:p>
    <w:tbl>
      <w:tblPr>
        <w:tblW w:w="8505" w:type="dxa"/>
        <w:jc w:val="center"/>
        <w:tblCellMar>
          <w:left w:w="0" w:type="dxa"/>
          <w:right w:w="0" w:type="dxa"/>
        </w:tblCellMar>
        <w:tblLook w:val="04A0" w:firstRow="1" w:lastRow="0" w:firstColumn="1" w:lastColumn="0" w:noHBand="0" w:noVBand="1"/>
      </w:tblPr>
      <w:tblGrid>
        <w:gridCol w:w="1518"/>
        <w:gridCol w:w="6987"/>
      </w:tblGrid>
      <w:tr w:rsidR="00FC35A6" w14:paraId="7191FE11" w14:textId="77777777" w:rsidTr="00FC35A6">
        <w:trPr>
          <w:trHeight w:val="130"/>
          <w:jc w:val="center"/>
        </w:trPr>
        <w:tc>
          <w:tcPr>
            <w:tcW w:w="1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6B2265"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9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B13618C"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8分/卷</w:t>
            </w:r>
          </w:p>
        </w:tc>
      </w:tr>
      <w:tr w:rsidR="00FC35A6" w14:paraId="464A56F9" w14:textId="77777777" w:rsidTr="00FC35A6">
        <w:trPr>
          <w:trHeight w:val="91"/>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CCB396"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123A10"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单选题、多选题、简答题</w:t>
            </w:r>
          </w:p>
        </w:tc>
      </w:tr>
      <w:tr w:rsidR="00FC35A6" w14:paraId="503A8A42" w14:textId="77777777" w:rsidTr="00FC35A6">
        <w:trPr>
          <w:trHeight w:val="60"/>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F75C29"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97523C"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实务性高</w:t>
            </w:r>
          </w:p>
        </w:tc>
      </w:tr>
      <w:tr w:rsidR="00FC35A6" w14:paraId="23C90BDC" w14:textId="77777777" w:rsidTr="00FC35A6">
        <w:trPr>
          <w:trHeight w:val="1996"/>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D6E43C"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FEBEF7" w14:textId="77777777" w:rsidR="00FC35A6" w:rsidRDefault="00FC35A6" w:rsidP="00FC35A6">
            <w:pPr>
              <w:pStyle w:val="aa"/>
              <w:tabs>
                <w:tab w:val="num" w:pos="720"/>
              </w:tabs>
              <w:spacing w:before="0" w:beforeAutospacing="0" w:after="0" w:afterAutospacing="0"/>
              <w:ind w:left="420" w:hanging="420"/>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本章节学习难度大，条文晦涩，且需要大量识记，不建议同学们首选自行阅读教材的方法，而是跟随课程先行理解，在此基础上投入必要的时间和精力进行识记</w:t>
            </w:r>
          </w:p>
          <w:p w14:paraId="0DF0FC99" w14:textId="77777777" w:rsidR="00FC35A6" w:rsidRDefault="00FC35A6" w:rsidP="00FC35A6">
            <w:pPr>
              <w:pStyle w:val="aa"/>
              <w:tabs>
                <w:tab w:val="num" w:pos="720"/>
              </w:tabs>
              <w:spacing w:before="0" w:beforeAutospacing="0" w:after="0" w:afterAutospacing="0"/>
              <w:ind w:left="420" w:hanging="420"/>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本章节涵盖了四个特殊项目的审计，与风险评估、风险应对、利用专家的工作、审计报告等其他章节间联系密切，本质上，特殊项目的审计也需要遵循风险评估与应对的总体思路，学习时需要注重体会</w:t>
            </w:r>
          </w:p>
          <w:p w14:paraId="71173E97" w14:textId="77777777" w:rsidR="00FC35A6" w:rsidRDefault="00FC35A6" w:rsidP="00FC35A6">
            <w:pPr>
              <w:pStyle w:val="aa"/>
              <w:tabs>
                <w:tab w:val="num" w:pos="720"/>
              </w:tabs>
              <w:spacing w:before="0" w:beforeAutospacing="0" w:after="0" w:afterAutospacing="0"/>
              <w:ind w:left="420" w:hanging="420"/>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本章节需要重视历年真题的演练，举一反三</w:t>
            </w:r>
          </w:p>
        </w:tc>
      </w:tr>
    </w:tbl>
    <w:p w14:paraId="72D8CB10" w14:textId="77777777" w:rsidR="00FC35A6" w:rsidRDefault="00FC35A6" w:rsidP="00FC35A6">
      <w:pPr>
        <w:pStyle w:val="aa"/>
        <w:shd w:val="clear" w:color="auto" w:fill="FFFFFF"/>
        <w:spacing w:before="312" w:beforeAutospacing="0" w:after="312" w:afterAutospacing="0"/>
        <w:ind w:firstLine="562"/>
        <w:jc w:val="center"/>
        <w:rPr>
          <w:rFonts w:ascii="Calibri" w:eastAsia="微软雅黑" w:hAnsi="Calibri" w:cs="Calibri"/>
          <w:color w:val="3F3F3F"/>
          <w:sz w:val="21"/>
          <w:szCs w:val="21"/>
        </w:rPr>
      </w:pPr>
      <w:r>
        <w:rPr>
          <w:rFonts w:cs="Calibri" w:hint="eastAsia"/>
          <w:b/>
          <w:bCs/>
          <w:color w:val="3F3F3F"/>
          <w:sz w:val="28"/>
          <w:szCs w:val="28"/>
        </w:rPr>
        <w:t>考点和典题</w:t>
      </w:r>
    </w:p>
    <w:p w14:paraId="01F32458" w14:textId="77777777" w:rsidR="00FC35A6" w:rsidRDefault="00FC35A6" w:rsidP="00FC35A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67C5FD70" w14:textId="77777777" w:rsidR="00FC35A6" w:rsidRDefault="00FC35A6" w:rsidP="00FC35A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"http://webupload.admin.dongao.com/biz/handout/img/2019/20190619/20190619131228374001.png"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20.75pt">
            <v:imagedata r:id="rId7" r:href="rId8"/>
          </v:shape>
        </w:pict>
      </w:r>
      <w:r>
        <w:rPr>
          <w:rFonts w:cs="Calibri"/>
          <w:color w:val="3F3F3F"/>
          <w:sz w:val="21"/>
          <w:szCs w:val="21"/>
        </w:rPr>
        <w:fldChar w:fldCharType="end"/>
      </w:r>
    </w:p>
    <w:p w14:paraId="319897BE" w14:textId="77777777" w:rsidR="00FC35A6" w:rsidRDefault="00FC35A6" w:rsidP="00FC35A6">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审计会计估计</w:t>
      </w:r>
    </w:p>
    <w:p w14:paraId="46022DA3" w14:textId="77777777" w:rsidR="00FC35A6" w:rsidRDefault="00FC35A6" w:rsidP="00FC35A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一、了解会计估计的性质</w:t>
      </w:r>
    </w:p>
    <w:p w14:paraId="5C9DA958" w14:textId="77777777" w:rsidR="00FC35A6" w:rsidRDefault="00FC35A6" w:rsidP="00FC35A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二、风险评估程序和相关活动</w:t>
      </w:r>
      <w:r>
        <w:rPr>
          <w:rFonts w:cs="Calibri" w:hint="eastAsia"/>
          <w:b/>
          <w:bCs/>
          <w:color w:val="FF0000"/>
          <w:sz w:val="21"/>
          <w:szCs w:val="21"/>
        </w:rPr>
        <w:t>（※※）</w:t>
      </w:r>
    </w:p>
    <w:p w14:paraId="27767AB9" w14:textId="77777777" w:rsidR="00FC35A6" w:rsidRDefault="00FC35A6" w:rsidP="00FC35A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三、识别和评估重大错报风险</w:t>
      </w:r>
      <w:r>
        <w:rPr>
          <w:rFonts w:cs="Calibri" w:hint="eastAsia"/>
          <w:b/>
          <w:bCs/>
          <w:color w:val="FF0000"/>
          <w:sz w:val="21"/>
          <w:szCs w:val="21"/>
        </w:rPr>
        <w:t>（※※）</w:t>
      </w:r>
    </w:p>
    <w:p w14:paraId="074ED850" w14:textId="77777777" w:rsidR="00FC35A6" w:rsidRDefault="00FC35A6" w:rsidP="00FC35A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四、应对评估的重大错报风险</w:t>
      </w:r>
      <w:r>
        <w:rPr>
          <w:rFonts w:cs="Calibri" w:hint="eastAsia"/>
          <w:b/>
          <w:bCs/>
          <w:color w:val="FF0000"/>
          <w:sz w:val="21"/>
          <w:szCs w:val="21"/>
        </w:rPr>
        <w:t>（※※※）</w:t>
      </w:r>
    </w:p>
    <w:p w14:paraId="76CD2503" w14:textId="77777777" w:rsidR="00FC35A6" w:rsidRDefault="00FC35A6" w:rsidP="00FC35A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五、评价会计估计的合理性并确定错报</w:t>
      </w:r>
      <w:r>
        <w:rPr>
          <w:rFonts w:cs="Calibri" w:hint="eastAsia"/>
          <w:b/>
          <w:bCs/>
          <w:color w:val="FF0000"/>
          <w:sz w:val="21"/>
          <w:szCs w:val="21"/>
        </w:rPr>
        <w:t>（※※※）</w:t>
      </w:r>
    </w:p>
    <w:p w14:paraId="3711EDE2" w14:textId="77777777" w:rsidR="00FC35A6" w:rsidRDefault="00FC35A6" w:rsidP="00FC35A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"http://webupload.admin.dongao.com/biz/handout/img/2019/20190619/20190619131228311002.png" \* MERGEFORMATINET </w:instrText>
      </w:r>
      <w:r>
        <w:rPr>
          <w:rFonts w:cs="Calibri"/>
          <w:color w:val="3F3F3F"/>
          <w:sz w:val="21"/>
          <w:szCs w:val="21"/>
        </w:rPr>
        <w:fldChar w:fldCharType="separate"/>
      </w:r>
      <w:r>
        <w:rPr>
          <w:rFonts w:cs="Calibri"/>
          <w:color w:val="3F3F3F"/>
          <w:sz w:val="21"/>
          <w:szCs w:val="21"/>
        </w:rPr>
        <w:pict>
          <v:shape id="_x0000_i1026" type="#_x0000_t75" style="width:315.75pt;height:46.5pt">
            <v:imagedata r:id="rId9" r:href="rId10"/>
          </v:shape>
        </w:pict>
      </w:r>
      <w:r>
        <w:rPr>
          <w:rFonts w:cs="Calibri"/>
          <w:color w:val="3F3F3F"/>
          <w:sz w:val="21"/>
          <w:szCs w:val="21"/>
        </w:rPr>
        <w:fldChar w:fldCharType="end"/>
      </w:r>
    </w:p>
    <w:p w14:paraId="45DFD270" w14:textId="77777777" w:rsidR="00FC35A6" w:rsidRDefault="00FC35A6" w:rsidP="00FC35A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一、了解会计估计的性质</w:t>
      </w:r>
    </w:p>
    <w:tbl>
      <w:tblPr>
        <w:tblW w:w="8505" w:type="dxa"/>
        <w:jc w:val="center"/>
        <w:tblCellMar>
          <w:left w:w="0" w:type="dxa"/>
          <w:right w:w="0" w:type="dxa"/>
        </w:tblCellMar>
        <w:tblLook w:val="04A0" w:firstRow="1" w:lastRow="0" w:firstColumn="1" w:lastColumn="0" w:noHBand="0" w:noVBand="1"/>
      </w:tblPr>
      <w:tblGrid>
        <w:gridCol w:w="1188"/>
        <w:gridCol w:w="7317"/>
      </w:tblGrid>
      <w:tr w:rsidR="00FC35A6" w14:paraId="5361DC5D" w14:textId="77777777" w:rsidTr="00FC35A6">
        <w:trPr>
          <w:trHeight w:val="127"/>
          <w:jc w:val="center"/>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8FCA3" w14:textId="77777777" w:rsidR="00FC35A6" w:rsidRDefault="00FC35A6" w:rsidP="00FC35A6">
            <w:pPr>
              <w:rPr>
                <w:rFonts w:eastAsia="微软雅黑" w:cs="Calibri"/>
                <w:color w:val="3F3F3F"/>
                <w:szCs w:val="21"/>
              </w:rPr>
            </w:pPr>
          </w:p>
        </w:tc>
        <w:tc>
          <w:tcPr>
            <w:tcW w:w="73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620CCE9"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FC35A6" w14:paraId="0F464306" w14:textId="77777777" w:rsidTr="00FC35A6">
        <w:trPr>
          <w:trHeight w:val="529"/>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4FADD4"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1.概念</w:t>
            </w:r>
          </w:p>
        </w:tc>
        <w:tc>
          <w:tcPr>
            <w:tcW w:w="73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CC9A3F"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会计估计是指在缺乏精确计量手段的情况下，采用的某项金额的近似值，其中可能涉及公允价值计量</w:t>
            </w:r>
          </w:p>
        </w:tc>
      </w:tr>
      <w:tr w:rsidR="00FC35A6" w14:paraId="6C21638B" w14:textId="77777777" w:rsidTr="00FC35A6">
        <w:trPr>
          <w:trHeight w:val="736"/>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85F262"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2.风险</w:t>
            </w:r>
          </w:p>
        </w:tc>
        <w:tc>
          <w:tcPr>
            <w:tcW w:w="73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B04BBA"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（1）注册会计师应当确定会计估计的重大错报风险是否属于特别风险</w:t>
            </w:r>
            <w:r>
              <w:rPr>
                <w:rFonts w:cs="Calibri" w:hint="eastAsia"/>
                <w:b/>
                <w:bCs/>
                <w:color w:val="FF0000"/>
                <w:sz w:val="21"/>
                <w:szCs w:val="21"/>
              </w:rPr>
              <w:t>[链接第7章]</w:t>
            </w:r>
          </w:p>
          <w:p w14:paraId="5C560C44"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（2）会计估计的结果与财务报表中原来已确认或披露的金额之间存在差异，并</w:t>
            </w:r>
            <w:r>
              <w:rPr>
                <w:rFonts w:cs="Calibri" w:hint="eastAsia"/>
                <w:b/>
                <w:bCs/>
                <w:color w:val="FF0000"/>
                <w:sz w:val="21"/>
                <w:szCs w:val="21"/>
              </w:rPr>
              <w:t>不必然</w:t>
            </w:r>
            <w:r>
              <w:rPr>
                <w:rFonts w:cs="Calibri" w:hint="eastAsia"/>
                <w:color w:val="333333"/>
                <w:sz w:val="21"/>
                <w:szCs w:val="21"/>
              </w:rPr>
              <w:t>表明财务报表存在错报</w:t>
            </w:r>
          </w:p>
        </w:tc>
      </w:tr>
    </w:tbl>
    <w:p w14:paraId="57F4B957" w14:textId="77777777" w:rsidR="00FC35A6" w:rsidRDefault="00FC35A6" w:rsidP="00FC35A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二、风险评估程序和相关活动</w:t>
      </w:r>
    </w:p>
    <w:p w14:paraId="62772388" w14:textId="77777777" w:rsidR="00FC35A6" w:rsidRDefault="00FC35A6" w:rsidP="00FC35A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"http://webupload.admin.dongao.com/biz/handout/img/2019/20190619/20190619131228106003.png" \* MERGEFORMATINET </w:instrText>
      </w:r>
      <w:r>
        <w:rPr>
          <w:rFonts w:cs="Calibri"/>
          <w:color w:val="3F3F3F"/>
          <w:sz w:val="21"/>
          <w:szCs w:val="21"/>
        </w:rPr>
        <w:fldChar w:fldCharType="separate"/>
      </w:r>
      <w:r>
        <w:rPr>
          <w:rFonts w:cs="Calibri"/>
          <w:color w:val="3F3F3F"/>
          <w:sz w:val="21"/>
          <w:szCs w:val="21"/>
        </w:rPr>
        <w:pict>
          <v:shape id="_x0000_i1027" type="#_x0000_t75" style="width:243.75pt;height:84pt">
            <v:imagedata r:id="rId11" r:href="rId12"/>
          </v:shape>
        </w:pict>
      </w:r>
      <w:r>
        <w:rPr>
          <w:rFonts w:cs="Calibri"/>
          <w:color w:val="3F3F3F"/>
          <w:sz w:val="21"/>
          <w:szCs w:val="21"/>
        </w:rPr>
        <w:fldChar w:fldCharType="end"/>
      </w:r>
    </w:p>
    <w:p w14:paraId="0F9B0BF3" w14:textId="77777777" w:rsidR="00FC35A6" w:rsidRDefault="00FC35A6" w:rsidP="00FC35A6">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4A262033"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考生需要关注以上</w:t>
      </w:r>
      <w:r>
        <w:rPr>
          <w:rFonts w:cs="Calibri" w:hint="eastAsia"/>
          <w:b/>
          <w:bCs/>
          <w:color w:val="FF0000"/>
          <w:sz w:val="21"/>
          <w:szCs w:val="21"/>
        </w:rPr>
        <w:t>3点内容</w:t>
      </w:r>
      <w:r>
        <w:rPr>
          <w:rFonts w:cs="Calibri" w:hint="eastAsia"/>
          <w:color w:val="3F3F3F"/>
          <w:sz w:val="21"/>
          <w:szCs w:val="21"/>
        </w:rPr>
        <w:t>，属于</w:t>
      </w:r>
      <w:r>
        <w:rPr>
          <w:rFonts w:cs="Calibri" w:hint="eastAsia"/>
          <w:b/>
          <w:bCs/>
          <w:color w:val="FF0000"/>
          <w:sz w:val="21"/>
          <w:szCs w:val="21"/>
        </w:rPr>
        <w:t>多选题</w:t>
      </w:r>
      <w:r>
        <w:rPr>
          <w:rFonts w:cs="Calibri" w:hint="eastAsia"/>
          <w:color w:val="3F3F3F"/>
          <w:sz w:val="21"/>
          <w:szCs w:val="21"/>
        </w:rPr>
        <w:t>的考点；注册会计师了解被审计单位及其环境时，应当了解以下事项，作为其识别和评估会计估计重大错报风险的基础：</w:t>
      </w:r>
    </w:p>
    <w:p w14:paraId="33AE23D6"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A）了解适用的财务报告</w:t>
      </w:r>
      <w:r>
        <w:rPr>
          <w:rFonts w:cs="Calibri" w:hint="eastAsia"/>
          <w:b/>
          <w:bCs/>
          <w:color w:val="FF0000"/>
          <w:sz w:val="21"/>
          <w:szCs w:val="21"/>
        </w:rPr>
        <w:t>编制基础</w:t>
      </w:r>
      <w:r>
        <w:rPr>
          <w:rFonts w:cs="Calibri" w:hint="eastAsia"/>
          <w:color w:val="3F3F3F"/>
          <w:sz w:val="21"/>
          <w:szCs w:val="21"/>
        </w:rPr>
        <w:t>的要求；</w:t>
      </w:r>
    </w:p>
    <w:p w14:paraId="3AA1A461"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B）了解管理层</w:t>
      </w:r>
      <w:r>
        <w:rPr>
          <w:rFonts w:cs="Calibri" w:hint="eastAsia"/>
          <w:b/>
          <w:bCs/>
          <w:color w:val="FF0000"/>
          <w:sz w:val="21"/>
          <w:szCs w:val="21"/>
        </w:rPr>
        <w:t>如何识别</w:t>
      </w:r>
      <w:r>
        <w:rPr>
          <w:rFonts w:cs="Calibri" w:hint="eastAsia"/>
          <w:color w:val="3F3F3F"/>
          <w:sz w:val="21"/>
          <w:szCs w:val="21"/>
        </w:rPr>
        <w:t>是否需要作出会计估计；</w:t>
      </w:r>
    </w:p>
    <w:p w14:paraId="662BFCB2"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C）了解管理层</w:t>
      </w:r>
      <w:r>
        <w:rPr>
          <w:rFonts w:cs="Calibri" w:hint="eastAsia"/>
          <w:b/>
          <w:bCs/>
          <w:color w:val="FF0000"/>
          <w:sz w:val="21"/>
          <w:szCs w:val="21"/>
        </w:rPr>
        <w:t>如何作出</w:t>
      </w:r>
      <w:r>
        <w:rPr>
          <w:rFonts w:cs="Calibri" w:hint="eastAsia"/>
          <w:color w:val="3F3F3F"/>
          <w:sz w:val="21"/>
          <w:szCs w:val="21"/>
        </w:rPr>
        <w:t>会计估计。</w:t>
      </w:r>
    </w:p>
    <w:p w14:paraId="408A223D"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（一）了解适用的财务报告编制基础的要求</w:t>
      </w:r>
    </w:p>
    <w:tbl>
      <w:tblPr>
        <w:tblW w:w="8505" w:type="dxa"/>
        <w:jc w:val="center"/>
        <w:tblCellMar>
          <w:left w:w="0" w:type="dxa"/>
          <w:right w:w="0" w:type="dxa"/>
        </w:tblCellMar>
        <w:tblLook w:val="04A0" w:firstRow="1" w:lastRow="0" w:firstColumn="1" w:lastColumn="0" w:noHBand="0" w:noVBand="1"/>
      </w:tblPr>
      <w:tblGrid>
        <w:gridCol w:w="938"/>
        <w:gridCol w:w="7567"/>
      </w:tblGrid>
      <w:tr w:rsidR="00FC35A6" w14:paraId="78412AB3" w14:textId="77777777" w:rsidTr="00FC35A6">
        <w:trPr>
          <w:trHeight w:val="60"/>
          <w:jc w:val="center"/>
        </w:trPr>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505561" w14:textId="77777777" w:rsidR="00FC35A6" w:rsidRDefault="00FC35A6" w:rsidP="00FC35A6">
            <w:pPr>
              <w:rPr>
                <w:rFonts w:eastAsia="微软雅黑" w:cs="Calibri"/>
                <w:color w:val="3F3F3F"/>
                <w:szCs w:val="21"/>
              </w:rPr>
            </w:pPr>
          </w:p>
        </w:tc>
        <w:tc>
          <w:tcPr>
            <w:tcW w:w="72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AE82E33"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FC35A6" w14:paraId="060BD913" w14:textId="77777777" w:rsidTr="00FC35A6">
        <w:trPr>
          <w:trHeight w:val="1203"/>
          <w:jc w:val="center"/>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0FFC80"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作用</w:t>
            </w:r>
          </w:p>
        </w:tc>
        <w:tc>
          <w:tcPr>
            <w:tcW w:w="7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56B4DC"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有助于注册会计师确定该编制基础是否：</w:t>
            </w:r>
          </w:p>
          <w:p w14:paraId="0865273B"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规定</w:t>
            </w:r>
            <w:r>
              <w:rPr>
                <w:rFonts w:cs="Calibri" w:hint="eastAsia"/>
                <w:color w:val="333333"/>
                <w:sz w:val="21"/>
                <w:szCs w:val="21"/>
              </w:rPr>
              <w:t>了会计估计的确认条件或计量方法</w:t>
            </w:r>
          </w:p>
          <w:p w14:paraId="2B9EA49A"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（2）明确了某些允许或要求采用</w:t>
            </w:r>
            <w:r>
              <w:rPr>
                <w:rFonts w:cs="Calibri" w:hint="eastAsia"/>
                <w:b/>
                <w:bCs/>
                <w:color w:val="FF0000"/>
                <w:sz w:val="21"/>
                <w:szCs w:val="21"/>
              </w:rPr>
              <w:t>公允价值</w:t>
            </w:r>
            <w:r>
              <w:rPr>
                <w:rFonts w:cs="Calibri" w:hint="eastAsia"/>
                <w:color w:val="333333"/>
                <w:sz w:val="21"/>
                <w:szCs w:val="21"/>
              </w:rPr>
              <w:t>计量的条件</w:t>
            </w:r>
          </w:p>
          <w:p w14:paraId="001D7B32"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（3）明确了要求作出或允许作出的</w:t>
            </w:r>
            <w:r>
              <w:rPr>
                <w:rFonts w:cs="Calibri" w:hint="eastAsia"/>
                <w:b/>
                <w:bCs/>
                <w:color w:val="FF0000"/>
                <w:sz w:val="21"/>
                <w:szCs w:val="21"/>
              </w:rPr>
              <w:t>披露</w:t>
            </w:r>
          </w:p>
        </w:tc>
      </w:tr>
    </w:tbl>
    <w:p w14:paraId="0F937251"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（二）了解管理层如何识别是否需要作出会计估计</w:t>
      </w:r>
    </w:p>
    <w:tbl>
      <w:tblPr>
        <w:tblW w:w="8505" w:type="dxa"/>
        <w:jc w:val="center"/>
        <w:tblCellMar>
          <w:left w:w="0" w:type="dxa"/>
          <w:right w:w="0" w:type="dxa"/>
        </w:tblCellMar>
        <w:tblLook w:val="04A0" w:firstRow="1" w:lastRow="0" w:firstColumn="1" w:lastColumn="0" w:noHBand="0" w:noVBand="1"/>
      </w:tblPr>
      <w:tblGrid>
        <w:gridCol w:w="1209"/>
        <w:gridCol w:w="7296"/>
      </w:tblGrid>
      <w:tr w:rsidR="00FC35A6" w14:paraId="2095C17C" w14:textId="77777777" w:rsidTr="00FC35A6">
        <w:trPr>
          <w:trHeight w:val="115"/>
          <w:jc w:val="center"/>
        </w:trPr>
        <w:tc>
          <w:tcPr>
            <w:tcW w:w="12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95490E" w14:textId="77777777" w:rsidR="00FC35A6" w:rsidRDefault="00FC35A6" w:rsidP="00FC35A6">
            <w:pPr>
              <w:rPr>
                <w:rFonts w:eastAsia="微软雅黑" w:cs="Calibri"/>
                <w:color w:val="3F3F3F"/>
                <w:szCs w:val="21"/>
              </w:rPr>
            </w:pPr>
          </w:p>
        </w:tc>
        <w:tc>
          <w:tcPr>
            <w:tcW w:w="72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8207783"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FC35A6" w14:paraId="6B6B8D65" w14:textId="77777777" w:rsidTr="00FC35A6">
        <w:trPr>
          <w:trHeight w:val="2077"/>
          <w:jc w:val="center"/>
        </w:trPr>
        <w:tc>
          <w:tcPr>
            <w:tcW w:w="12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2C6899"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1.询问</w:t>
            </w:r>
          </w:p>
        </w:tc>
        <w:tc>
          <w:tcPr>
            <w:tcW w:w="72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B5720D"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了解管理层如何识别需要作出会计估计的情形，询问的内容可以包括：</w:t>
            </w:r>
          </w:p>
          <w:p w14:paraId="51E5269A"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（1）被审计单位是否已从事可能需要作出会计估计的新型交易</w:t>
            </w:r>
          </w:p>
          <w:p w14:paraId="5F06BF87"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（2）需要作出会计估计的交易的条款是否已改变</w:t>
            </w:r>
          </w:p>
          <w:p w14:paraId="20EE993A"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（3）由于适用的财务报告编制基础的要求或其他规定的变化，与会计估计相关的会计政策是否已经相应变化</w:t>
            </w:r>
          </w:p>
          <w:p w14:paraId="7C791138"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（4）可能要求管理层修改或作出新会计估计的外部监管变化或其他不受管理层控制的变化是否已经发生</w:t>
            </w:r>
          </w:p>
          <w:p w14:paraId="4B9698AA"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（5）是否已经发生可能需要作出新估计或修改现有估计的新情况或事项</w:t>
            </w:r>
          </w:p>
        </w:tc>
      </w:tr>
      <w:tr w:rsidR="00FC35A6" w14:paraId="559D73E2" w14:textId="77777777" w:rsidTr="00FC35A6">
        <w:trPr>
          <w:trHeight w:val="699"/>
          <w:jc w:val="center"/>
        </w:trPr>
        <w:tc>
          <w:tcPr>
            <w:tcW w:w="12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1C3B27"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2.考虑</w:t>
            </w:r>
          </w:p>
          <w:p w14:paraId="0E160A88" w14:textId="77777777" w:rsidR="00FC35A6" w:rsidRDefault="00FC35A6" w:rsidP="00FC35A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因素</w:t>
            </w:r>
          </w:p>
        </w:tc>
        <w:tc>
          <w:tcPr>
            <w:tcW w:w="72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9EC231"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（1）会计估计的</w:t>
            </w:r>
            <w:r>
              <w:rPr>
                <w:rFonts w:cs="Calibri" w:hint="eastAsia"/>
                <w:b/>
                <w:bCs/>
                <w:color w:val="FF0000"/>
                <w:sz w:val="21"/>
                <w:szCs w:val="21"/>
              </w:rPr>
              <w:t>完整性</w:t>
            </w:r>
            <w:r>
              <w:rPr>
                <w:rFonts w:cs="Calibri" w:hint="eastAsia"/>
                <w:color w:val="333333"/>
                <w:sz w:val="21"/>
                <w:szCs w:val="21"/>
              </w:rPr>
              <w:t>，通常是注册会计师的重要考虑因素</w:t>
            </w:r>
          </w:p>
          <w:p w14:paraId="2B8CDA3F" w14:textId="77777777" w:rsidR="00FC35A6" w:rsidRDefault="00FC35A6" w:rsidP="00FC35A6">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（2）针对管理层未能识别出重大错报风险的情形，注册会计师需要确定与被审计单位风险评估过程相关的内部控制是否存在</w:t>
            </w:r>
            <w:r>
              <w:rPr>
                <w:rFonts w:cs="Calibri" w:hint="eastAsia"/>
                <w:b/>
                <w:bCs/>
                <w:color w:val="FF0000"/>
                <w:sz w:val="21"/>
                <w:szCs w:val="21"/>
              </w:rPr>
              <w:t>值得关注</w:t>
            </w:r>
            <w:r>
              <w:rPr>
                <w:rFonts w:cs="Calibri" w:hint="eastAsia"/>
                <w:color w:val="333333"/>
                <w:sz w:val="21"/>
                <w:szCs w:val="21"/>
              </w:rPr>
              <w:t>的内部控制</w:t>
            </w:r>
            <w:r>
              <w:rPr>
                <w:rFonts w:cs="Calibri" w:hint="eastAsia"/>
                <w:b/>
                <w:bCs/>
                <w:color w:val="FF0000"/>
                <w:sz w:val="21"/>
                <w:szCs w:val="21"/>
              </w:rPr>
              <w:t>缺陷</w:t>
            </w:r>
          </w:p>
        </w:tc>
      </w:tr>
    </w:tbl>
    <w:p w14:paraId="14738C81"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（三）了解管理层如何作出会计估计</w:t>
      </w:r>
    </w:p>
    <w:p w14:paraId="2FE1FDD1" w14:textId="77777777" w:rsidR="00FC35A6" w:rsidRDefault="00FC35A6" w:rsidP="00FC35A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"http://webupload.admin.dongao.com/biz/handout/img/2019/20190619/20190619131228169004.png" \* MERGEFORMATINET </w:instrText>
      </w:r>
      <w:r>
        <w:rPr>
          <w:rFonts w:cs="Calibri"/>
          <w:color w:val="3F3F3F"/>
          <w:sz w:val="21"/>
          <w:szCs w:val="21"/>
        </w:rPr>
        <w:fldChar w:fldCharType="separate"/>
      </w:r>
      <w:r>
        <w:rPr>
          <w:rFonts w:cs="Calibri"/>
          <w:color w:val="3F3F3F"/>
          <w:sz w:val="21"/>
          <w:szCs w:val="21"/>
        </w:rPr>
        <w:pict>
          <v:shape id="_x0000_i1028" type="#_x0000_t75" style="width:318pt;height:178.5pt">
            <v:imagedata r:id="rId13" r:href="rId14"/>
          </v:shape>
        </w:pict>
      </w:r>
      <w:r>
        <w:rPr>
          <w:rFonts w:cs="Calibri"/>
          <w:color w:val="3F3F3F"/>
          <w:sz w:val="21"/>
          <w:szCs w:val="21"/>
        </w:rPr>
        <w:fldChar w:fldCharType="end"/>
      </w:r>
    </w:p>
    <w:p w14:paraId="0BD3034F"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1.用以作出会计估计的方法，包括模型（1/6）</w:t>
      </w:r>
    </w:p>
    <w:p w14:paraId="3932B302"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如果管理层作出会计估计时采用了内部开发的模型或偏离了某一特定行业或环境中采用的</w:t>
      </w:r>
      <w:r>
        <w:rPr>
          <w:rFonts w:cs="Calibri" w:hint="eastAsia"/>
          <w:b/>
          <w:bCs/>
          <w:color w:val="FF0000"/>
          <w:sz w:val="21"/>
          <w:szCs w:val="21"/>
        </w:rPr>
        <w:t>通用方法</w:t>
      </w:r>
      <w:r>
        <w:rPr>
          <w:rFonts w:cs="Calibri" w:hint="eastAsia"/>
          <w:color w:val="3F3F3F"/>
          <w:sz w:val="21"/>
          <w:szCs w:val="21"/>
        </w:rPr>
        <w:t>，则可能存在更大的重大错报风险。</w:t>
      </w:r>
    </w:p>
    <w:p w14:paraId="690A2E3D"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2.相关控制（2/6）</w:t>
      </w:r>
    </w:p>
    <w:p w14:paraId="469CC42F"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（1）作出会计估计的人员的经验与</w:t>
      </w:r>
      <w:r>
        <w:rPr>
          <w:rFonts w:cs="Calibri" w:hint="eastAsia"/>
          <w:b/>
          <w:bCs/>
          <w:color w:val="FF0000"/>
          <w:sz w:val="21"/>
          <w:szCs w:val="21"/>
        </w:rPr>
        <w:t>胜任能力</w:t>
      </w:r>
      <w:r>
        <w:rPr>
          <w:rFonts w:cs="Calibri" w:hint="eastAsia"/>
          <w:color w:val="3F3F3F"/>
          <w:sz w:val="21"/>
          <w:szCs w:val="21"/>
        </w:rPr>
        <w:t>；</w:t>
      </w:r>
    </w:p>
    <w:p w14:paraId="071F19BE"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（2）如何确定所使用的</w:t>
      </w:r>
      <w:r>
        <w:rPr>
          <w:rFonts w:cs="Calibri" w:hint="eastAsia"/>
          <w:b/>
          <w:bCs/>
          <w:color w:val="FF0000"/>
          <w:sz w:val="21"/>
          <w:szCs w:val="21"/>
        </w:rPr>
        <w:t>数据</w:t>
      </w:r>
      <w:r>
        <w:rPr>
          <w:rFonts w:cs="Calibri" w:hint="eastAsia"/>
          <w:color w:val="3F3F3F"/>
          <w:sz w:val="21"/>
          <w:szCs w:val="21"/>
        </w:rPr>
        <w:t>的完整性、相关性和准确性；</w:t>
      </w:r>
    </w:p>
    <w:p w14:paraId="4F2B3942"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（3）由适当层级的管理层和治理层对会计估计进行</w:t>
      </w:r>
      <w:r>
        <w:rPr>
          <w:rFonts w:cs="Calibri" w:hint="eastAsia"/>
          <w:b/>
          <w:bCs/>
          <w:color w:val="FF0000"/>
          <w:sz w:val="21"/>
          <w:szCs w:val="21"/>
        </w:rPr>
        <w:t>复核和批准</w:t>
      </w:r>
      <w:r>
        <w:rPr>
          <w:rFonts w:cs="Calibri" w:hint="eastAsia"/>
          <w:color w:val="3F3F3F"/>
          <w:sz w:val="21"/>
          <w:szCs w:val="21"/>
        </w:rPr>
        <w:t>；</w:t>
      </w:r>
    </w:p>
    <w:p w14:paraId="48406B66"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（4）将批准交易的人员和作出会计估计的人员</w:t>
      </w:r>
      <w:r>
        <w:rPr>
          <w:rFonts w:cs="Calibri" w:hint="eastAsia"/>
          <w:b/>
          <w:bCs/>
          <w:color w:val="FF0000"/>
          <w:sz w:val="21"/>
          <w:szCs w:val="21"/>
        </w:rPr>
        <w:t>职责分离</w:t>
      </w:r>
      <w:r>
        <w:rPr>
          <w:rFonts w:cs="Calibri" w:hint="eastAsia"/>
          <w:color w:val="3F3F3F"/>
          <w:sz w:val="21"/>
          <w:szCs w:val="21"/>
        </w:rPr>
        <w:t>。</w:t>
      </w:r>
    </w:p>
    <w:p w14:paraId="6A64FA66"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3.管理层是否利用专家的工作（3/6）</w:t>
      </w:r>
    </w:p>
    <w:p w14:paraId="3EE70CCC"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（1）需要估计的事项性质特殊；</w:t>
      </w:r>
    </w:p>
    <w:p w14:paraId="40E2BD9C"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（2）编制基础要求的模型具有一定技术含量；</w:t>
      </w:r>
    </w:p>
    <w:p w14:paraId="5590D8CC"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（3）需要估计的情况、交易或事项具有异常性或偶发性。</w:t>
      </w:r>
    </w:p>
    <w:p w14:paraId="30D9DCC2"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4.会计估计所依据的假设（4/6）</w:t>
      </w:r>
    </w:p>
    <w:p w14:paraId="30F6BF5E"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（1）考虑因素</w:t>
      </w:r>
    </w:p>
    <w:p w14:paraId="0518382B"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A）假设的</w:t>
      </w:r>
      <w:r>
        <w:rPr>
          <w:rFonts w:cs="Calibri" w:hint="eastAsia"/>
          <w:b/>
          <w:bCs/>
          <w:color w:val="FF0000"/>
          <w:sz w:val="21"/>
          <w:szCs w:val="21"/>
        </w:rPr>
        <w:t>性质</w:t>
      </w:r>
      <w:r>
        <w:rPr>
          <w:rFonts w:cs="Calibri" w:hint="eastAsia"/>
          <w:color w:val="3F3F3F"/>
          <w:sz w:val="21"/>
          <w:szCs w:val="21"/>
        </w:rPr>
        <w:t>；</w:t>
      </w:r>
    </w:p>
    <w:p w14:paraId="0D2F73E2"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B）管理层如何评价假设是否</w:t>
      </w:r>
      <w:r>
        <w:rPr>
          <w:rFonts w:cs="Calibri" w:hint="eastAsia"/>
          <w:b/>
          <w:bCs/>
          <w:color w:val="FF0000"/>
          <w:sz w:val="21"/>
          <w:szCs w:val="21"/>
        </w:rPr>
        <w:t>相关</w:t>
      </w:r>
      <w:r>
        <w:rPr>
          <w:rFonts w:cs="Calibri" w:hint="eastAsia"/>
          <w:color w:val="3F3F3F"/>
          <w:sz w:val="21"/>
          <w:szCs w:val="21"/>
        </w:rPr>
        <w:t>和</w:t>
      </w:r>
      <w:r>
        <w:rPr>
          <w:rFonts w:cs="Calibri" w:hint="eastAsia"/>
          <w:b/>
          <w:bCs/>
          <w:color w:val="FF0000"/>
          <w:sz w:val="21"/>
          <w:szCs w:val="21"/>
        </w:rPr>
        <w:t>完整</w:t>
      </w:r>
      <w:r>
        <w:rPr>
          <w:rFonts w:cs="Calibri" w:hint="eastAsia"/>
          <w:color w:val="3F3F3F"/>
          <w:sz w:val="21"/>
          <w:szCs w:val="21"/>
        </w:rPr>
        <w:t>；</w:t>
      </w:r>
    </w:p>
    <w:p w14:paraId="707D69A9"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C）管理层如何确定所采用假设的</w:t>
      </w:r>
      <w:r>
        <w:rPr>
          <w:rFonts w:cs="Calibri" w:hint="eastAsia"/>
          <w:b/>
          <w:bCs/>
          <w:color w:val="FF0000"/>
          <w:sz w:val="21"/>
          <w:szCs w:val="21"/>
        </w:rPr>
        <w:t>内在一致性</w:t>
      </w:r>
      <w:r>
        <w:rPr>
          <w:rFonts w:cs="Calibri" w:hint="eastAsia"/>
          <w:color w:val="3F3F3F"/>
          <w:sz w:val="21"/>
          <w:szCs w:val="21"/>
        </w:rPr>
        <w:t>；</w:t>
      </w:r>
    </w:p>
    <w:p w14:paraId="164B59F4"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D）假设是否与管理层所能</w:t>
      </w:r>
      <w:r>
        <w:rPr>
          <w:rFonts w:cs="Calibri" w:hint="eastAsia"/>
          <w:b/>
          <w:bCs/>
          <w:color w:val="FF0000"/>
          <w:sz w:val="21"/>
          <w:szCs w:val="21"/>
        </w:rPr>
        <w:t>控制</w:t>
      </w:r>
      <w:r>
        <w:rPr>
          <w:rFonts w:cs="Calibri" w:hint="eastAsia"/>
          <w:color w:val="3F3F3F"/>
          <w:sz w:val="21"/>
          <w:szCs w:val="21"/>
        </w:rPr>
        <w:t>的事项相关，以及这些假设是否与被审计单位的经营计划和外部环境相符，或者假设与管理层控制之外的事项相关；</w:t>
      </w:r>
    </w:p>
    <w:p w14:paraId="63C6AC4C"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E）支持假设的</w:t>
      </w:r>
      <w:r>
        <w:rPr>
          <w:rFonts w:cs="Calibri" w:hint="eastAsia"/>
          <w:b/>
          <w:bCs/>
          <w:color w:val="FF0000"/>
          <w:sz w:val="21"/>
          <w:szCs w:val="21"/>
        </w:rPr>
        <w:t>文件记录</w:t>
      </w:r>
      <w:r>
        <w:rPr>
          <w:rFonts w:cs="Calibri" w:hint="eastAsia"/>
          <w:color w:val="3F3F3F"/>
          <w:sz w:val="21"/>
          <w:szCs w:val="21"/>
        </w:rPr>
        <w:t>的性质和范围。</w:t>
      </w:r>
    </w:p>
    <w:p w14:paraId="57CCC476"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（2）重要观点</w:t>
      </w:r>
    </w:p>
    <w:p w14:paraId="6599CF70"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管理层可能使用来源于</w:t>
      </w:r>
      <w:r>
        <w:rPr>
          <w:rFonts w:cs="Calibri" w:hint="eastAsia"/>
          <w:b/>
          <w:bCs/>
          <w:color w:val="FF0000"/>
          <w:sz w:val="21"/>
          <w:szCs w:val="21"/>
        </w:rPr>
        <w:t>内部</w:t>
      </w:r>
      <w:r>
        <w:rPr>
          <w:rFonts w:cs="Calibri" w:hint="eastAsia"/>
          <w:color w:val="3F3F3F"/>
          <w:sz w:val="21"/>
          <w:szCs w:val="21"/>
        </w:rPr>
        <w:t>和</w:t>
      </w:r>
      <w:r>
        <w:rPr>
          <w:rFonts w:cs="Calibri" w:hint="eastAsia"/>
          <w:b/>
          <w:bCs/>
          <w:color w:val="FF0000"/>
          <w:sz w:val="21"/>
          <w:szCs w:val="21"/>
        </w:rPr>
        <w:t>外部</w:t>
      </w:r>
      <w:r>
        <w:rPr>
          <w:rFonts w:cs="Calibri" w:hint="eastAsia"/>
          <w:color w:val="3F3F3F"/>
          <w:sz w:val="21"/>
          <w:szCs w:val="21"/>
        </w:rPr>
        <w:t>不同类型的信息支持假设；当被审计单位缺乏经验或没有获取信息的外部来源时，假设可能更具主观性。</w:t>
      </w:r>
    </w:p>
    <w:p w14:paraId="58B7DD18"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5.用以作出会计估计的方法是否已经发生或应当发生不同于上期的变化，以及变化的原因（5/6）</w:t>
      </w:r>
    </w:p>
    <w:p w14:paraId="20A9C0A8"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需要了解</w:t>
      </w:r>
      <w:r>
        <w:rPr>
          <w:rFonts w:cs="Calibri" w:hint="eastAsia"/>
          <w:color w:val="3F3F3F"/>
          <w:sz w:val="21"/>
          <w:szCs w:val="21"/>
        </w:rPr>
        <w:t>作出会计估计的方法是否已经发生或应当发生变化；如果管理层改变了作出会计估计的方法，应确定管理层能否证明新方法更加恰当，或者新方法本身就是对变化的应对。</w:t>
      </w:r>
    </w:p>
    <w:p w14:paraId="2B50A5D4"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6.管理层是否评估以及如何评估估计不确定性的影响(6/6)</w:t>
      </w:r>
    </w:p>
    <w:p w14:paraId="4FF683B7"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（1）考虑因素</w:t>
      </w:r>
    </w:p>
    <w:p w14:paraId="3F27EB2E"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a）管理层是否已经考虑以及如何考虑各种假设或结果，如通过</w:t>
      </w:r>
      <w:r>
        <w:rPr>
          <w:rFonts w:cs="Calibri" w:hint="eastAsia"/>
          <w:b/>
          <w:bCs/>
          <w:color w:val="FF0000"/>
          <w:sz w:val="21"/>
          <w:szCs w:val="21"/>
        </w:rPr>
        <w:t>敏感性分析</w:t>
      </w:r>
      <w:r>
        <w:rPr>
          <w:rFonts w:cs="Calibri" w:hint="eastAsia"/>
          <w:color w:val="3F3F3F"/>
          <w:sz w:val="21"/>
          <w:szCs w:val="21"/>
        </w:rPr>
        <w:t>确定假设变化对估计的影响；</w:t>
      </w:r>
    </w:p>
    <w:p w14:paraId="79762C88"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b）当敏感性分析表明存在</w:t>
      </w:r>
      <w:r>
        <w:rPr>
          <w:rFonts w:cs="Calibri" w:hint="eastAsia"/>
          <w:b/>
          <w:bCs/>
          <w:color w:val="FF0000"/>
          <w:sz w:val="21"/>
          <w:szCs w:val="21"/>
        </w:rPr>
        <w:t>多种</w:t>
      </w:r>
      <w:r>
        <w:rPr>
          <w:rFonts w:cs="Calibri" w:hint="eastAsia"/>
          <w:color w:val="3F3F3F"/>
          <w:sz w:val="21"/>
          <w:szCs w:val="21"/>
        </w:rPr>
        <w:t>可能结果时，管理层如何作出会计估计；</w:t>
      </w:r>
    </w:p>
    <w:p w14:paraId="45976208"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c）管理层是否</w:t>
      </w:r>
      <w:r>
        <w:rPr>
          <w:rFonts w:cs="Calibri" w:hint="eastAsia"/>
          <w:b/>
          <w:bCs/>
          <w:color w:val="FF0000"/>
          <w:sz w:val="21"/>
          <w:szCs w:val="21"/>
        </w:rPr>
        <w:t>监控</w:t>
      </w:r>
      <w:r>
        <w:rPr>
          <w:rFonts w:cs="Calibri" w:hint="eastAsia"/>
          <w:color w:val="3F3F3F"/>
          <w:sz w:val="21"/>
          <w:szCs w:val="21"/>
        </w:rPr>
        <w:t>上期作出会计估计的结果，是否已恰当应对实施监控程序的结果。</w:t>
      </w:r>
    </w:p>
    <w:p w14:paraId="5B9893DD" w14:textId="77777777" w:rsidR="00FC35A6" w:rsidRDefault="00FC35A6" w:rsidP="00FC35A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（2）对注册会计师的要求</w:t>
      </w:r>
    </w:p>
    <w:p w14:paraId="076D5FA7"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应当复核</w:t>
      </w:r>
      <w:r>
        <w:rPr>
          <w:rFonts w:cs="Calibri" w:hint="eastAsia"/>
          <w:color w:val="3F3F3F"/>
          <w:sz w:val="21"/>
          <w:szCs w:val="21"/>
        </w:rPr>
        <w:t>上期财务报表中会计估计的结果，或者复核管理层在本期财务报表中对上期会计估计作出的后续重新估计。但是，注册会计师</w:t>
      </w:r>
      <w:r>
        <w:rPr>
          <w:rFonts w:cs="Calibri" w:hint="eastAsia"/>
          <w:b/>
          <w:bCs/>
          <w:color w:val="FF0000"/>
          <w:sz w:val="21"/>
          <w:szCs w:val="21"/>
        </w:rPr>
        <w:t>复核的目的不是</w:t>
      </w:r>
      <w:r>
        <w:rPr>
          <w:rFonts w:cs="Calibri" w:hint="eastAsia"/>
          <w:color w:val="3F3F3F"/>
          <w:sz w:val="21"/>
          <w:szCs w:val="21"/>
        </w:rPr>
        <w:t>质疑上期依据当时可获得的信息而作出的判断。</w:t>
      </w:r>
    </w:p>
    <w:p w14:paraId="09FB3F65" w14:textId="77777777" w:rsidR="00FC35A6" w:rsidRDefault="00FC35A6" w:rsidP="00FC35A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6BBC23D" w14:textId="77777777" w:rsidR="00FC35A6" w:rsidRDefault="00FC35A6" w:rsidP="00FC35A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多项选择题【2011年真题】</w:t>
      </w:r>
    </w:p>
    <w:p w14:paraId="6C1748A4"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在识别和评估与会计估计相关的重大错报风险时，下列各项中，注册会计师认为应当了解的有（　　）。</w:t>
      </w:r>
    </w:p>
    <w:p w14:paraId="544ABB68"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A.与会计估计相关的财务报告编制基础的规定</w:t>
      </w:r>
    </w:p>
    <w:p w14:paraId="52045A20"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B.被审计单位管理层如何识别需要作出会计估计的交易、事项和情况</w:t>
      </w:r>
    </w:p>
    <w:p w14:paraId="0C025332"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C.被审计单位管理层如何作出会计估计</w:t>
      </w:r>
    </w:p>
    <w:p w14:paraId="503E6946"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D.会计估计所依据的数据</w:t>
      </w:r>
    </w:p>
    <w:p w14:paraId="0559808B"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55A50D5E"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在实施风险评估程序和相关活动，以了解被审计单位及其环境时，注册会计师应当了解下列内容，作为识别和评估会计估计重大错报风险的基础：（1）了解适用的财务报告编制基础的要求；（2）了解管理层如何识别是否需要作出会计估计；（3）了解管理层如何作出会计估计。选项D中，了解会计估计所依据的数据是了解管理层如何作出会计估计必不可少的内容。本题具有</w:t>
      </w:r>
      <w:r>
        <w:rPr>
          <w:rFonts w:cs="Calibri" w:hint="eastAsia"/>
          <w:b/>
          <w:bCs/>
          <w:color w:val="FF0000"/>
          <w:sz w:val="21"/>
          <w:szCs w:val="21"/>
        </w:rPr>
        <w:t>灵活性</w:t>
      </w:r>
      <w:r>
        <w:rPr>
          <w:rFonts w:cs="Calibri" w:hint="eastAsia"/>
          <w:color w:val="3F3F3F"/>
          <w:sz w:val="21"/>
          <w:szCs w:val="21"/>
        </w:rPr>
        <w:t>，同学们要训练变通能力。</w:t>
      </w:r>
    </w:p>
    <w:p w14:paraId="37FEA3D1" w14:textId="77777777" w:rsidR="00FC35A6" w:rsidRDefault="00FC35A6" w:rsidP="00FC35A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3EDF6C82"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下列各项中，属于注册会计师在了解管理层如何作出会计估计时，可以考虑的因素有（　　）。</w:t>
      </w:r>
    </w:p>
    <w:p w14:paraId="1C527A11"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A.作出会计估计的模型</w:t>
      </w:r>
    </w:p>
    <w:p w14:paraId="2321928E"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B.管理层是否利用了专家的工作</w:t>
      </w:r>
    </w:p>
    <w:p w14:paraId="5A0003C9"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C.管理层对所采用假设的评价</w:t>
      </w:r>
    </w:p>
    <w:p w14:paraId="4D9E2AAF"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D.作出会计估计的人员的胜任能力</w:t>
      </w:r>
    </w:p>
    <w:p w14:paraId="47D84E4B"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50408177" w14:textId="77777777" w:rsidR="00FC35A6" w:rsidRDefault="00FC35A6" w:rsidP="00FC35A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[点评]选项A、选项B和选项C均为六项基本考虑因素；选项D中，了解作出会计估计的人员的胜任能力属于了解相关控制的范畴。本题值得同学们认真练习，具有可考性。</w:t>
      </w:r>
    </w:p>
    <w:p w14:paraId="55B3937D" w14:textId="77777777" w:rsidR="00FC35A6" w:rsidRDefault="00FC35A6" w:rsidP="00FC35A6">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652DF368" w14:textId="77777777" w:rsidR="00FC35A6" w:rsidRDefault="00FC35A6" w:rsidP="00FC35A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"http://webupload.admin.dongao.com/biz/handout/img/2019/20190619/20190619131229172005.png" \* MERGEFORMATINET </w:instrText>
      </w:r>
      <w:r>
        <w:rPr>
          <w:rFonts w:cs="Calibri"/>
          <w:color w:val="3F3F3F"/>
          <w:sz w:val="21"/>
          <w:szCs w:val="21"/>
        </w:rPr>
        <w:fldChar w:fldCharType="separate"/>
      </w:r>
      <w:r>
        <w:rPr>
          <w:rFonts w:cs="Calibri"/>
          <w:color w:val="3F3F3F"/>
          <w:sz w:val="21"/>
          <w:szCs w:val="21"/>
        </w:rPr>
        <w:pict>
          <v:shape id="_x0000_i1029" type="#_x0000_t75" alt="说明: C:\Users\leiyuxin\Desktop\图片3.png" style="width:405.75pt;height:234pt">
            <v:imagedata r:id="rId15" r:href="rId16"/>
          </v:shape>
        </w:pict>
      </w:r>
      <w:r>
        <w:rPr>
          <w:rFonts w:cs="Calibri"/>
          <w:color w:val="3F3F3F"/>
          <w:sz w:val="21"/>
          <w:szCs w:val="21"/>
        </w:rPr>
        <w:fldChar w:fldCharType="end"/>
      </w:r>
    </w:p>
    <w:p w14:paraId="2EDFC42F" w14:textId="77777777" w:rsidR="00FC35A6" w:rsidRDefault="00FC35A6" w:rsidP="00FC35A6">
      <w:pPr>
        <w:shd w:val="clear" w:color="auto" w:fill="FFFFFF"/>
        <w:rPr>
          <w:rFonts w:ascii="微软雅黑" w:eastAsia="微软雅黑" w:hAnsi="微软雅黑" w:cs="宋体"/>
          <w:color w:val="3F3F3F"/>
          <w:szCs w:val="21"/>
        </w:rPr>
      </w:pPr>
    </w:p>
    <w:p w14:paraId="59760C06" w14:textId="77777777" w:rsidR="00271D8C" w:rsidRPr="00FC35A6" w:rsidRDefault="00271D8C" w:rsidP="00FC35A6">
      <w:pPr>
        <w:rPr>
          <w:rFonts w:hint="eastAsia"/>
        </w:rPr>
      </w:pPr>
    </w:p>
    <w:sectPr w:rsidR="00271D8C" w:rsidRPr="00FC35A6" w:rsidSect="001F62DD">
      <w:headerReference w:type="default" r:id="rId17"/>
      <w:footerReference w:type="default" r:id="rId18"/>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3E9BB" w14:textId="77777777" w:rsidR="002A76F8" w:rsidRDefault="002A76F8" w:rsidP="00CD53C5">
      <w:r>
        <w:separator/>
      </w:r>
    </w:p>
  </w:endnote>
  <w:endnote w:type="continuationSeparator" w:id="0">
    <w:p w14:paraId="22C83FD4" w14:textId="77777777" w:rsidR="002A76F8" w:rsidRDefault="002A76F8"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7848D060" w14:textId="77777777" w:rsidTr="007B0BFD">
      <w:trPr>
        <w:trHeight w:val="274"/>
      </w:trPr>
      <w:tc>
        <w:tcPr>
          <w:tcW w:w="2050" w:type="dxa"/>
          <w:shd w:val="clear" w:color="auto" w:fill="auto"/>
          <w:vAlign w:val="center"/>
        </w:tcPr>
        <w:p w14:paraId="3F0F25DF"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0" type="#_x0000_t75" style="width:90.75pt;height:26.25pt;visibility:visible">
                <v:imagedata r:id="rId1" o:title=""/>
              </v:shape>
            </w:pict>
          </w:r>
        </w:p>
      </w:tc>
      <w:tc>
        <w:tcPr>
          <w:tcW w:w="3742" w:type="dxa"/>
          <w:shd w:val="clear" w:color="auto" w:fill="auto"/>
          <w:vAlign w:val="center"/>
        </w:tcPr>
        <w:p w14:paraId="432CACB6"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23EA8DA6"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1C6EE01F"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830ED" w14:textId="77777777" w:rsidR="002A76F8" w:rsidRDefault="002A76F8" w:rsidP="00CD53C5">
      <w:r>
        <w:separator/>
      </w:r>
    </w:p>
  </w:footnote>
  <w:footnote w:type="continuationSeparator" w:id="0">
    <w:p w14:paraId="228AA54C" w14:textId="77777777" w:rsidR="002A76F8" w:rsidRDefault="002A76F8"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79B34857" w14:textId="77777777" w:rsidTr="007B0BFD">
      <w:trPr>
        <w:trHeight w:val="501"/>
      </w:trPr>
      <w:tc>
        <w:tcPr>
          <w:tcW w:w="4272" w:type="dxa"/>
          <w:shd w:val="clear" w:color="auto" w:fill="auto"/>
          <w:vAlign w:val="center"/>
        </w:tcPr>
        <w:p w14:paraId="3F740D2A" w14:textId="77777777" w:rsidR="001545C6" w:rsidRPr="001F62DD" w:rsidRDefault="00FC35A6"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6229D3E8" w14:textId="77777777" w:rsidR="001545C6" w:rsidRPr="004D61E7" w:rsidRDefault="00FC35A6"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第十七章</w:t>
          </w:r>
          <w:r>
            <w:rPr>
              <w:rFonts w:ascii="微软雅黑" w:eastAsia="微软雅黑" w:hAnsi="微软雅黑"/>
              <w:sz w:val="24"/>
              <w:szCs w:val="24"/>
            </w:rPr>
            <w:t>+其他特殊项目的审计</w:t>
          </w:r>
        </w:p>
      </w:tc>
    </w:tr>
  </w:tbl>
  <w:p w14:paraId="6DEB225F"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A76F8"/>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EF6A89"/>
    <w:rsid w:val="00F4489B"/>
    <w:rsid w:val="00F86EF2"/>
    <w:rsid w:val="00FC3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0D99613"/>
  <w15:docId w15:val="{4943D9E1-2757-4CF5-8170-41B4CE4C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1921675412">
      <w:bodyDiv w:val="1"/>
      <w:marLeft w:val="0"/>
      <w:marRight w:val="0"/>
      <w:marTop w:val="0"/>
      <w:marBottom w:val="0"/>
      <w:divBdr>
        <w:top w:val="none" w:sz="0" w:space="0" w:color="auto"/>
        <w:left w:val="none" w:sz="0" w:space="0" w:color="auto"/>
        <w:bottom w:val="none" w:sz="0" w:space="0" w:color="auto"/>
        <w:right w:val="none" w:sz="0" w:space="0" w:color="auto"/>
      </w:divBdr>
      <w:divsChild>
        <w:div w:id="2088456421">
          <w:marLeft w:val="0"/>
          <w:marRight w:val="0"/>
          <w:marTop w:val="0"/>
          <w:marBottom w:val="0"/>
          <w:divBdr>
            <w:top w:val="none" w:sz="0" w:space="0" w:color="auto"/>
            <w:left w:val="none" w:sz="0" w:space="0" w:color="auto"/>
            <w:bottom w:val="none" w:sz="0" w:space="0" w:color="auto"/>
            <w:right w:val="none" w:sz="0" w:space="0" w:color="auto"/>
          </w:divBdr>
          <w:divsChild>
            <w:div w:id="158236396">
              <w:marLeft w:val="0"/>
              <w:marRight w:val="0"/>
              <w:marTop w:val="0"/>
              <w:marBottom w:val="0"/>
              <w:divBdr>
                <w:top w:val="none" w:sz="0" w:space="0" w:color="auto"/>
                <w:left w:val="none" w:sz="0" w:space="0" w:color="auto"/>
                <w:bottom w:val="none" w:sz="0" w:space="0" w:color="auto"/>
                <w:right w:val="none" w:sz="0" w:space="0" w:color="auto"/>
              </w:divBdr>
            </w:div>
            <w:div w:id="237594126">
              <w:marLeft w:val="0"/>
              <w:marRight w:val="0"/>
              <w:marTop w:val="0"/>
              <w:marBottom w:val="0"/>
              <w:divBdr>
                <w:top w:val="none" w:sz="0" w:space="0" w:color="auto"/>
                <w:left w:val="none" w:sz="0" w:space="0" w:color="auto"/>
                <w:bottom w:val="none" w:sz="0" w:space="0" w:color="auto"/>
                <w:right w:val="none" w:sz="0" w:space="0" w:color="auto"/>
              </w:divBdr>
            </w:div>
            <w:div w:id="490564476">
              <w:marLeft w:val="0"/>
              <w:marRight w:val="0"/>
              <w:marTop w:val="0"/>
              <w:marBottom w:val="0"/>
              <w:divBdr>
                <w:top w:val="none" w:sz="0" w:space="0" w:color="auto"/>
                <w:left w:val="none" w:sz="0" w:space="0" w:color="auto"/>
                <w:bottom w:val="none" w:sz="0" w:space="0" w:color="auto"/>
                <w:right w:val="none" w:sz="0" w:space="0" w:color="auto"/>
              </w:divBdr>
            </w:div>
            <w:div w:id="795834954">
              <w:marLeft w:val="0"/>
              <w:marRight w:val="0"/>
              <w:marTop w:val="0"/>
              <w:marBottom w:val="0"/>
              <w:divBdr>
                <w:top w:val="none" w:sz="0" w:space="0" w:color="auto"/>
                <w:left w:val="none" w:sz="0" w:space="0" w:color="auto"/>
                <w:bottom w:val="none" w:sz="0" w:space="0" w:color="auto"/>
                <w:right w:val="none" w:sz="0" w:space="0" w:color="auto"/>
              </w:divBdr>
            </w:div>
            <w:div w:id="971523327">
              <w:marLeft w:val="0"/>
              <w:marRight w:val="0"/>
              <w:marTop w:val="0"/>
              <w:marBottom w:val="0"/>
              <w:divBdr>
                <w:top w:val="none" w:sz="0" w:space="0" w:color="auto"/>
                <w:left w:val="none" w:sz="0" w:space="0" w:color="auto"/>
                <w:bottom w:val="none" w:sz="0" w:space="0" w:color="auto"/>
                <w:right w:val="none" w:sz="0" w:space="0" w:color="auto"/>
              </w:divBdr>
            </w:div>
            <w:div w:id="1092774262">
              <w:marLeft w:val="0"/>
              <w:marRight w:val="0"/>
              <w:marTop w:val="0"/>
              <w:marBottom w:val="0"/>
              <w:divBdr>
                <w:top w:val="none" w:sz="0" w:space="0" w:color="auto"/>
                <w:left w:val="none" w:sz="0" w:space="0" w:color="auto"/>
                <w:bottom w:val="none" w:sz="0" w:space="0" w:color="auto"/>
                <w:right w:val="none" w:sz="0" w:space="0" w:color="auto"/>
              </w:divBdr>
            </w:div>
            <w:div w:id="1109350092">
              <w:marLeft w:val="0"/>
              <w:marRight w:val="0"/>
              <w:marTop w:val="0"/>
              <w:marBottom w:val="0"/>
              <w:divBdr>
                <w:top w:val="none" w:sz="0" w:space="0" w:color="auto"/>
                <w:left w:val="none" w:sz="0" w:space="0" w:color="auto"/>
                <w:bottom w:val="none" w:sz="0" w:space="0" w:color="auto"/>
                <w:right w:val="none" w:sz="0" w:space="0" w:color="auto"/>
              </w:divBdr>
            </w:div>
            <w:div w:id="1196848479">
              <w:marLeft w:val="0"/>
              <w:marRight w:val="0"/>
              <w:marTop w:val="0"/>
              <w:marBottom w:val="0"/>
              <w:divBdr>
                <w:top w:val="none" w:sz="0" w:space="0" w:color="auto"/>
                <w:left w:val="none" w:sz="0" w:space="0" w:color="auto"/>
                <w:bottom w:val="none" w:sz="0" w:space="0" w:color="auto"/>
                <w:right w:val="none" w:sz="0" w:space="0" w:color="auto"/>
              </w:divBdr>
            </w:div>
            <w:div w:id="1277445941">
              <w:marLeft w:val="0"/>
              <w:marRight w:val="0"/>
              <w:marTop w:val="0"/>
              <w:marBottom w:val="0"/>
              <w:divBdr>
                <w:top w:val="none" w:sz="0" w:space="0" w:color="auto"/>
                <w:left w:val="none" w:sz="0" w:space="0" w:color="auto"/>
                <w:bottom w:val="none" w:sz="0" w:space="0" w:color="auto"/>
                <w:right w:val="none" w:sz="0" w:space="0" w:color="auto"/>
              </w:divBdr>
            </w:div>
            <w:div w:id="1446462857">
              <w:marLeft w:val="0"/>
              <w:marRight w:val="0"/>
              <w:marTop w:val="0"/>
              <w:marBottom w:val="0"/>
              <w:divBdr>
                <w:top w:val="none" w:sz="0" w:space="0" w:color="auto"/>
                <w:left w:val="none" w:sz="0" w:space="0" w:color="auto"/>
                <w:bottom w:val="none" w:sz="0" w:space="0" w:color="auto"/>
                <w:right w:val="none" w:sz="0" w:space="0" w:color="auto"/>
              </w:divBdr>
            </w:div>
            <w:div w:id="1657762210">
              <w:marLeft w:val="0"/>
              <w:marRight w:val="0"/>
              <w:marTop w:val="0"/>
              <w:marBottom w:val="0"/>
              <w:divBdr>
                <w:top w:val="none" w:sz="0" w:space="0" w:color="auto"/>
                <w:left w:val="none" w:sz="0" w:space="0" w:color="auto"/>
                <w:bottom w:val="none" w:sz="0" w:space="0" w:color="auto"/>
                <w:right w:val="none" w:sz="0" w:space="0" w:color="auto"/>
              </w:divBdr>
            </w:div>
            <w:div w:id="1850825255">
              <w:marLeft w:val="0"/>
              <w:marRight w:val="0"/>
              <w:marTop w:val="0"/>
              <w:marBottom w:val="0"/>
              <w:divBdr>
                <w:top w:val="none" w:sz="0" w:space="0" w:color="auto"/>
                <w:left w:val="none" w:sz="0" w:space="0" w:color="auto"/>
                <w:bottom w:val="none" w:sz="0" w:space="0" w:color="auto"/>
                <w:right w:val="none" w:sz="0" w:space="0" w:color="auto"/>
              </w:divBdr>
            </w:div>
            <w:div w:id="1896427799">
              <w:marLeft w:val="0"/>
              <w:marRight w:val="0"/>
              <w:marTop w:val="0"/>
              <w:marBottom w:val="0"/>
              <w:divBdr>
                <w:top w:val="none" w:sz="0" w:space="0" w:color="auto"/>
                <w:left w:val="none" w:sz="0" w:space="0" w:color="auto"/>
                <w:bottom w:val="none" w:sz="0" w:space="0" w:color="auto"/>
                <w:right w:val="none" w:sz="0" w:space="0" w:color="auto"/>
              </w:divBdr>
            </w:div>
            <w:div w:id="1971744222">
              <w:marLeft w:val="0"/>
              <w:marRight w:val="0"/>
              <w:marTop w:val="0"/>
              <w:marBottom w:val="0"/>
              <w:divBdr>
                <w:top w:val="none" w:sz="0" w:space="0" w:color="auto"/>
                <w:left w:val="none" w:sz="0" w:space="0" w:color="auto"/>
                <w:bottom w:val="none" w:sz="0" w:space="0" w:color="auto"/>
                <w:right w:val="none" w:sz="0" w:space="0" w:color="auto"/>
              </w:divBdr>
            </w:div>
            <w:div w:id="20917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19/20190619131228374001.p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619/20190619131228106003.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webupload.admin.dongao.com/biz/handout/img/2019/20190619/20190619131229172005.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ebupload.admin.dongao.com/biz/handout/img/2019/20190619/20190619131228311002.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619/20190619131228169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837C5-EE2C-455A-925A-2F64FB78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