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F4BDF" w14:textId="77777777" w:rsidR="008F76CD" w:rsidRDefault="008F76CD" w:rsidP="008F76C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第十七章</w:t>
      </w:r>
      <w:r>
        <w:rPr>
          <w:rFonts w:cs="Calibri" w:hint="eastAsia"/>
          <w:b/>
          <w:bCs/>
          <w:color w:val="3F3F3F"/>
          <w:sz w:val="52"/>
          <w:szCs w:val="52"/>
        </w:rPr>
        <w:t>•</w:t>
      </w:r>
      <w:r>
        <w:rPr>
          <w:rFonts w:ascii="楷体" w:eastAsia="楷体" w:hAnsi="楷体" w:cs="Calibri" w:hint="eastAsia"/>
          <w:b/>
          <w:bCs/>
          <w:color w:val="3F3F3F"/>
          <w:sz w:val="52"/>
          <w:szCs w:val="52"/>
        </w:rPr>
        <w:t>其他特殊项目的审计</w:t>
      </w:r>
    </w:p>
    <w:p w14:paraId="786E5ED5" w14:textId="77777777" w:rsidR="008F76CD" w:rsidRDefault="008F76CD" w:rsidP="008F76C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3D3913C1" w14:textId="77777777" w:rsidR="008F76CD" w:rsidRDefault="008F76CD" w:rsidP="008F76C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审计会计估计</w:t>
      </w:r>
    </w:p>
    <w:p w14:paraId="51B7AF0D"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四、应对评估的重大错报风险</w:t>
      </w:r>
    </w:p>
    <w:p w14:paraId="0EC35AB2"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（二）实施进一步实质性程序以应对特别风险</w:t>
      </w:r>
    </w:p>
    <w:p w14:paraId="777B1163" w14:textId="77777777" w:rsidR="008F76CD" w:rsidRDefault="008F76CD" w:rsidP="008F76C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"http://webupload.admin.dongao.com/biz/handout/img/2019/20190625/20190625095321901001.png"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in">
            <v:imagedata r:id="rId7" r:href="rId8"/>
          </v:shape>
        </w:pict>
      </w:r>
      <w:r>
        <w:rPr>
          <w:rFonts w:cs="Calibri"/>
          <w:color w:val="3F3F3F"/>
          <w:sz w:val="21"/>
          <w:szCs w:val="21"/>
        </w:rPr>
        <w:fldChar w:fldCharType="end"/>
      </w:r>
    </w:p>
    <w:tbl>
      <w:tblPr>
        <w:tblW w:w="8500" w:type="dxa"/>
        <w:jc w:val="center"/>
        <w:tblCellMar>
          <w:left w:w="0" w:type="dxa"/>
          <w:right w:w="0" w:type="dxa"/>
        </w:tblCellMar>
        <w:tblLook w:val="04A0" w:firstRow="1" w:lastRow="0" w:firstColumn="1" w:lastColumn="0" w:noHBand="0" w:noVBand="1"/>
      </w:tblPr>
      <w:tblGrid>
        <w:gridCol w:w="979"/>
        <w:gridCol w:w="7521"/>
      </w:tblGrid>
      <w:tr w:rsidR="008F76CD" w14:paraId="6FF63C3B" w14:textId="77777777" w:rsidTr="008F76CD">
        <w:trPr>
          <w:trHeight w:val="70"/>
          <w:jc w:val="center"/>
        </w:trPr>
        <w:tc>
          <w:tcPr>
            <w:tcW w:w="850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57020B"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1.评价管理层是否适当处理估计不确定性</w:t>
            </w:r>
            <w:r>
              <w:rPr>
                <w:rFonts w:cs="Calibri" w:hint="eastAsia"/>
                <w:b/>
                <w:bCs/>
                <w:color w:val="FF0000"/>
                <w:sz w:val="21"/>
                <w:szCs w:val="21"/>
              </w:rPr>
              <w:t>【多选题/简答题考点】</w:t>
            </w:r>
          </w:p>
        </w:tc>
      </w:tr>
      <w:tr w:rsidR="008F76CD" w14:paraId="0F9DA58A" w14:textId="77777777" w:rsidTr="008F76CD">
        <w:trPr>
          <w:trHeight w:val="70"/>
          <w:jc w:val="center"/>
        </w:trPr>
        <w:tc>
          <w:tcPr>
            <w:tcW w:w="9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719446"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52308D"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评价</w:t>
            </w:r>
            <w:r>
              <w:rPr>
                <w:rFonts w:cs="Calibri" w:hint="eastAsia"/>
                <w:color w:val="333333"/>
                <w:sz w:val="21"/>
                <w:szCs w:val="21"/>
              </w:rPr>
              <w:t>管理层如何考虑</w:t>
            </w:r>
            <w:r>
              <w:rPr>
                <w:rFonts w:cs="Calibri" w:hint="eastAsia"/>
                <w:b/>
                <w:bCs/>
                <w:color w:val="FF0000"/>
                <w:sz w:val="21"/>
                <w:szCs w:val="21"/>
              </w:rPr>
              <w:t>替代性</w:t>
            </w:r>
            <w:r>
              <w:rPr>
                <w:rFonts w:cs="Calibri" w:hint="eastAsia"/>
                <w:color w:val="333333"/>
                <w:sz w:val="21"/>
                <w:szCs w:val="21"/>
              </w:rPr>
              <w:t>的假设或结果，以及拒绝采纳的原因，或者在没有考虑替代性假设或结果的情况下，评价管理层在作出会计估计时如何处理估计不确定性</w:t>
            </w:r>
          </w:p>
          <w:p w14:paraId="001D5304"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（2）评价管理层使用的</w:t>
            </w:r>
            <w:r>
              <w:rPr>
                <w:rFonts w:cs="Calibri" w:hint="eastAsia"/>
                <w:b/>
                <w:bCs/>
                <w:color w:val="FF0000"/>
                <w:sz w:val="21"/>
                <w:szCs w:val="21"/>
              </w:rPr>
              <w:t>重大假设</w:t>
            </w:r>
            <w:r>
              <w:rPr>
                <w:rFonts w:cs="Calibri" w:hint="eastAsia"/>
                <w:color w:val="333333"/>
                <w:sz w:val="21"/>
                <w:szCs w:val="21"/>
              </w:rPr>
              <w:t>是否合理。如果假设的合理变化可能对会计估计的计量产生重大影响，则这些假设被视为</w:t>
            </w:r>
            <w:r>
              <w:rPr>
                <w:rFonts w:cs="Calibri" w:hint="eastAsia"/>
                <w:b/>
                <w:bCs/>
                <w:color w:val="FF0000"/>
                <w:sz w:val="21"/>
                <w:szCs w:val="21"/>
              </w:rPr>
              <w:t>重大假设[易错点]</w:t>
            </w:r>
          </w:p>
          <w:p w14:paraId="00066001"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（3）当管理层实施特定措施的意图和能力与其使用的重大假设的合理性或对适用的财务报告编制基础的恰当应用相关时，评价这些</w:t>
            </w:r>
            <w:r>
              <w:rPr>
                <w:rFonts w:cs="Calibri" w:hint="eastAsia"/>
                <w:b/>
                <w:bCs/>
                <w:color w:val="FF0000"/>
                <w:sz w:val="21"/>
                <w:szCs w:val="21"/>
              </w:rPr>
              <w:t>意图和能力</w:t>
            </w:r>
          </w:p>
        </w:tc>
      </w:tr>
      <w:tr w:rsidR="008F76CD" w14:paraId="2AE5870B" w14:textId="77777777" w:rsidTr="008F76CD">
        <w:trPr>
          <w:trHeight w:val="70"/>
          <w:jc w:val="center"/>
        </w:trPr>
        <w:tc>
          <w:tcPr>
            <w:tcW w:w="850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45033"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2.作出区间估计</w:t>
            </w:r>
          </w:p>
        </w:tc>
      </w:tr>
      <w:tr w:rsidR="008F76CD" w14:paraId="05673926" w14:textId="77777777" w:rsidTr="008F76CD">
        <w:trPr>
          <w:trHeight w:val="70"/>
          <w:jc w:val="center"/>
        </w:trPr>
        <w:tc>
          <w:tcPr>
            <w:tcW w:w="9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7A8271"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EB13E5"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如管理层</w:t>
            </w:r>
            <w:r>
              <w:rPr>
                <w:rFonts w:cs="Calibri" w:hint="eastAsia"/>
                <w:b/>
                <w:bCs/>
                <w:color w:val="FF0000"/>
                <w:sz w:val="21"/>
                <w:szCs w:val="21"/>
              </w:rPr>
              <w:t>没有</w:t>
            </w:r>
            <w:r>
              <w:rPr>
                <w:rFonts w:cs="Calibri" w:hint="eastAsia"/>
                <w:color w:val="333333"/>
                <w:sz w:val="21"/>
                <w:szCs w:val="21"/>
              </w:rPr>
              <w:t>适当处理估计不确定性对导致特别风险的会计估计的影响，注册会计师</w:t>
            </w:r>
            <w:r>
              <w:rPr>
                <w:rFonts w:cs="Calibri" w:hint="eastAsia"/>
                <w:b/>
                <w:bCs/>
                <w:color w:val="FF0000"/>
                <w:sz w:val="21"/>
                <w:szCs w:val="21"/>
              </w:rPr>
              <w:t>应当</w:t>
            </w:r>
            <w:r>
              <w:rPr>
                <w:rFonts w:cs="Calibri" w:hint="eastAsia"/>
                <w:color w:val="333333"/>
                <w:sz w:val="21"/>
                <w:szCs w:val="21"/>
              </w:rPr>
              <w:t>在必要时作出评价会计估计合理性的区间估计</w:t>
            </w:r>
          </w:p>
        </w:tc>
      </w:tr>
      <w:tr w:rsidR="008F76CD" w14:paraId="23A067F4" w14:textId="77777777" w:rsidTr="008F76CD">
        <w:trPr>
          <w:trHeight w:val="70"/>
          <w:jc w:val="center"/>
        </w:trPr>
        <w:tc>
          <w:tcPr>
            <w:tcW w:w="850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080B25"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3.确定确认和计量的标准是否符合适用的编制基础</w:t>
            </w:r>
          </w:p>
        </w:tc>
      </w:tr>
      <w:tr w:rsidR="008F76CD" w14:paraId="70685E8F" w14:textId="77777777" w:rsidTr="008F76CD">
        <w:trPr>
          <w:trHeight w:val="70"/>
          <w:jc w:val="center"/>
        </w:trPr>
        <w:tc>
          <w:tcPr>
            <w:tcW w:w="9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C0C97D"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FEB60D"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（1）管理层对会计估计在财务报表中予以确认或不予确认的决策</w:t>
            </w:r>
          </w:p>
          <w:p w14:paraId="7F9ACAF0"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（2）作出会计估计所选择的计量基础</w:t>
            </w:r>
          </w:p>
        </w:tc>
      </w:tr>
    </w:tbl>
    <w:p w14:paraId="6F007A13"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（三）其他相关审计程序</w:t>
      </w:r>
    </w:p>
    <w:tbl>
      <w:tblPr>
        <w:tblW w:w="8505" w:type="dxa"/>
        <w:jc w:val="center"/>
        <w:tblCellMar>
          <w:left w:w="0" w:type="dxa"/>
          <w:right w:w="0" w:type="dxa"/>
        </w:tblCellMar>
        <w:tblLook w:val="04A0" w:firstRow="1" w:lastRow="0" w:firstColumn="1" w:lastColumn="0" w:noHBand="0" w:noVBand="1"/>
      </w:tblPr>
      <w:tblGrid>
        <w:gridCol w:w="941"/>
        <w:gridCol w:w="7564"/>
      </w:tblGrid>
      <w:tr w:rsidR="008F76CD" w14:paraId="4F0D987D" w14:textId="77777777" w:rsidTr="008F76CD">
        <w:trPr>
          <w:trHeight w:val="70"/>
          <w:jc w:val="center"/>
        </w:trPr>
        <w:tc>
          <w:tcPr>
            <w:tcW w:w="850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81AED"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1.关注与会计估计相关的披露</w:t>
            </w:r>
          </w:p>
        </w:tc>
      </w:tr>
      <w:tr w:rsidR="008F76CD" w14:paraId="3B257F96" w14:textId="77777777" w:rsidTr="008F76CD">
        <w:trPr>
          <w:trHeight w:val="70"/>
          <w:jc w:val="center"/>
        </w:trPr>
        <w:tc>
          <w:tcPr>
            <w:tcW w:w="9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FDB90"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B6F79C"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（1）注册会计师应当确定与会计估计相关的财务报表披露是否符合适用的财务报告编制基础的规定</w:t>
            </w:r>
          </w:p>
          <w:p w14:paraId="4845DC69"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（2）对导致</w:t>
            </w:r>
            <w:r>
              <w:rPr>
                <w:rFonts w:cs="Calibri" w:hint="eastAsia"/>
                <w:b/>
                <w:bCs/>
                <w:color w:val="FF0000"/>
                <w:sz w:val="21"/>
                <w:szCs w:val="21"/>
              </w:rPr>
              <w:t>特别风险</w:t>
            </w:r>
            <w:r>
              <w:rPr>
                <w:rFonts w:cs="Calibri" w:hint="eastAsia"/>
                <w:color w:val="333333"/>
                <w:sz w:val="21"/>
                <w:szCs w:val="21"/>
              </w:rPr>
              <w:t>会计估计，注册会计师还应当评价在适用的财务报告编制基础下，财务报表对</w:t>
            </w:r>
            <w:r>
              <w:rPr>
                <w:rFonts w:cs="Calibri" w:hint="eastAsia"/>
                <w:b/>
                <w:bCs/>
                <w:color w:val="FF0000"/>
                <w:sz w:val="21"/>
                <w:szCs w:val="21"/>
              </w:rPr>
              <w:t>估计不确定性的披露的充分性[易考点]</w:t>
            </w:r>
          </w:p>
        </w:tc>
      </w:tr>
      <w:tr w:rsidR="008F76CD" w14:paraId="15756B3C" w14:textId="77777777" w:rsidTr="008F76CD">
        <w:trPr>
          <w:trHeight w:val="70"/>
          <w:jc w:val="center"/>
        </w:trPr>
        <w:tc>
          <w:tcPr>
            <w:tcW w:w="85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9C765C"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2.获取书面声明</w:t>
            </w:r>
          </w:p>
        </w:tc>
      </w:tr>
      <w:tr w:rsidR="008F76CD" w14:paraId="7309FE4B" w14:textId="77777777" w:rsidTr="008F76CD">
        <w:trPr>
          <w:trHeight w:val="70"/>
          <w:jc w:val="center"/>
        </w:trPr>
        <w:tc>
          <w:tcPr>
            <w:tcW w:w="9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F9F08"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程序</w:t>
            </w:r>
          </w:p>
        </w:tc>
        <w:tc>
          <w:tcPr>
            <w:tcW w:w="7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A4E5A1"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w:t>
            </w:r>
            <w:r>
              <w:rPr>
                <w:rFonts w:cs="Calibri" w:hint="eastAsia"/>
                <w:b/>
                <w:bCs/>
                <w:color w:val="FF0000"/>
                <w:sz w:val="21"/>
                <w:szCs w:val="21"/>
              </w:rPr>
              <w:t>应当</w:t>
            </w:r>
            <w:r>
              <w:rPr>
                <w:rFonts w:cs="Calibri" w:hint="eastAsia"/>
                <w:color w:val="333333"/>
                <w:sz w:val="21"/>
                <w:szCs w:val="21"/>
              </w:rPr>
              <w:t>获取书面声明，以确认会计估计的重大假设的合理性，内容包括在财务报表中</w:t>
            </w:r>
            <w:r>
              <w:rPr>
                <w:rFonts w:cs="Calibri" w:hint="eastAsia"/>
                <w:b/>
                <w:bCs/>
                <w:color w:val="FF0000"/>
                <w:sz w:val="21"/>
                <w:szCs w:val="21"/>
              </w:rPr>
              <w:t>确认或披露</w:t>
            </w:r>
            <w:r>
              <w:rPr>
                <w:rFonts w:cs="Calibri" w:hint="eastAsia"/>
                <w:color w:val="333333"/>
                <w:sz w:val="21"/>
                <w:szCs w:val="21"/>
              </w:rPr>
              <w:t>的会计估计和未在财务报表中确认或披露的会计估计</w:t>
            </w:r>
            <w:r>
              <w:rPr>
                <w:rFonts w:ascii="Calibri" w:eastAsia="微软雅黑" w:hAnsi="Calibri" w:cs="Calibri"/>
                <w:b/>
                <w:bCs/>
                <w:color w:val="FF0000"/>
                <w:sz w:val="21"/>
                <w:szCs w:val="21"/>
              </w:rPr>
              <w:t>[</w:t>
            </w:r>
            <w:r>
              <w:rPr>
                <w:rFonts w:cs="Calibri" w:hint="eastAsia"/>
                <w:b/>
                <w:bCs/>
                <w:color w:val="FF0000"/>
                <w:sz w:val="21"/>
                <w:szCs w:val="21"/>
              </w:rPr>
              <w:t>易考点</w:t>
            </w:r>
            <w:r>
              <w:rPr>
                <w:rFonts w:ascii="Calibri" w:eastAsia="微软雅黑" w:hAnsi="Calibri" w:cs="Calibri"/>
                <w:b/>
                <w:bCs/>
                <w:color w:val="FF0000"/>
                <w:sz w:val="21"/>
                <w:szCs w:val="21"/>
              </w:rPr>
              <w:t>]</w:t>
            </w:r>
          </w:p>
        </w:tc>
      </w:tr>
      <w:tr w:rsidR="008F76CD" w14:paraId="3F2AFD9D" w14:textId="77777777" w:rsidTr="008F76CD">
        <w:trPr>
          <w:trHeight w:val="70"/>
          <w:jc w:val="center"/>
        </w:trPr>
        <w:tc>
          <w:tcPr>
            <w:tcW w:w="850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6D74E9"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3.识别可能存在管理层偏向的迹象</w:t>
            </w:r>
            <w:r>
              <w:rPr>
                <w:rFonts w:cs="Calibri" w:hint="eastAsia"/>
                <w:b/>
                <w:bCs/>
                <w:color w:val="FF0000"/>
                <w:sz w:val="21"/>
                <w:szCs w:val="21"/>
              </w:rPr>
              <w:t>【多选题考点】</w:t>
            </w:r>
          </w:p>
        </w:tc>
      </w:tr>
      <w:tr w:rsidR="008F76CD" w14:paraId="52C2E201" w14:textId="77777777" w:rsidTr="008F76CD">
        <w:trPr>
          <w:trHeight w:val="70"/>
          <w:jc w:val="center"/>
        </w:trPr>
        <w:tc>
          <w:tcPr>
            <w:tcW w:w="9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504A3F"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c>
          <w:tcPr>
            <w:tcW w:w="7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3D4766"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（1）管理层</w:t>
            </w:r>
            <w:r>
              <w:rPr>
                <w:rFonts w:cs="Calibri" w:hint="eastAsia"/>
                <w:b/>
                <w:bCs/>
                <w:color w:val="FF0000"/>
                <w:sz w:val="21"/>
                <w:szCs w:val="21"/>
              </w:rPr>
              <w:t>主观</w:t>
            </w:r>
            <w:r>
              <w:rPr>
                <w:rFonts w:cs="Calibri" w:hint="eastAsia"/>
                <w:color w:val="333333"/>
                <w:sz w:val="21"/>
                <w:szCs w:val="21"/>
              </w:rPr>
              <w:t>地认为环境已经发生变化，并相应地</w:t>
            </w:r>
            <w:r>
              <w:rPr>
                <w:rFonts w:cs="Calibri" w:hint="eastAsia"/>
                <w:b/>
                <w:bCs/>
                <w:color w:val="FF0000"/>
                <w:sz w:val="21"/>
                <w:szCs w:val="21"/>
              </w:rPr>
              <w:t>改变</w:t>
            </w:r>
            <w:r>
              <w:rPr>
                <w:rFonts w:cs="Calibri" w:hint="eastAsia"/>
                <w:color w:val="333333"/>
                <w:sz w:val="21"/>
                <w:szCs w:val="21"/>
              </w:rPr>
              <w:t>会计估计或估计方法</w:t>
            </w:r>
          </w:p>
          <w:p w14:paraId="27E8FF47"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（2）针对公允价值会计估计，被审计单位的自有假设与可观察到的市场假设</w:t>
            </w:r>
            <w:r>
              <w:rPr>
                <w:rFonts w:cs="Calibri" w:hint="eastAsia"/>
                <w:b/>
                <w:bCs/>
                <w:color w:val="FF0000"/>
                <w:sz w:val="21"/>
                <w:szCs w:val="21"/>
              </w:rPr>
              <w:t>不一致</w:t>
            </w:r>
            <w:r>
              <w:rPr>
                <w:rFonts w:cs="Calibri" w:hint="eastAsia"/>
                <w:color w:val="333333"/>
                <w:sz w:val="21"/>
                <w:szCs w:val="21"/>
              </w:rPr>
              <w:t>，但仍使用被审计单位的自有假设</w:t>
            </w:r>
          </w:p>
          <w:p w14:paraId="30961DF0"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（3）管理层选择或作出重大假设以产生</w:t>
            </w:r>
            <w:r>
              <w:rPr>
                <w:rFonts w:cs="Calibri" w:hint="eastAsia"/>
                <w:b/>
                <w:bCs/>
                <w:color w:val="FF0000"/>
                <w:sz w:val="21"/>
                <w:szCs w:val="21"/>
              </w:rPr>
              <w:t>有利于</w:t>
            </w:r>
            <w:r>
              <w:rPr>
                <w:rFonts w:cs="Calibri" w:hint="eastAsia"/>
                <w:color w:val="333333"/>
                <w:sz w:val="21"/>
                <w:szCs w:val="21"/>
              </w:rPr>
              <w:t>管理层目标的点估计</w:t>
            </w:r>
          </w:p>
          <w:p w14:paraId="0A073D2F"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（4）选择带有</w:t>
            </w:r>
            <w:r>
              <w:rPr>
                <w:rFonts w:cs="Calibri" w:hint="eastAsia"/>
                <w:b/>
                <w:bCs/>
                <w:color w:val="FF0000"/>
                <w:sz w:val="21"/>
                <w:szCs w:val="21"/>
              </w:rPr>
              <w:t>乐观或悲观</w:t>
            </w:r>
            <w:r>
              <w:rPr>
                <w:rFonts w:cs="Calibri" w:hint="eastAsia"/>
                <w:color w:val="333333"/>
                <w:sz w:val="21"/>
                <w:szCs w:val="21"/>
              </w:rPr>
              <w:t>倾向的点估计</w:t>
            </w:r>
          </w:p>
        </w:tc>
      </w:tr>
    </w:tbl>
    <w:p w14:paraId="19652778"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8A7D7AC"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单项选择题【2013年真题】</w:t>
      </w:r>
      <w:r>
        <w:rPr>
          <w:rFonts w:cs="Calibri" w:hint="eastAsia"/>
          <w:b/>
          <w:bCs/>
          <w:color w:val="FF0000"/>
          <w:sz w:val="21"/>
          <w:szCs w:val="21"/>
        </w:rPr>
        <w:t>[部分超纲]</w:t>
      </w:r>
    </w:p>
    <w:p w14:paraId="3A09BA5A"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下列有关管理层偏向的说法中，错误的是（　　）。</w:t>
      </w:r>
    </w:p>
    <w:p w14:paraId="223ED282"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A.某些形式的管理层偏向为主观决策所固有，在作出这些决策时，如果管理层有意误导财务报表使用者，则管理层偏向具有欺诈性质</w:t>
      </w:r>
    </w:p>
    <w:p w14:paraId="5F1E8776"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B.会计估计对管理层偏向的敏感性随着管理层作出估计的主观性的增加而增加</w:t>
      </w:r>
    </w:p>
    <w:p w14:paraId="313FA996"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C.在得出某项会计估计是否合理的结论时，存在管理层偏向的迹象表明存在错报</w:t>
      </w:r>
    </w:p>
    <w:p w14:paraId="7259B2A9"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D.对于连续审计，以前审计中识别出的可能存在管理层偏向的迹象，会对注册会计师本期计划审计工作、风险识别和评估活动产生影响</w:t>
      </w:r>
    </w:p>
    <w:p w14:paraId="7627EF0F"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750B016A"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本题属于审计准则指南的内容，所考查的知识点部分超纲，选项C中，在得出某项会计估计是否合理的结论时，存在管理层偏向的迹象并不必然表明存在错报。本题旨在培养同学们解决陌生问题的能力和应试心态。</w:t>
      </w:r>
    </w:p>
    <w:p w14:paraId="42424029"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02A43A18"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下列与会计估计审计相关的程序中，注册会计师应当在风险评估阶段实施的是（　　）。</w:t>
      </w:r>
    </w:p>
    <w:p w14:paraId="71554BFC"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A.复核上期财务报表中会计估计的结果</w:t>
      </w:r>
    </w:p>
    <w:p w14:paraId="7050F543"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B.确定管理层作出会计估计的方法是否恰当</w:t>
      </w:r>
    </w:p>
    <w:p w14:paraId="6CDDFFB3"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C.评估会计估计的合理性</w:t>
      </w:r>
    </w:p>
    <w:p w14:paraId="1BA779AE"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D.确定管理层是否恰当运用与会计估计相关的财务报告编制基础</w:t>
      </w:r>
    </w:p>
    <w:p w14:paraId="02F3C13C"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5C48D70A"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[点评]选项A中，复核上期财务报表中会计估计的结果是为了了解管理层如何作出会计估计，属于风险评估阶段实施的；选项BCD属于应对评估的重大错报风险阶段实施的。</w:t>
      </w:r>
    </w:p>
    <w:p w14:paraId="716E75F8"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五、评价会计估计的合理性并确定错报</w:t>
      </w:r>
    </w:p>
    <w:p w14:paraId="35B0AC0C"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1.评价错报的类型</w:t>
      </w:r>
    </w:p>
    <w:tbl>
      <w:tblPr>
        <w:tblW w:w="8505" w:type="dxa"/>
        <w:jc w:val="center"/>
        <w:tblCellMar>
          <w:left w:w="0" w:type="dxa"/>
          <w:right w:w="0" w:type="dxa"/>
        </w:tblCellMar>
        <w:tblLook w:val="04A0" w:firstRow="1" w:lastRow="0" w:firstColumn="1" w:lastColumn="0" w:noHBand="0" w:noVBand="1"/>
      </w:tblPr>
      <w:tblGrid>
        <w:gridCol w:w="1480"/>
        <w:gridCol w:w="7025"/>
      </w:tblGrid>
      <w:tr w:rsidR="008F76CD" w14:paraId="37598001" w14:textId="77777777" w:rsidTr="008F76CD">
        <w:trPr>
          <w:trHeight w:val="70"/>
          <w:jc w:val="center"/>
        </w:trPr>
        <w:tc>
          <w:tcPr>
            <w:tcW w:w="1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C51310"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类型</w:t>
            </w:r>
          </w:p>
        </w:tc>
        <w:tc>
          <w:tcPr>
            <w:tcW w:w="67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4792A54"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8F76CD" w14:paraId="1AF34732" w14:textId="77777777" w:rsidTr="008F76CD">
        <w:trPr>
          <w:trHeight w:val="70"/>
          <w:jc w:val="center"/>
        </w:trPr>
        <w:tc>
          <w:tcPr>
            <w:tcW w:w="1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9075A2"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事实错报</w:t>
            </w:r>
          </w:p>
        </w:tc>
        <w:tc>
          <w:tcPr>
            <w:tcW w:w="67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FDCECC"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毋庸置疑地存在错报</w:t>
            </w:r>
          </w:p>
        </w:tc>
      </w:tr>
      <w:tr w:rsidR="008F76CD" w14:paraId="0E9A4B8C" w14:textId="77777777" w:rsidTr="008F76CD">
        <w:trPr>
          <w:trHeight w:val="70"/>
          <w:jc w:val="center"/>
        </w:trPr>
        <w:tc>
          <w:tcPr>
            <w:tcW w:w="1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FF0FE7"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判断错报</w:t>
            </w:r>
          </w:p>
        </w:tc>
        <w:tc>
          <w:tcPr>
            <w:tcW w:w="67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11B004"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由注册会计师认为管理层对会计估计作出的判断不合理，或认为管理层对会计政策的选择或运用不恰当而产生的差异</w:t>
            </w:r>
          </w:p>
        </w:tc>
      </w:tr>
      <w:tr w:rsidR="008F76CD" w14:paraId="40867039" w14:textId="77777777" w:rsidTr="008F76CD">
        <w:trPr>
          <w:trHeight w:val="70"/>
          <w:jc w:val="center"/>
        </w:trPr>
        <w:tc>
          <w:tcPr>
            <w:tcW w:w="1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50E5EB" w14:textId="77777777" w:rsidR="008F76CD" w:rsidRDefault="008F76CD" w:rsidP="008F76C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推断错报</w:t>
            </w:r>
          </w:p>
        </w:tc>
        <w:tc>
          <w:tcPr>
            <w:tcW w:w="67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913AB8" w14:textId="77777777" w:rsidR="008F76CD" w:rsidRDefault="008F76CD" w:rsidP="008F76C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注册会计师对总体中错报的最佳估计，包括由审计样本中识别出的错报推断出总体中的错报</w:t>
            </w:r>
          </w:p>
        </w:tc>
      </w:tr>
    </w:tbl>
    <w:p w14:paraId="008C0A36"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2.评价错报的方式</w:t>
      </w:r>
      <w:r>
        <w:rPr>
          <w:rFonts w:cs="Calibri" w:hint="eastAsia"/>
          <w:b/>
          <w:bCs/>
          <w:color w:val="FF0000"/>
          <w:sz w:val="21"/>
          <w:szCs w:val="21"/>
        </w:rPr>
        <w:t>【简答题/多选题考点】</w:t>
      </w:r>
    </w:p>
    <w:p w14:paraId="17706262" w14:textId="77777777" w:rsidR="008F76CD" w:rsidRDefault="008F76CD" w:rsidP="008F76C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FF0000"/>
          <w:sz w:val="21"/>
          <w:szCs w:val="21"/>
        </w:rPr>
        <w:lastRenderedPageBreak/>
        <w:fldChar w:fldCharType="begin"/>
      </w:r>
      <w:r>
        <w:rPr>
          <w:rFonts w:cs="Calibri"/>
          <w:b/>
          <w:bCs/>
          <w:color w:val="FF0000"/>
          <w:sz w:val="21"/>
          <w:szCs w:val="21"/>
        </w:rPr>
        <w:instrText xml:space="preserve"> INCLUDEPICTURE "http://webupload.admin.dongao.com/biz/handout/img/2019/20190625/20190625095321595002.png" \* MERGEFORMATINET </w:instrText>
      </w:r>
      <w:r>
        <w:rPr>
          <w:rFonts w:cs="Calibri"/>
          <w:b/>
          <w:bCs/>
          <w:color w:val="FF0000"/>
          <w:sz w:val="21"/>
          <w:szCs w:val="21"/>
        </w:rPr>
        <w:fldChar w:fldCharType="separate"/>
      </w:r>
      <w:r>
        <w:rPr>
          <w:rFonts w:cs="Calibri"/>
          <w:b/>
          <w:bCs/>
          <w:color w:val="FF0000"/>
          <w:sz w:val="21"/>
          <w:szCs w:val="21"/>
        </w:rPr>
        <w:pict>
          <v:shape id="_x0000_i1026" type="#_x0000_t75" style="width:420pt;height:224.25pt">
            <v:imagedata r:id="rId9" r:href="rId10"/>
          </v:shape>
        </w:pict>
      </w:r>
      <w:r>
        <w:rPr>
          <w:rFonts w:cs="Calibri"/>
          <w:b/>
          <w:bCs/>
          <w:color w:val="FF0000"/>
          <w:sz w:val="21"/>
          <w:szCs w:val="21"/>
        </w:rPr>
        <w:fldChar w:fldCharType="end"/>
      </w:r>
    </w:p>
    <w:p w14:paraId="4D7AF5E3"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（1）当审计证据支持</w:t>
      </w:r>
      <w:r>
        <w:rPr>
          <w:rFonts w:cs="Calibri" w:hint="eastAsia"/>
          <w:b/>
          <w:bCs/>
          <w:color w:val="FF0000"/>
          <w:sz w:val="21"/>
          <w:szCs w:val="21"/>
        </w:rPr>
        <w:t>点估计</w:t>
      </w:r>
      <w:r>
        <w:rPr>
          <w:rFonts w:cs="Calibri" w:hint="eastAsia"/>
          <w:color w:val="3F3F3F"/>
          <w:sz w:val="21"/>
          <w:szCs w:val="21"/>
        </w:rPr>
        <w:t>时，注册会计师的点估计与管理层的点估计之间的</w:t>
      </w:r>
      <w:r>
        <w:rPr>
          <w:rFonts w:cs="Calibri" w:hint="eastAsia"/>
          <w:b/>
          <w:bCs/>
          <w:color w:val="FF0000"/>
          <w:sz w:val="21"/>
          <w:szCs w:val="21"/>
        </w:rPr>
        <w:t>差异</w:t>
      </w:r>
      <w:r>
        <w:rPr>
          <w:rFonts w:cs="Calibri" w:hint="eastAsia"/>
          <w:color w:val="3F3F3F"/>
          <w:sz w:val="21"/>
          <w:szCs w:val="21"/>
        </w:rPr>
        <w:t>构成错报；</w:t>
      </w:r>
    </w:p>
    <w:p w14:paraId="0137D1DC"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（2）当注册会计师认为使用其</w:t>
      </w:r>
      <w:r>
        <w:rPr>
          <w:rFonts w:cs="Calibri" w:hint="eastAsia"/>
          <w:b/>
          <w:bCs/>
          <w:color w:val="FF0000"/>
          <w:sz w:val="21"/>
          <w:szCs w:val="21"/>
        </w:rPr>
        <w:t>区间估计</w:t>
      </w:r>
      <w:r>
        <w:rPr>
          <w:rFonts w:cs="Calibri" w:hint="eastAsia"/>
          <w:color w:val="3F3F3F"/>
          <w:sz w:val="21"/>
          <w:szCs w:val="21"/>
        </w:rPr>
        <w:t>能够获取充分、适当的审计证据时，则在注册会计师</w:t>
      </w:r>
      <w:r>
        <w:rPr>
          <w:rFonts w:cs="Calibri" w:hint="eastAsia"/>
          <w:b/>
          <w:bCs/>
          <w:color w:val="FF0000"/>
          <w:sz w:val="21"/>
          <w:szCs w:val="21"/>
        </w:rPr>
        <w:t>区间估计之外</w:t>
      </w:r>
      <w:r>
        <w:rPr>
          <w:rFonts w:cs="Calibri" w:hint="eastAsia"/>
          <w:color w:val="3F3F3F"/>
          <w:sz w:val="21"/>
          <w:szCs w:val="21"/>
        </w:rPr>
        <w:t>的管理层的点估计得不到审计证据的支持。在这种情况下，错报</w:t>
      </w:r>
      <w:r>
        <w:rPr>
          <w:rFonts w:cs="Calibri" w:hint="eastAsia"/>
          <w:b/>
          <w:bCs/>
          <w:color w:val="FF0000"/>
          <w:sz w:val="21"/>
          <w:szCs w:val="21"/>
        </w:rPr>
        <w:t>不小于</w:t>
      </w:r>
      <w:r>
        <w:rPr>
          <w:rFonts w:cs="Calibri" w:hint="eastAsia"/>
          <w:color w:val="3F3F3F"/>
          <w:sz w:val="21"/>
          <w:szCs w:val="21"/>
        </w:rPr>
        <w:t>管理层的点估计与注册会计师区间估计之间的</w:t>
      </w:r>
      <w:r>
        <w:rPr>
          <w:rFonts w:cs="Calibri" w:hint="eastAsia"/>
          <w:b/>
          <w:bCs/>
          <w:color w:val="FF0000"/>
          <w:sz w:val="21"/>
          <w:szCs w:val="21"/>
        </w:rPr>
        <w:t>最小差异</w:t>
      </w:r>
      <w:r>
        <w:rPr>
          <w:rFonts w:cs="Calibri" w:hint="eastAsia"/>
          <w:color w:val="3F3F3F"/>
          <w:sz w:val="21"/>
          <w:szCs w:val="21"/>
        </w:rPr>
        <w:t>。</w:t>
      </w:r>
      <w:r>
        <w:rPr>
          <w:rFonts w:cs="Calibri" w:hint="eastAsia"/>
          <w:b/>
          <w:bCs/>
          <w:color w:val="FF0000"/>
          <w:sz w:val="21"/>
          <w:szCs w:val="21"/>
        </w:rPr>
        <w:t>[难点][易错点]</w:t>
      </w:r>
    </w:p>
    <w:p w14:paraId="557A8C2F"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960C7CE"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单项选择题【2017年真题】</w:t>
      </w:r>
    </w:p>
    <w:p w14:paraId="70DE223E"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下列有关会计估计错报 的说法中，正确的是（　　）。</w:t>
      </w:r>
    </w:p>
    <w:p w14:paraId="14D4A0C2"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A.当审计证据支持注册会计师的点估计时，该点估计与管理层的点估计之间的差异构成错报</w:t>
      </w:r>
    </w:p>
    <w:p w14:paraId="3C27EC3F"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B.由于会计估计具有主观性，与会计估计相关的错报是判断错报</w:t>
      </w:r>
    </w:p>
    <w:p w14:paraId="629F0873"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C.如果会计估计的结果与上期财务报表中已确认的金额存在重大差异，表明上期财务报表存在错报</w:t>
      </w:r>
    </w:p>
    <w:p w14:paraId="0A13FC45"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D.如果管理层的点估计在注册会计师的区间估计内，表明管理层的点估计不存在错报</w:t>
      </w:r>
    </w:p>
    <w:p w14:paraId="3BC1AA66"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0FB2E1E6"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B错误，与会计估计相关的错报包括事实错报、判断错报和推断错报；选项C错误，会计估计的结果与上期财务报表中已确认金额之间的差异，并不必然表明上期财务报表存在错报；选项D错误，当注册会计师认为使用其区间估计能够获取充分、适当的审计证据时，则注册会计师区间估计之外的管理层的点估计得不到审计证据的支持。但这并不意味着点估计落在区间估计之内就一定不存在错报。</w:t>
      </w:r>
    </w:p>
    <w:p w14:paraId="5C90FC09"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多项选择题【2013年真题】</w:t>
      </w:r>
    </w:p>
    <w:p w14:paraId="4121CA0C"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下列各项中，构成错报的有（　　）。</w:t>
      </w:r>
    </w:p>
    <w:p w14:paraId="485113F6"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A.管理层对导致特别风险的会计估计的估计不确定性的披露不充分</w:t>
      </w:r>
    </w:p>
    <w:p w14:paraId="6977A9E5"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B.管理层作出的点估计小于注册会计师作出的区间估计的最小值</w:t>
      </w:r>
    </w:p>
    <w:p w14:paraId="2EBD94C1"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C.管理层作出的点估计与注册会计师作出的点估计存在差异</w:t>
      </w:r>
    </w:p>
    <w:p w14:paraId="3A006C6E"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D.会计估计的结果与财务报表中原已确认的金额存在差异</w:t>
      </w:r>
    </w:p>
    <w:p w14:paraId="3D4C9A44"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3EC70888"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[点评]选项D中，会计估计的结果与财务报表中原来已确认或披露的金额存在差异，并不必然表明财务报表存在错报。</w:t>
      </w:r>
    </w:p>
    <w:p w14:paraId="749F1D79"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简答题【改编自2016年真题】</w:t>
      </w:r>
    </w:p>
    <w:p w14:paraId="173AA385"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要求：针对上述第（1）至（5）项，逐项指出A注册会计师做法是否恰当。如不恰当，简要说明理由。</w:t>
      </w:r>
    </w:p>
    <w:p w14:paraId="3F9FE2D5"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甲公司是ABC会计师事务所的常年审计客户。A注册会计师负责审计甲公司2015年度财务报表，确定财务报表整体的重要性为200万元。审计工作底稿中与会计估计审计相关的部分事项摘录如下：</w:t>
      </w:r>
    </w:p>
    <w:p w14:paraId="73CDE416"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（1）甲公司与退货率有关的会计估计存在特别风险，A注册会计师未测试相关的内部控制，通过实施实质性分析程序获取充分、适当的审计证据。</w:t>
      </w:r>
    </w:p>
    <w:p w14:paraId="3CB4109C" w14:textId="77777777" w:rsidR="008F76CD" w:rsidRDefault="008F76CD" w:rsidP="008F76C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"http://webupload.admin.dongao.com/biz/handout/img/2019/20190625/20190625095321393003.png" \* MERGEFORMATINET </w:instrText>
      </w:r>
      <w:r>
        <w:rPr>
          <w:rFonts w:cs="Calibri"/>
          <w:color w:val="3F3F3F"/>
          <w:sz w:val="21"/>
          <w:szCs w:val="21"/>
        </w:rPr>
        <w:fldChar w:fldCharType="separate"/>
      </w:r>
      <w:r>
        <w:rPr>
          <w:rFonts w:cs="Calibri"/>
          <w:color w:val="3F3F3F"/>
          <w:sz w:val="21"/>
          <w:szCs w:val="21"/>
        </w:rPr>
        <w:pict>
          <v:shape id="_x0000_i1027" type="#_x0000_t75" style="width:420pt;height:234pt">
            <v:imagedata r:id="rId11" r:href="rId12"/>
          </v:shape>
        </w:pict>
      </w:r>
      <w:r>
        <w:rPr>
          <w:rFonts w:cs="Calibri"/>
          <w:color w:val="3F3F3F"/>
          <w:sz w:val="21"/>
          <w:szCs w:val="21"/>
        </w:rPr>
        <w:fldChar w:fldCharType="end"/>
      </w:r>
    </w:p>
    <w:p w14:paraId="62EE0ACF"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甲公司管理层实施固定资产减值测试时采用的重大假设具有高度估计不确定性，导致特别风险。A注册会计师评价了管理层采用的计量方法，测试了基础数据，并将重大假设与相关历史数据进行了比较，并未发现重大差异，据此认为管理层的减值测试结果合理。</w:t>
      </w:r>
    </w:p>
    <w:p w14:paraId="612194BE"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（3）2015年甲公司聘请XYZ咨询公司提供精算服务，并根据精算结果进行了会计处理。A注册会计师评价了XYZ咨询公司的胜任能力和专业素质，了解和评价了其工作，认为可以将其工作结果作为审计证据。</w:t>
      </w:r>
    </w:p>
    <w:p w14:paraId="60542C4A"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（4）2015年12月，甲公司厂房发生重大火灾，管理层根据保险合同和损失情况估计和确认了应收理赔款1000万元。A注册会计师检查了保险合同和甲公司管理层编制的损失情况说明，据此认为管理层的会计估计合理。</w:t>
      </w:r>
    </w:p>
    <w:p w14:paraId="183408F9"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2015年12月31日，甲公司持有大额交易性金融资产，A注册会计师认为与之相关的公允价值计量存在特别风险，检查相关的披露时，A注册会计师评价了该项披露是否符合适用的财务报告编制基础的规定，未发现明显差异，据此认为相关披露不存在重大错报。</w:t>
      </w:r>
    </w:p>
    <w:p w14:paraId="1F48F620"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4D16EFE8"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（1）不恰当。对存在特别风险的会计估计仅实施分析程序不够。</w:t>
      </w:r>
    </w:p>
    <w:p w14:paraId="03FE7FA9"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（2）不恰当。对存在特别风险的会计估计，未评价管理层如何考虑替代性的假设/未评价管理层在作出会计估计时如何处理估计不确定性。</w:t>
      </w:r>
    </w:p>
    <w:p w14:paraId="55742AD8"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（3）不恰当。注册会计师未/应评价管理层的专家的客观性。</w:t>
      </w:r>
    </w:p>
    <w:p w14:paraId="649C8000"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（4）不恰当。应当考虑从保险公司获取相关证据/应当考虑利用专家工作对损失情况进行评估。</w:t>
      </w:r>
    </w:p>
    <w:p w14:paraId="62E7708A"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（5）不恰当。还应当评价在适用的财务报告编制基础下，财务报表对估计不确定性的披露的充分性。</w:t>
      </w:r>
    </w:p>
    <w:p w14:paraId="63D55797" w14:textId="77777777" w:rsidR="008F76CD" w:rsidRDefault="008F76CD" w:rsidP="008F76CD">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简答题【2014年真题】</w:t>
      </w:r>
    </w:p>
    <w:p w14:paraId="0A8E268F"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要求：针对上述第（1）至（6）项，逐项指出审计项目组的做法是否恰当。如不恰当，简要说明理由。</w:t>
      </w:r>
    </w:p>
    <w:p w14:paraId="0A69E23E"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ABC会计师事务所负责审计甲公司2013年度财务报表，审计项目组在审计工作底稿中记录了与公允价值和会计估计审计相关的情况，部分内容摘录如下：</w:t>
      </w:r>
    </w:p>
    <w:p w14:paraId="1B191109"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（1）为确定甲公司管理层在2012年度财务报表中作出的会计估计是否恰当，审计项目组复核了甲公司2012年度财务报表中的会计估计在2013年度的结果。</w:t>
      </w:r>
    </w:p>
    <w:p w14:paraId="2BAF35B3"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（2）甲公司年末持有上市公司乙公司的流通股股票100万股，账面价值为500万元。以公允价值计量，审计项目组核对了该股票于2013年12月31日的收盘价，结果满意。</w:t>
      </w:r>
    </w:p>
    <w:p w14:paraId="7BABED0A"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（3）甲公司持有以公允价值计量的投资性房地产。审计项目组认为该项公允价值计量不存在特别风险，无须了解相关控制，聘请DEF资产评估公司对该投资性房地产的公允价值进行了评估。</w:t>
      </w:r>
    </w:p>
    <w:p w14:paraId="0DB190BF"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（4）2013年末，甲公司针对一项未决诉讼确认了500万元预计负债，审计项目组作出的区间估计为550万元至650万元，据此认为预计负债存在少计50万元的事实错报。</w:t>
      </w:r>
    </w:p>
    <w:p w14:paraId="700AA974"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（5）为减少利润总额和应纳税所得额之间的差异，甲公司自2013年1月1日起将固定资产折旧年限调整为税法规定的最低年限。审计项目组根据变更后的折旧年限检查了甲公司2013年度计提的折旧额，结果满意。</w:t>
      </w:r>
    </w:p>
    <w:p w14:paraId="6413BE93"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（6）审计项目组向管理层获取了有关会计估计的书面声明，内容包括在财务报表中确认或披露的会计估计和未在财务报表中确认或披露的会计估计。</w:t>
      </w:r>
    </w:p>
    <w:p w14:paraId="6482FBEB" w14:textId="77777777" w:rsidR="008F76CD" w:rsidRDefault="008F76CD" w:rsidP="008F76CD">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10076381"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（1）不恰当。注册会计师复核上期财务报表中会计估计的结果，是为了识别和评估本期会计估计重大错报风险而执行的风险评估程序，目的不是质疑上期依据当时可获得的信息而作出的判断。</w:t>
      </w:r>
    </w:p>
    <w:p w14:paraId="06810C61"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（2）恰当。</w:t>
      </w:r>
    </w:p>
    <w:p w14:paraId="1FC4A7C7"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（3）不恰当。即使不存在特别风险，注册会计师亦应了解相关控制。</w:t>
      </w:r>
    </w:p>
    <w:p w14:paraId="56653C28"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（4）不恰当。根据审计项目组的区间估计，只能得出错报不小于50万元的结论，并不能确定就是50万元。该错报应为判断错报，而不是事实错报。</w:t>
      </w:r>
    </w:p>
    <w:p w14:paraId="04C1B396"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（5）不恰当。管理层变更折旧年限的理由不合理。</w:t>
      </w:r>
    </w:p>
    <w:p w14:paraId="161327EF" w14:textId="77777777" w:rsidR="008F76CD" w:rsidRDefault="008F76CD" w:rsidP="008F76CD">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（6）恰当。</w:t>
      </w:r>
    </w:p>
    <w:p w14:paraId="77EFB644" w14:textId="77777777" w:rsidR="008F76CD" w:rsidRDefault="008F76CD" w:rsidP="008F76CD">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230429E" w14:textId="77777777" w:rsidR="008F76CD" w:rsidRDefault="008F76CD" w:rsidP="008F76C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"http://webupload.admin.dongao.com/biz/handout/img/2019/20190625/20190625095321923004.png" \* MERGEFORMATINET </w:instrText>
      </w:r>
      <w:r>
        <w:rPr>
          <w:rFonts w:cs="Calibri"/>
          <w:color w:val="3F3F3F"/>
          <w:sz w:val="21"/>
          <w:szCs w:val="21"/>
        </w:rPr>
        <w:fldChar w:fldCharType="separate"/>
      </w:r>
      <w:r>
        <w:rPr>
          <w:rFonts w:cs="Calibri"/>
          <w:color w:val="3F3F3F"/>
          <w:sz w:val="21"/>
          <w:szCs w:val="21"/>
        </w:rPr>
        <w:pict>
          <v:shape id="_x0000_i1028" type="#_x0000_t75" style="width:420pt;height:232.5pt">
            <v:imagedata r:id="rId13" r:href="rId14"/>
          </v:shape>
        </w:pict>
      </w:r>
      <w:r>
        <w:rPr>
          <w:rFonts w:cs="Calibri"/>
          <w:color w:val="3F3F3F"/>
          <w:sz w:val="21"/>
          <w:szCs w:val="21"/>
        </w:rPr>
        <w:fldChar w:fldCharType="end"/>
      </w:r>
    </w:p>
    <w:p w14:paraId="5078813D" w14:textId="77777777" w:rsidR="008F76CD" w:rsidRDefault="008F76CD" w:rsidP="008F76CD">
      <w:pPr>
        <w:shd w:val="clear" w:color="auto" w:fill="FFFFFF"/>
        <w:rPr>
          <w:rFonts w:ascii="微软雅黑" w:eastAsia="微软雅黑" w:hAnsi="微软雅黑" w:cs="宋体"/>
          <w:color w:val="3F3F3F"/>
          <w:szCs w:val="21"/>
        </w:rPr>
      </w:pPr>
    </w:p>
    <w:p w14:paraId="3A02D2D5" w14:textId="77777777" w:rsidR="00271D8C" w:rsidRPr="008F76CD" w:rsidRDefault="00271D8C" w:rsidP="008F76CD">
      <w:pPr>
        <w:rPr>
          <w:rFonts w:hint="eastAsia"/>
        </w:rPr>
      </w:pPr>
    </w:p>
    <w:sectPr w:rsidR="00271D8C" w:rsidRPr="008F76CD" w:rsidSect="001F62DD">
      <w:headerReference w:type="default" r:id="rId15"/>
      <w:footerReference w:type="default" r:id="rId1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D1713" w14:textId="77777777" w:rsidR="000A2CE9" w:rsidRDefault="000A2CE9" w:rsidP="00CD53C5">
      <w:r>
        <w:separator/>
      </w:r>
    </w:p>
  </w:endnote>
  <w:endnote w:type="continuationSeparator" w:id="0">
    <w:p w14:paraId="0B60D3FE" w14:textId="77777777" w:rsidR="000A2CE9" w:rsidRDefault="000A2CE9"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7F1F3B12" w14:textId="77777777" w:rsidTr="007B0BFD">
      <w:trPr>
        <w:trHeight w:val="274"/>
      </w:trPr>
      <w:tc>
        <w:tcPr>
          <w:tcW w:w="2050" w:type="dxa"/>
          <w:shd w:val="clear" w:color="auto" w:fill="auto"/>
          <w:vAlign w:val="center"/>
        </w:tcPr>
        <w:p w14:paraId="6F5E7E42"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9" type="#_x0000_t75" style="width:90.75pt;height:26.25pt;visibility:visible">
                <v:imagedata r:id="rId1" o:title=""/>
              </v:shape>
            </w:pict>
          </w:r>
        </w:p>
      </w:tc>
      <w:tc>
        <w:tcPr>
          <w:tcW w:w="3742" w:type="dxa"/>
          <w:shd w:val="clear" w:color="auto" w:fill="auto"/>
          <w:vAlign w:val="center"/>
        </w:tcPr>
        <w:p w14:paraId="171EA071"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0CFDC946"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6C2A2E07"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F0EC5" w14:textId="77777777" w:rsidR="000A2CE9" w:rsidRDefault="000A2CE9" w:rsidP="00CD53C5">
      <w:r>
        <w:separator/>
      </w:r>
    </w:p>
  </w:footnote>
  <w:footnote w:type="continuationSeparator" w:id="0">
    <w:p w14:paraId="4CD55C80" w14:textId="77777777" w:rsidR="000A2CE9" w:rsidRDefault="000A2CE9"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12E47B0" w14:textId="77777777" w:rsidTr="007B0BFD">
      <w:trPr>
        <w:trHeight w:val="501"/>
      </w:trPr>
      <w:tc>
        <w:tcPr>
          <w:tcW w:w="4272" w:type="dxa"/>
          <w:shd w:val="clear" w:color="auto" w:fill="auto"/>
          <w:vAlign w:val="center"/>
        </w:tcPr>
        <w:p w14:paraId="605B76C3" w14:textId="77777777" w:rsidR="001545C6" w:rsidRPr="001F62DD" w:rsidRDefault="008F76CD"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2FE7F853" w14:textId="77777777" w:rsidR="001545C6" w:rsidRPr="004D61E7" w:rsidRDefault="008F76CD"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第十七章</w:t>
          </w:r>
          <w:r>
            <w:rPr>
              <w:rFonts w:ascii="微软雅黑" w:eastAsia="微软雅黑" w:hAnsi="微软雅黑"/>
              <w:sz w:val="24"/>
              <w:szCs w:val="24"/>
            </w:rPr>
            <w:t>+其他特殊项目的审计</w:t>
          </w:r>
        </w:p>
      </w:tc>
    </w:tr>
  </w:tbl>
  <w:p w14:paraId="17812C57"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A2CE9"/>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83CCC"/>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8F76CD"/>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9A9FF6C"/>
  <w15:docId w15:val="{75B7D145-6428-4287-B4AA-ABCDADB5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597762290">
      <w:bodyDiv w:val="1"/>
      <w:marLeft w:val="0"/>
      <w:marRight w:val="0"/>
      <w:marTop w:val="0"/>
      <w:marBottom w:val="0"/>
      <w:divBdr>
        <w:top w:val="none" w:sz="0" w:space="0" w:color="auto"/>
        <w:left w:val="none" w:sz="0" w:space="0" w:color="auto"/>
        <w:bottom w:val="none" w:sz="0" w:space="0" w:color="auto"/>
        <w:right w:val="none" w:sz="0" w:space="0" w:color="auto"/>
      </w:divBdr>
      <w:divsChild>
        <w:div w:id="2082827606">
          <w:marLeft w:val="0"/>
          <w:marRight w:val="0"/>
          <w:marTop w:val="0"/>
          <w:marBottom w:val="0"/>
          <w:divBdr>
            <w:top w:val="none" w:sz="0" w:space="0" w:color="auto"/>
            <w:left w:val="none" w:sz="0" w:space="0" w:color="auto"/>
            <w:bottom w:val="none" w:sz="0" w:space="0" w:color="auto"/>
            <w:right w:val="none" w:sz="0" w:space="0" w:color="auto"/>
          </w:divBdr>
          <w:divsChild>
            <w:div w:id="3027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272710350">
      <w:bodyDiv w:val="1"/>
      <w:marLeft w:val="0"/>
      <w:marRight w:val="0"/>
      <w:marTop w:val="0"/>
      <w:marBottom w:val="0"/>
      <w:divBdr>
        <w:top w:val="none" w:sz="0" w:space="0" w:color="auto"/>
        <w:left w:val="none" w:sz="0" w:space="0" w:color="auto"/>
        <w:bottom w:val="none" w:sz="0" w:space="0" w:color="auto"/>
        <w:right w:val="none" w:sz="0" w:space="0" w:color="auto"/>
      </w:divBdr>
      <w:divsChild>
        <w:div w:id="1601835578">
          <w:marLeft w:val="0"/>
          <w:marRight w:val="0"/>
          <w:marTop w:val="0"/>
          <w:marBottom w:val="0"/>
          <w:divBdr>
            <w:top w:val="none" w:sz="0" w:space="0" w:color="auto"/>
            <w:left w:val="none" w:sz="0" w:space="0" w:color="auto"/>
            <w:bottom w:val="none" w:sz="0" w:space="0" w:color="auto"/>
            <w:right w:val="none" w:sz="0" w:space="0" w:color="auto"/>
          </w:divBdr>
          <w:divsChild>
            <w:div w:id="179898168">
              <w:marLeft w:val="0"/>
              <w:marRight w:val="0"/>
              <w:marTop w:val="0"/>
              <w:marBottom w:val="0"/>
              <w:divBdr>
                <w:top w:val="none" w:sz="0" w:space="0" w:color="auto"/>
                <w:left w:val="none" w:sz="0" w:space="0" w:color="auto"/>
                <w:bottom w:val="none" w:sz="0" w:space="0" w:color="auto"/>
                <w:right w:val="none" w:sz="0" w:space="0" w:color="auto"/>
              </w:divBdr>
            </w:div>
            <w:div w:id="17498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673606999">
      <w:bodyDiv w:val="1"/>
      <w:marLeft w:val="0"/>
      <w:marRight w:val="0"/>
      <w:marTop w:val="0"/>
      <w:marBottom w:val="0"/>
      <w:divBdr>
        <w:top w:val="none" w:sz="0" w:space="0" w:color="auto"/>
        <w:left w:val="none" w:sz="0" w:space="0" w:color="auto"/>
        <w:bottom w:val="none" w:sz="0" w:space="0" w:color="auto"/>
        <w:right w:val="none" w:sz="0" w:space="0" w:color="auto"/>
      </w:divBdr>
      <w:divsChild>
        <w:div w:id="860819296">
          <w:marLeft w:val="0"/>
          <w:marRight w:val="0"/>
          <w:marTop w:val="0"/>
          <w:marBottom w:val="0"/>
          <w:divBdr>
            <w:top w:val="none" w:sz="0" w:space="0" w:color="auto"/>
            <w:left w:val="none" w:sz="0" w:space="0" w:color="auto"/>
            <w:bottom w:val="none" w:sz="0" w:space="0" w:color="auto"/>
            <w:right w:val="none" w:sz="0" w:space="0" w:color="auto"/>
          </w:divBdr>
          <w:divsChild>
            <w:div w:id="80563436">
              <w:marLeft w:val="0"/>
              <w:marRight w:val="0"/>
              <w:marTop w:val="0"/>
              <w:marBottom w:val="0"/>
              <w:divBdr>
                <w:top w:val="none" w:sz="0" w:space="0" w:color="auto"/>
                <w:left w:val="none" w:sz="0" w:space="0" w:color="auto"/>
                <w:bottom w:val="none" w:sz="0" w:space="0" w:color="auto"/>
                <w:right w:val="none" w:sz="0" w:space="0" w:color="auto"/>
              </w:divBdr>
            </w:div>
            <w:div w:id="298221059">
              <w:marLeft w:val="0"/>
              <w:marRight w:val="0"/>
              <w:marTop w:val="0"/>
              <w:marBottom w:val="0"/>
              <w:divBdr>
                <w:top w:val="none" w:sz="0" w:space="0" w:color="auto"/>
                <w:left w:val="none" w:sz="0" w:space="0" w:color="auto"/>
                <w:bottom w:val="none" w:sz="0" w:space="0" w:color="auto"/>
                <w:right w:val="none" w:sz="0" w:space="0" w:color="auto"/>
              </w:divBdr>
            </w:div>
            <w:div w:id="339892891">
              <w:marLeft w:val="0"/>
              <w:marRight w:val="0"/>
              <w:marTop w:val="0"/>
              <w:marBottom w:val="0"/>
              <w:divBdr>
                <w:top w:val="none" w:sz="0" w:space="0" w:color="auto"/>
                <w:left w:val="none" w:sz="0" w:space="0" w:color="auto"/>
                <w:bottom w:val="none" w:sz="0" w:space="0" w:color="auto"/>
                <w:right w:val="none" w:sz="0" w:space="0" w:color="auto"/>
              </w:divBdr>
            </w:div>
            <w:div w:id="354549766">
              <w:marLeft w:val="0"/>
              <w:marRight w:val="0"/>
              <w:marTop w:val="0"/>
              <w:marBottom w:val="0"/>
              <w:divBdr>
                <w:top w:val="none" w:sz="0" w:space="0" w:color="auto"/>
                <w:left w:val="none" w:sz="0" w:space="0" w:color="auto"/>
                <w:bottom w:val="none" w:sz="0" w:space="0" w:color="auto"/>
                <w:right w:val="none" w:sz="0" w:space="0" w:color="auto"/>
              </w:divBdr>
            </w:div>
            <w:div w:id="568226375">
              <w:marLeft w:val="0"/>
              <w:marRight w:val="0"/>
              <w:marTop w:val="0"/>
              <w:marBottom w:val="0"/>
              <w:divBdr>
                <w:top w:val="none" w:sz="0" w:space="0" w:color="auto"/>
                <w:left w:val="none" w:sz="0" w:space="0" w:color="auto"/>
                <w:bottom w:val="none" w:sz="0" w:space="0" w:color="auto"/>
                <w:right w:val="none" w:sz="0" w:space="0" w:color="auto"/>
              </w:divBdr>
            </w:div>
            <w:div w:id="629164175">
              <w:marLeft w:val="0"/>
              <w:marRight w:val="0"/>
              <w:marTop w:val="0"/>
              <w:marBottom w:val="0"/>
              <w:divBdr>
                <w:top w:val="none" w:sz="0" w:space="0" w:color="auto"/>
                <w:left w:val="none" w:sz="0" w:space="0" w:color="auto"/>
                <w:bottom w:val="none" w:sz="0" w:space="0" w:color="auto"/>
                <w:right w:val="none" w:sz="0" w:space="0" w:color="auto"/>
              </w:divBdr>
            </w:div>
            <w:div w:id="650448729">
              <w:marLeft w:val="0"/>
              <w:marRight w:val="0"/>
              <w:marTop w:val="0"/>
              <w:marBottom w:val="0"/>
              <w:divBdr>
                <w:top w:val="none" w:sz="0" w:space="0" w:color="auto"/>
                <w:left w:val="none" w:sz="0" w:space="0" w:color="auto"/>
                <w:bottom w:val="none" w:sz="0" w:space="0" w:color="auto"/>
                <w:right w:val="none" w:sz="0" w:space="0" w:color="auto"/>
              </w:divBdr>
            </w:div>
            <w:div w:id="909270567">
              <w:marLeft w:val="0"/>
              <w:marRight w:val="0"/>
              <w:marTop w:val="0"/>
              <w:marBottom w:val="0"/>
              <w:divBdr>
                <w:top w:val="none" w:sz="0" w:space="0" w:color="auto"/>
                <w:left w:val="none" w:sz="0" w:space="0" w:color="auto"/>
                <w:bottom w:val="none" w:sz="0" w:space="0" w:color="auto"/>
                <w:right w:val="none" w:sz="0" w:space="0" w:color="auto"/>
              </w:divBdr>
            </w:div>
            <w:div w:id="1142192028">
              <w:marLeft w:val="0"/>
              <w:marRight w:val="0"/>
              <w:marTop w:val="0"/>
              <w:marBottom w:val="0"/>
              <w:divBdr>
                <w:top w:val="none" w:sz="0" w:space="0" w:color="auto"/>
                <w:left w:val="none" w:sz="0" w:space="0" w:color="auto"/>
                <w:bottom w:val="none" w:sz="0" w:space="0" w:color="auto"/>
                <w:right w:val="none" w:sz="0" w:space="0" w:color="auto"/>
              </w:divBdr>
            </w:div>
            <w:div w:id="17747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25/20190625095321901001.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25/20190625095321393003.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http://webupload.admin.dongao.com/biz/handout/img/2019/20190625/20190625095321595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25/20190625095321923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87CD0-4DEB-4BF5-A04F-CAE69DA4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