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4DA9E" w14:textId="77777777" w:rsidR="0025180D" w:rsidRDefault="0025180D" w:rsidP="0025180D">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第四编</w:t>
      </w:r>
      <w:r>
        <w:rPr>
          <w:rFonts w:ascii="微软雅黑" w:eastAsia="微软雅黑" w:hAnsi="微软雅黑" w:cs="Calibri" w:hint="eastAsia"/>
          <w:b/>
          <w:bCs/>
          <w:color w:val="3F3F3F"/>
          <w:sz w:val="52"/>
          <w:szCs w:val="52"/>
        </w:rPr>
        <w:t>•</w:t>
      </w:r>
      <w:r>
        <w:rPr>
          <w:rFonts w:ascii="楷体" w:eastAsia="楷体" w:hAnsi="楷体" w:cs="Calibri" w:hint="eastAsia"/>
          <w:b/>
          <w:bCs/>
          <w:color w:val="3F3F3F"/>
          <w:sz w:val="52"/>
          <w:szCs w:val="52"/>
        </w:rPr>
        <w:t>第十七章</w:t>
      </w:r>
      <w:r>
        <w:rPr>
          <w:rFonts w:ascii="微软雅黑" w:eastAsia="微软雅黑" w:hAnsi="微软雅黑" w:cs="Calibri" w:hint="eastAsia"/>
          <w:b/>
          <w:bCs/>
          <w:color w:val="3F3F3F"/>
          <w:sz w:val="52"/>
          <w:szCs w:val="52"/>
        </w:rPr>
        <w:t>•</w:t>
      </w:r>
      <w:r>
        <w:rPr>
          <w:rFonts w:ascii="楷体" w:eastAsia="楷体" w:hAnsi="楷体" w:cs="Calibri" w:hint="eastAsia"/>
          <w:b/>
          <w:bCs/>
          <w:color w:val="3F3F3F"/>
          <w:sz w:val="52"/>
          <w:szCs w:val="52"/>
        </w:rPr>
        <w:t>其他特殊项目的审计</w:t>
      </w:r>
    </w:p>
    <w:p w14:paraId="5643D9AE" w14:textId="77777777" w:rsidR="0025180D" w:rsidRDefault="0025180D" w:rsidP="0025180D">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0402D2D6" w14:textId="77777777" w:rsidR="0025180D" w:rsidRDefault="0025180D" w:rsidP="0025180D">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"http://webupload.admin.dongao.com/biz/handout/img/2019/20190624/20190624173402153001.png"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159pt">
            <v:imagedata r:id="rId7" r:href="rId8"/>
          </v:shape>
        </w:pict>
      </w:r>
      <w:r>
        <w:rPr>
          <w:rFonts w:ascii="Calibri" w:eastAsia="微软雅黑" w:hAnsi="Calibri" w:cs="Calibri"/>
          <w:color w:val="3F3F3F"/>
          <w:sz w:val="21"/>
          <w:szCs w:val="21"/>
        </w:rPr>
        <w:fldChar w:fldCharType="end"/>
      </w:r>
    </w:p>
    <w:p w14:paraId="7B5F216C" w14:textId="77777777" w:rsidR="0025180D" w:rsidRDefault="0025180D" w:rsidP="0025180D">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第二节　关联方的审计</w:t>
      </w:r>
    </w:p>
    <w:p w14:paraId="0B922998" w14:textId="77777777" w:rsidR="0025180D" w:rsidRDefault="0025180D" w:rsidP="0025180D">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一、风险评估程序和相关工作</w:t>
      </w:r>
      <w:r>
        <w:rPr>
          <w:rFonts w:cs="Calibri" w:hint="eastAsia"/>
          <w:b/>
          <w:bCs/>
          <w:color w:val="FF0000"/>
          <w:sz w:val="21"/>
          <w:szCs w:val="21"/>
        </w:rPr>
        <w:t>（※※）</w:t>
      </w:r>
    </w:p>
    <w:p w14:paraId="01525B5A" w14:textId="77777777" w:rsidR="0025180D" w:rsidRDefault="0025180D" w:rsidP="0025180D">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二、识别和评估重大错报风险</w:t>
      </w:r>
      <w:r>
        <w:rPr>
          <w:rFonts w:cs="Calibri" w:hint="eastAsia"/>
          <w:b/>
          <w:bCs/>
          <w:color w:val="FF0000"/>
          <w:sz w:val="21"/>
          <w:szCs w:val="21"/>
        </w:rPr>
        <w:t>（※※※）</w:t>
      </w:r>
    </w:p>
    <w:p w14:paraId="4F8748D6" w14:textId="77777777" w:rsidR="0025180D" w:rsidRDefault="0025180D" w:rsidP="0025180D">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三、针对重大错报风险的应对措施</w:t>
      </w:r>
      <w:r>
        <w:rPr>
          <w:rFonts w:cs="Calibri" w:hint="eastAsia"/>
          <w:b/>
          <w:bCs/>
          <w:color w:val="FF0000"/>
          <w:sz w:val="21"/>
          <w:szCs w:val="21"/>
        </w:rPr>
        <w:t>（※※）</w:t>
      </w:r>
    </w:p>
    <w:p w14:paraId="14021BFA" w14:textId="77777777" w:rsidR="0025180D" w:rsidRDefault="0025180D" w:rsidP="0025180D">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四、评价和沟通</w:t>
      </w:r>
    </w:p>
    <w:p w14:paraId="2FF809C8" w14:textId="77777777" w:rsidR="0025180D" w:rsidRDefault="0025180D" w:rsidP="0025180D">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"http://webupload.admin.dongao.com/biz/handout/img/2019/20190624/20190624173403736002.png"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6" type="#_x0000_t75" style="width:368.25pt;height:58.5pt">
            <v:imagedata r:id="rId9" r:href="rId10"/>
          </v:shape>
        </w:pict>
      </w:r>
      <w:r>
        <w:rPr>
          <w:rFonts w:ascii="Calibri" w:eastAsia="微软雅黑" w:hAnsi="Calibri" w:cs="Calibri"/>
          <w:color w:val="3F3F3F"/>
          <w:sz w:val="21"/>
          <w:szCs w:val="21"/>
        </w:rPr>
        <w:fldChar w:fldCharType="end"/>
      </w:r>
    </w:p>
    <w:p w14:paraId="599C0DD4" w14:textId="77777777" w:rsidR="0025180D" w:rsidRDefault="0025180D" w:rsidP="0025180D">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一、风险评估程序和相关工作</w:t>
      </w:r>
    </w:p>
    <w:p w14:paraId="52CB657E" w14:textId="77777777" w:rsidR="0025180D" w:rsidRDefault="0025180D" w:rsidP="0025180D">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"http://webupload.admin.dongao.com/biz/handout/img/2019/20190624/20190624173403932003.png"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7" type="#_x0000_t75" style="width:279.75pt;height:99pt">
            <v:imagedata r:id="rId11" r:href="rId12"/>
          </v:shape>
        </w:pict>
      </w:r>
      <w:r>
        <w:rPr>
          <w:rFonts w:ascii="Calibri" w:eastAsia="微软雅黑" w:hAnsi="Calibri" w:cs="Calibri"/>
          <w:color w:val="3F3F3F"/>
          <w:sz w:val="21"/>
          <w:szCs w:val="21"/>
        </w:rPr>
        <w:fldChar w:fldCharType="end"/>
      </w:r>
    </w:p>
    <w:p w14:paraId="600166B1" w14:textId="77777777" w:rsidR="0025180D" w:rsidRDefault="0025180D" w:rsidP="0025180D">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（一）了解关联方关系及其交易</w:t>
      </w:r>
    </w:p>
    <w:p w14:paraId="30CD7EED" w14:textId="77777777" w:rsidR="0025180D" w:rsidRDefault="0025180D" w:rsidP="0025180D">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"http://webupload.admin.dongao.com/biz/handout/img/2019/20190624/20190624173403358004.png"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8" type="#_x0000_t75" style="width:266.25pt;height:133.5pt">
            <v:imagedata r:id="rId13" r:href="rId14"/>
          </v:shape>
        </w:pict>
      </w:r>
      <w:r>
        <w:rPr>
          <w:rFonts w:ascii="Calibri" w:eastAsia="微软雅黑" w:hAnsi="Calibri" w:cs="Calibri"/>
          <w:color w:val="3F3F3F"/>
          <w:sz w:val="21"/>
          <w:szCs w:val="21"/>
        </w:rPr>
        <w:fldChar w:fldCharType="end"/>
      </w:r>
    </w:p>
    <w:p w14:paraId="568B0FC8" w14:textId="77777777" w:rsidR="0025180D" w:rsidRDefault="0025180D" w:rsidP="0025180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lastRenderedPageBreak/>
        <w:t>1.项目组内部的讨论</w:t>
      </w:r>
    </w:p>
    <w:tbl>
      <w:tblPr>
        <w:tblW w:w="8505" w:type="dxa"/>
        <w:jc w:val="center"/>
        <w:tblCellMar>
          <w:left w:w="0" w:type="dxa"/>
          <w:right w:w="0" w:type="dxa"/>
        </w:tblCellMar>
        <w:tblLook w:val="04A0" w:firstRow="1" w:lastRow="0" w:firstColumn="1" w:lastColumn="0" w:noHBand="0" w:noVBand="1"/>
      </w:tblPr>
      <w:tblGrid>
        <w:gridCol w:w="1188"/>
        <w:gridCol w:w="7317"/>
      </w:tblGrid>
      <w:tr w:rsidR="0025180D" w14:paraId="229828BF" w14:textId="77777777" w:rsidTr="0025180D">
        <w:trPr>
          <w:trHeight w:val="389"/>
          <w:jc w:val="center"/>
        </w:trPr>
        <w:tc>
          <w:tcPr>
            <w:tcW w:w="11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FE942A6" w14:textId="77777777" w:rsidR="0025180D" w:rsidRDefault="0025180D" w:rsidP="0025180D">
            <w:pPr>
              <w:rPr>
                <w:rFonts w:eastAsia="微软雅黑" w:cs="Calibri"/>
                <w:color w:val="3F3F3F"/>
                <w:szCs w:val="21"/>
              </w:rPr>
            </w:pPr>
          </w:p>
        </w:tc>
        <w:tc>
          <w:tcPr>
            <w:tcW w:w="731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2AEAFBA" w14:textId="77777777" w:rsidR="0025180D" w:rsidRDefault="0025180D" w:rsidP="0025180D">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25180D" w14:paraId="52056A0E" w14:textId="77777777" w:rsidTr="0025180D">
        <w:trPr>
          <w:trHeight w:val="2704"/>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25FE760" w14:textId="77777777" w:rsidR="0025180D" w:rsidRDefault="0025180D" w:rsidP="0025180D">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内容</w:t>
            </w:r>
          </w:p>
        </w:tc>
        <w:tc>
          <w:tcPr>
            <w:tcW w:w="73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43C2C5B" w14:textId="77777777" w:rsidR="0025180D" w:rsidRDefault="0025180D" w:rsidP="0025180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（1）关联方关系及其交易的性质和范围</w:t>
            </w:r>
          </w:p>
          <w:p w14:paraId="437EA122" w14:textId="77777777" w:rsidR="0025180D" w:rsidRDefault="0025180D" w:rsidP="0025180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（2）在整个审计过程中对关联方关系及其交易的风险保持怀疑</w:t>
            </w:r>
            <w:r>
              <w:rPr>
                <w:rFonts w:cs="Calibri" w:hint="eastAsia"/>
                <w:b/>
                <w:bCs/>
                <w:color w:val="FF0000"/>
                <w:sz w:val="21"/>
                <w:szCs w:val="21"/>
              </w:rPr>
              <w:t>[每次开会的老生常谈]</w:t>
            </w:r>
          </w:p>
          <w:p w14:paraId="6BF87BC7" w14:textId="77777777" w:rsidR="0025180D" w:rsidRDefault="0025180D" w:rsidP="0025180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（3）可能显示管理层未识别或未向注册会计师披露的关联方交易</w:t>
            </w:r>
          </w:p>
          <w:p w14:paraId="36B166BF" w14:textId="77777777" w:rsidR="0025180D" w:rsidRDefault="0025180D" w:rsidP="0025180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（4）可能显示存在关联方关系及其交易的记录或文件</w:t>
            </w:r>
          </w:p>
          <w:p w14:paraId="4EBF8521" w14:textId="77777777" w:rsidR="0025180D" w:rsidRDefault="0025180D" w:rsidP="0025180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（5）对关联方关系及其交易识别、处理和披露的重视程度</w:t>
            </w:r>
          </w:p>
          <w:p w14:paraId="2463115E" w14:textId="77777777" w:rsidR="0025180D" w:rsidRDefault="0025180D" w:rsidP="0025180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（6）管理层凌驾于相关控制之上的风险</w:t>
            </w:r>
          </w:p>
          <w:p w14:paraId="079DF67A" w14:textId="77777777" w:rsidR="0025180D" w:rsidRDefault="0025180D" w:rsidP="0025180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（7）关联方可能如何参与舞弊</w:t>
            </w:r>
          </w:p>
        </w:tc>
      </w:tr>
    </w:tbl>
    <w:p w14:paraId="34C27CB8" w14:textId="77777777" w:rsidR="0025180D" w:rsidRDefault="0025180D" w:rsidP="0025180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2.询问管理层</w:t>
      </w:r>
    </w:p>
    <w:tbl>
      <w:tblPr>
        <w:tblW w:w="8505" w:type="dxa"/>
        <w:jc w:val="center"/>
        <w:tblCellMar>
          <w:left w:w="0" w:type="dxa"/>
          <w:right w:w="0" w:type="dxa"/>
        </w:tblCellMar>
        <w:tblLook w:val="04A0" w:firstRow="1" w:lastRow="0" w:firstColumn="1" w:lastColumn="0" w:noHBand="0" w:noVBand="1"/>
      </w:tblPr>
      <w:tblGrid>
        <w:gridCol w:w="1543"/>
        <w:gridCol w:w="6962"/>
      </w:tblGrid>
      <w:tr w:rsidR="0025180D" w14:paraId="1BAA4152" w14:textId="77777777" w:rsidTr="0025180D">
        <w:trPr>
          <w:trHeight w:val="433"/>
          <w:jc w:val="center"/>
        </w:trPr>
        <w:tc>
          <w:tcPr>
            <w:tcW w:w="15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4376C52" w14:textId="77777777" w:rsidR="0025180D" w:rsidRDefault="0025180D" w:rsidP="0025180D">
            <w:pPr>
              <w:rPr>
                <w:rFonts w:eastAsia="微软雅黑" w:cs="Calibri"/>
                <w:color w:val="3F3F3F"/>
                <w:szCs w:val="21"/>
              </w:rPr>
            </w:pPr>
          </w:p>
        </w:tc>
        <w:tc>
          <w:tcPr>
            <w:tcW w:w="696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D435895" w14:textId="77777777" w:rsidR="0025180D" w:rsidRDefault="0025180D" w:rsidP="0025180D">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25180D" w14:paraId="4AAD7461" w14:textId="77777777" w:rsidTr="0025180D">
        <w:trPr>
          <w:trHeight w:val="1492"/>
          <w:jc w:val="center"/>
        </w:trPr>
        <w:tc>
          <w:tcPr>
            <w:tcW w:w="154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D989D8F" w14:textId="77777777" w:rsidR="0025180D" w:rsidRDefault="0025180D" w:rsidP="0025180D">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应当询问</w:t>
            </w:r>
            <w:r>
              <w:rPr>
                <w:rFonts w:cs="Calibri" w:hint="eastAsia"/>
                <w:color w:val="333333"/>
                <w:sz w:val="21"/>
                <w:szCs w:val="21"/>
              </w:rPr>
              <w:t>的内容</w:t>
            </w:r>
          </w:p>
        </w:tc>
        <w:tc>
          <w:tcPr>
            <w:tcW w:w="69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2E16EB0" w14:textId="77777777" w:rsidR="0025180D" w:rsidRDefault="0025180D" w:rsidP="0025180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（1）关联方的</w:t>
            </w:r>
            <w:r>
              <w:rPr>
                <w:rFonts w:cs="Calibri" w:hint="eastAsia"/>
                <w:b/>
                <w:bCs/>
                <w:color w:val="FF0000"/>
                <w:sz w:val="21"/>
                <w:szCs w:val="21"/>
              </w:rPr>
              <w:t>名称和特征</w:t>
            </w:r>
            <w:r>
              <w:rPr>
                <w:rFonts w:cs="Calibri" w:hint="eastAsia"/>
                <w:color w:val="333333"/>
                <w:sz w:val="21"/>
                <w:szCs w:val="21"/>
              </w:rPr>
              <w:t>，包括关联方自上期以来发生的</w:t>
            </w:r>
            <w:r>
              <w:rPr>
                <w:rFonts w:cs="Calibri" w:hint="eastAsia"/>
                <w:b/>
                <w:bCs/>
                <w:color w:val="FF0000"/>
                <w:sz w:val="21"/>
                <w:szCs w:val="21"/>
              </w:rPr>
              <w:t>变化</w:t>
            </w:r>
          </w:p>
          <w:p w14:paraId="6D60139A" w14:textId="77777777" w:rsidR="0025180D" w:rsidRDefault="0025180D" w:rsidP="0025180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（2）被审计单位和关联方之间</w:t>
            </w:r>
            <w:r>
              <w:rPr>
                <w:rFonts w:cs="Calibri" w:hint="eastAsia"/>
                <w:b/>
                <w:bCs/>
                <w:color w:val="FF0000"/>
                <w:sz w:val="21"/>
                <w:szCs w:val="21"/>
              </w:rPr>
              <w:t>关系</w:t>
            </w:r>
            <w:r>
              <w:rPr>
                <w:rFonts w:cs="Calibri" w:hint="eastAsia"/>
                <w:color w:val="333333"/>
                <w:sz w:val="21"/>
                <w:szCs w:val="21"/>
              </w:rPr>
              <w:t>的性质</w:t>
            </w:r>
          </w:p>
          <w:p w14:paraId="19DCE798" w14:textId="77777777" w:rsidR="0025180D" w:rsidRDefault="0025180D" w:rsidP="0025180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（3）被审计单位在本期是否与关联方发生</w:t>
            </w:r>
            <w:r>
              <w:rPr>
                <w:rFonts w:cs="Calibri" w:hint="eastAsia"/>
                <w:b/>
                <w:bCs/>
                <w:color w:val="FF0000"/>
                <w:sz w:val="21"/>
                <w:szCs w:val="21"/>
              </w:rPr>
              <w:t>交易</w:t>
            </w:r>
            <w:r>
              <w:rPr>
                <w:rFonts w:cs="Calibri" w:hint="eastAsia"/>
                <w:color w:val="333333"/>
                <w:sz w:val="21"/>
                <w:szCs w:val="21"/>
              </w:rPr>
              <w:t>，如发生，交易的类型、定价政策和目的</w:t>
            </w:r>
          </w:p>
        </w:tc>
      </w:tr>
      <w:tr w:rsidR="0025180D" w14:paraId="7326AFE4" w14:textId="77777777" w:rsidTr="0025180D">
        <w:trPr>
          <w:trHeight w:val="976"/>
          <w:jc w:val="center"/>
        </w:trPr>
        <w:tc>
          <w:tcPr>
            <w:tcW w:w="154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B5695FC" w14:textId="77777777" w:rsidR="0025180D" w:rsidRDefault="0025180D" w:rsidP="0025180D">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集团审计的要求</w:t>
            </w:r>
          </w:p>
        </w:tc>
        <w:tc>
          <w:tcPr>
            <w:tcW w:w="69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C4E234" w14:textId="77777777" w:rsidR="0025180D" w:rsidRDefault="0025180D" w:rsidP="0025180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集团项目组</w:t>
            </w:r>
            <w:r>
              <w:rPr>
                <w:rFonts w:cs="Calibri" w:hint="eastAsia"/>
                <w:b/>
                <w:bCs/>
                <w:color w:val="FF0000"/>
                <w:sz w:val="21"/>
                <w:szCs w:val="21"/>
              </w:rPr>
              <w:t>应向</w:t>
            </w:r>
            <w:r>
              <w:rPr>
                <w:rFonts w:cs="Calibri" w:hint="eastAsia"/>
                <w:color w:val="333333"/>
                <w:sz w:val="21"/>
                <w:szCs w:val="21"/>
              </w:rPr>
              <w:t>组成部分注册会计师提供集团管理层编制的关联方清单，以及集团项目组知悉的任何其他关联方</w:t>
            </w:r>
          </w:p>
        </w:tc>
      </w:tr>
    </w:tbl>
    <w:p w14:paraId="2E36B737" w14:textId="77777777" w:rsidR="0025180D" w:rsidRDefault="0025180D" w:rsidP="0025180D">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"http://webupload.admin.dongao.com/biz/handout/img/2019/20190624/20190624173403565005.png"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9" type="#_x0000_t75" style="width:420pt;height:230.25pt">
            <v:imagedata r:id="rId15" r:href="rId16"/>
          </v:shape>
        </w:pict>
      </w:r>
      <w:r>
        <w:rPr>
          <w:rFonts w:ascii="Calibri" w:eastAsia="微软雅黑" w:hAnsi="Calibri" w:cs="Calibri"/>
          <w:color w:val="3F3F3F"/>
          <w:sz w:val="21"/>
          <w:szCs w:val="21"/>
        </w:rPr>
        <w:fldChar w:fldCharType="end"/>
      </w:r>
    </w:p>
    <w:p w14:paraId="041F765A" w14:textId="77777777" w:rsidR="0025180D" w:rsidRDefault="0025180D" w:rsidP="0025180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3.了解与关联方关系及其交易相关的控制</w:t>
      </w:r>
    </w:p>
    <w:tbl>
      <w:tblPr>
        <w:tblW w:w="8505" w:type="dxa"/>
        <w:jc w:val="center"/>
        <w:tblCellMar>
          <w:left w:w="0" w:type="dxa"/>
          <w:right w:w="0" w:type="dxa"/>
        </w:tblCellMar>
        <w:tblLook w:val="04A0" w:firstRow="1" w:lastRow="0" w:firstColumn="1" w:lastColumn="0" w:noHBand="0" w:noVBand="1"/>
      </w:tblPr>
      <w:tblGrid>
        <w:gridCol w:w="1187"/>
        <w:gridCol w:w="7318"/>
      </w:tblGrid>
      <w:tr w:rsidR="0025180D" w14:paraId="0B4E1CA7" w14:textId="77777777" w:rsidTr="0025180D">
        <w:trPr>
          <w:trHeight w:val="477"/>
          <w:jc w:val="center"/>
        </w:trPr>
        <w:tc>
          <w:tcPr>
            <w:tcW w:w="118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0C051B" w14:textId="77777777" w:rsidR="0025180D" w:rsidRDefault="0025180D" w:rsidP="0025180D">
            <w:pPr>
              <w:rPr>
                <w:rFonts w:eastAsia="微软雅黑" w:cs="Calibri"/>
                <w:color w:val="3F3F3F"/>
                <w:szCs w:val="21"/>
              </w:rPr>
            </w:pPr>
          </w:p>
        </w:tc>
        <w:tc>
          <w:tcPr>
            <w:tcW w:w="731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62CAF4E" w14:textId="77777777" w:rsidR="0025180D" w:rsidRDefault="0025180D" w:rsidP="0025180D">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25180D" w14:paraId="64F8308F" w14:textId="77777777" w:rsidTr="0025180D">
        <w:trPr>
          <w:trHeight w:val="2178"/>
          <w:jc w:val="center"/>
        </w:trPr>
        <w:tc>
          <w:tcPr>
            <w:tcW w:w="118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ADF9ED" w14:textId="77777777" w:rsidR="0025180D" w:rsidRDefault="0025180D" w:rsidP="0025180D">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内容</w:t>
            </w:r>
          </w:p>
        </w:tc>
        <w:tc>
          <w:tcPr>
            <w:tcW w:w="731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59C8FA" w14:textId="77777777" w:rsidR="0025180D" w:rsidRDefault="0025180D" w:rsidP="0025180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如果管理层建立了与关联方关系及其交易相关的控制，注册会计师</w:t>
            </w:r>
            <w:r>
              <w:rPr>
                <w:rFonts w:cs="Calibri" w:hint="eastAsia"/>
                <w:b/>
                <w:bCs/>
                <w:color w:val="FF0000"/>
                <w:sz w:val="21"/>
                <w:szCs w:val="21"/>
              </w:rPr>
              <w:t>应当获取</w:t>
            </w:r>
            <w:r>
              <w:rPr>
                <w:rFonts w:cs="Calibri" w:hint="eastAsia"/>
                <w:color w:val="333333"/>
                <w:sz w:val="21"/>
                <w:szCs w:val="21"/>
              </w:rPr>
              <w:t>对相关控制的了解：</w:t>
            </w:r>
          </w:p>
          <w:p w14:paraId="267FC410" w14:textId="77777777" w:rsidR="0025180D" w:rsidRDefault="0025180D" w:rsidP="0025180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（1）按照适用的财务报告编制基础，对关联方关系及其交易进行识别、会计处理和披露</w:t>
            </w:r>
          </w:p>
          <w:p w14:paraId="0E9157DB" w14:textId="77777777" w:rsidR="0025180D" w:rsidRDefault="0025180D" w:rsidP="0025180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（2）授权和批准重大关联方交易和安排</w:t>
            </w:r>
          </w:p>
          <w:p w14:paraId="78E42F51" w14:textId="77777777" w:rsidR="0025180D" w:rsidRDefault="0025180D" w:rsidP="0025180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（3）授权和批准超出正常经营过程的重大交易和安排</w:t>
            </w:r>
          </w:p>
        </w:tc>
      </w:tr>
      <w:tr w:rsidR="0025180D" w14:paraId="39F09BE7" w14:textId="77777777" w:rsidTr="0025180D">
        <w:trPr>
          <w:trHeight w:val="2568"/>
          <w:jc w:val="center"/>
        </w:trPr>
        <w:tc>
          <w:tcPr>
            <w:tcW w:w="118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06BBACA" w14:textId="77777777" w:rsidR="0025180D" w:rsidRDefault="0025180D" w:rsidP="0025180D">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lastRenderedPageBreak/>
              <w:t>询问对象</w:t>
            </w:r>
            <w:r>
              <w:rPr>
                <w:rFonts w:cs="Calibri" w:hint="eastAsia"/>
                <w:b/>
                <w:bCs/>
                <w:color w:val="FF0000"/>
                <w:sz w:val="21"/>
                <w:szCs w:val="21"/>
              </w:rPr>
              <w:t>【多选题考点】</w:t>
            </w:r>
          </w:p>
        </w:tc>
        <w:tc>
          <w:tcPr>
            <w:tcW w:w="731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E98CE1" w14:textId="77777777" w:rsidR="0025180D" w:rsidRDefault="0025180D" w:rsidP="0025180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了解关联方关系及其交易相关控制，注册会计师询问关联方关系的对象</w:t>
            </w:r>
            <w:r>
              <w:rPr>
                <w:rFonts w:cs="Calibri" w:hint="eastAsia"/>
                <w:b/>
                <w:bCs/>
                <w:color w:val="FF0000"/>
                <w:sz w:val="21"/>
                <w:szCs w:val="21"/>
              </w:rPr>
              <w:t>除管理层外</w:t>
            </w:r>
            <w:r>
              <w:rPr>
                <w:rFonts w:cs="Calibri" w:hint="eastAsia"/>
                <w:color w:val="333333"/>
                <w:sz w:val="21"/>
                <w:szCs w:val="21"/>
              </w:rPr>
              <w:t>还包括：</w:t>
            </w:r>
          </w:p>
          <w:p w14:paraId="1DCE881B" w14:textId="77777777" w:rsidR="0025180D" w:rsidRDefault="0025180D" w:rsidP="0025180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w:t>
            </w:r>
            <w:r>
              <w:rPr>
                <w:rFonts w:cs="Calibri" w:hint="eastAsia"/>
                <w:b/>
                <w:bCs/>
                <w:color w:val="FF0000"/>
                <w:sz w:val="21"/>
                <w:szCs w:val="21"/>
              </w:rPr>
              <w:t>治理层</w:t>
            </w:r>
            <w:r>
              <w:rPr>
                <w:rFonts w:cs="Calibri" w:hint="eastAsia"/>
                <w:color w:val="333333"/>
                <w:sz w:val="21"/>
                <w:szCs w:val="21"/>
              </w:rPr>
              <w:t>成员</w:t>
            </w:r>
          </w:p>
          <w:p w14:paraId="17482AA9" w14:textId="77777777" w:rsidR="0025180D" w:rsidRDefault="0025180D" w:rsidP="0025180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（2）负责生成、处理或记录</w:t>
            </w:r>
            <w:r>
              <w:rPr>
                <w:rFonts w:cs="Calibri" w:hint="eastAsia"/>
                <w:b/>
                <w:bCs/>
                <w:color w:val="FF0000"/>
                <w:sz w:val="21"/>
                <w:szCs w:val="21"/>
              </w:rPr>
              <w:t>超出</w:t>
            </w:r>
            <w:r>
              <w:rPr>
                <w:rFonts w:cs="Calibri" w:hint="eastAsia"/>
                <w:color w:val="333333"/>
                <w:sz w:val="21"/>
                <w:szCs w:val="21"/>
              </w:rPr>
              <w:t>正常经营过程的重大交易的人员，以及对其进行监督或监控的人员</w:t>
            </w:r>
          </w:p>
          <w:p w14:paraId="4699475F" w14:textId="77777777" w:rsidR="0025180D" w:rsidRDefault="0025180D" w:rsidP="0025180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w:t>
            </w:r>
            <w:r>
              <w:rPr>
                <w:rFonts w:cs="Calibri" w:hint="eastAsia"/>
                <w:b/>
                <w:bCs/>
                <w:color w:val="FF0000"/>
                <w:sz w:val="21"/>
                <w:szCs w:val="21"/>
              </w:rPr>
              <w:t>内部审计</w:t>
            </w:r>
            <w:r>
              <w:rPr>
                <w:rFonts w:cs="Calibri" w:hint="eastAsia"/>
                <w:color w:val="333333"/>
                <w:sz w:val="21"/>
                <w:szCs w:val="21"/>
              </w:rPr>
              <w:t>人员</w:t>
            </w:r>
          </w:p>
          <w:p w14:paraId="0153E746" w14:textId="77777777" w:rsidR="0025180D" w:rsidRDefault="0025180D" w:rsidP="0025180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（4）内部</w:t>
            </w:r>
            <w:r>
              <w:rPr>
                <w:rFonts w:cs="Calibri" w:hint="eastAsia"/>
                <w:b/>
                <w:bCs/>
                <w:color w:val="FF0000"/>
                <w:sz w:val="21"/>
                <w:szCs w:val="21"/>
              </w:rPr>
              <w:t>法律</w:t>
            </w:r>
            <w:r>
              <w:rPr>
                <w:rFonts w:cs="Calibri" w:hint="eastAsia"/>
                <w:color w:val="333333"/>
                <w:sz w:val="21"/>
                <w:szCs w:val="21"/>
              </w:rPr>
              <w:t>顾问</w:t>
            </w:r>
          </w:p>
          <w:p w14:paraId="0ADC2127" w14:textId="77777777" w:rsidR="0025180D" w:rsidRDefault="0025180D" w:rsidP="0025180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（5）负责</w:t>
            </w:r>
            <w:r>
              <w:rPr>
                <w:rFonts w:cs="Calibri" w:hint="eastAsia"/>
                <w:b/>
                <w:bCs/>
                <w:color w:val="FF0000"/>
                <w:sz w:val="21"/>
                <w:szCs w:val="21"/>
              </w:rPr>
              <w:t>道德事务</w:t>
            </w:r>
            <w:r>
              <w:rPr>
                <w:rFonts w:cs="Calibri" w:hint="eastAsia"/>
                <w:color w:val="333333"/>
                <w:sz w:val="21"/>
                <w:szCs w:val="21"/>
              </w:rPr>
              <w:t>的人员</w:t>
            </w:r>
          </w:p>
        </w:tc>
      </w:tr>
    </w:tbl>
    <w:p w14:paraId="5E99BDE0" w14:textId="77777777" w:rsidR="0025180D" w:rsidRDefault="0025180D" w:rsidP="0025180D">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4B163183" w14:textId="77777777" w:rsidR="0025180D" w:rsidRDefault="0025180D" w:rsidP="0025180D">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单项选择题【2011年真题】</w:t>
      </w:r>
    </w:p>
    <w:p w14:paraId="2D764116" w14:textId="77777777" w:rsidR="0025180D" w:rsidRDefault="0025180D" w:rsidP="0025180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在询问关联方关系时，下列组织或人员中，注册会计师的询问对象通常不包括的是（　　）。</w:t>
      </w:r>
    </w:p>
    <w:p w14:paraId="2CABC24F" w14:textId="77777777" w:rsidR="0025180D" w:rsidRDefault="0025180D" w:rsidP="0025180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A.内部审计人员</w:t>
      </w:r>
    </w:p>
    <w:p w14:paraId="544A17F5" w14:textId="77777777" w:rsidR="0025180D" w:rsidRDefault="0025180D" w:rsidP="0025180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B.董事会成员</w:t>
      </w:r>
    </w:p>
    <w:p w14:paraId="3985E1E1" w14:textId="77777777" w:rsidR="0025180D" w:rsidRDefault="0025180D" w:rsidP="0025180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C.证券监管机构</w:t>
      </w:r>
    </w:p>
    <w:p w14:paraId="60374057" w14:textId="77777777" w:rsidR="0025180D" w:rsidRDefault="0025180D" w:rsidP="0025180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D.内部法律顾问</w:t>
      </w:r>
    </w:p>
    <w:p w14:paraId="42AC2E02" w14:textId="77777777" w:rsidR="0025180D" w:rsidRDefault="0025180D" w:rsidP="0025180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[答案]C</w:t>
      </w:r>
    </w:p>
    <w:p w14:paraId="626DEBD9" w14:textId="77777777" w:rsidR="0025180D" w:rsidRDefault="0025180D" w:rsidP="0025180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了解关联方关系及其交易相关控制，注册会计师询问关联方关系的对象主要针对管理层和被审计单位内部的其他人员；选项C中，证券监管机构属于外部机构，询问外部机构无法获取被审计单位内部针对关联方关系及其交易的相关控制信息。</w:t>
      </w:r>
    </w:p>
    <w:p w14:paraId="2DFDDDF7" w14:textId="77777777" w:rsidR="0025180D" w:rsidRDefault="0025180D" w:rsidP="0025180D">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（二）在检查记录或文件时对关联方信息保持警觉</w:t>
      </w:r>
    </w:p>
    <w:p w14:paraId="7F39296A" w14:textId="77777777" w:rsidR="0025180D" w:rsidRDefault="0025180D" w:rsidP="0025180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1.对某些安排保持警觉</w:t>
      </w:r>
    </w:p>
    <w:tbl>
      <w:tblPr>
        <w:tblW w:w="8505" w:type="dxa"/>
        <w:jc w:val="center"/>
        <w:tblCellMar>
          <w:left w:w="0" w:type="dxa"/>
          <w:right w:w="0" w:type="dxa"/>
        </w:tblCellMar>
        <w:tblLook w:val="04A0" w:firstRow="1" w:lastRow="0" w:firstColumn="1" w:lastColumn="0" w:noHBand="0" w:noVBand="1"/>
      </w:tblPr>
      <w:tblGrid>
        <w:gridCol w:w="1188"/>
        <w:gridCol w:w="7317"/>
      </w:tblGrid>
      <w:tr w:rsidR="0025180D" w14:paraId="6A8F5759" w14:textId="77777777" w:rsidTr="0025180D">
        <w:trPr>
          <w:trHeight w:val="542"/>
          <w:jc w:val="center"/>
        </w:trPr>
        <w:tc>
          <w:tcPr>
            <w:tcW w:w="8505"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F6BBCC" w14:textId="77777777" w:rsidR="0025180D" w:rsidRDefault="0025180D" w:rsidP="0025180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某些</w:t>
            </w:r>
            <w:r>
              <w:rPr>
                <w:rFonts w:cs="Calibri" w:hint="eastAsia"/>
                <w:b/>
                <w:bCs/>
                <w:color w:val="FF0000"/>
                <w:sz w:val="21"/>
                <w:szCs w:val="21"/>
              </w:rPr>
              <w:t>安排</w:t>
            </w:r>
            <w:r>
              <w:rPr>
                <w:rFonts w:cs="Calibri" w:hint="eastAsia"/>
                <w:color w:val="333333"/>
                <w:sz w:val="21"/>
                <w:szCs w:val="21"/>
              </w:rPr>
              <w:t>是指被审计单位和一方或多方基于特定目的签订的正式或非正式协议</w:t>
            </w:r>
            <w:r>
              <w:rPr>
                <w:rFonts w:cs="Calibri" w:hint="eastAsia"/>
                <w:b/>
                <w:bCs/>
                <w:color w:val="FF0000"/>
                <w:sz w:val="21"/>
                <w:szCs w:val="21"/>
              </w:rPr>
              <w:t>[理解]</w:t>
            </w:r>
          </w:p>
        </w:tc>
      </w:tr>
      <w:tr w:rsidR="0025180D" w14:paraId="3BDB1076" w14:textId="77777777" w:rsidTr="0025180D">
        <w:trPr>
          <w:trHeight w:val="1259"/>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16F429" w14:textId="77777777" w:rsidR="0025180D" w:rsidRDefault="0025180D" w:rsidP="0025180D">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内容</w:t>
            </w:r>
          </w:p>
        </w:tc>
        <w:tc>
          <w:tcPr>
            <w:tcW w:w="73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A181EA" w14:textId="77777777" w:rsidR="0025180D" w:rsidRDefault="0025180D" w:rsidP="0025180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（1）通过适当方式（如投资工具）或组织架构建立商业关系</w:t>
            </w:r>
          </w:p>
          <w:p w14:paraId="2601D09E" w14:textId="77777777" w:rsidR="0025180D" w:rsidRDefault="0025180D" w:rsidP="0025180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（2）根据特定条款和条件从事某种类型的交易</w:t>
            </w:r>
          </w:p>
          <w:p w14:paraId="2EACF260" w14:textId="77777777" w:rsidR="0025180D" w:rsidRDefault="0025180D" w:rsidP="0025180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（3）提供指定的服务或财务支持</w:t>
            </w:r>
          </w:p>
        </w:tc>
      </w:tr>
    </w:tbl>
    <w:p w14:paraId="5E135290" w14:textId="77777777" w:rsidR="0025180D" w:rsidRDefault="0025180D" w:rsidP="0025180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2.检查记录或文件</w:t>
      </w:r>
    </w:p>
    <w:tbl>
      <w:tblPr>
        <w:tblW w:w="8505" w:type="dxa"/>
        <w:jc w:val="center"/>
        <w:tblCellMar>
          <w:left w:w="0" w:type="dxa"/>
          <w:right w:w="0" w:type="dxa"/>
        </w:tblCellMar>
        <w:tblLook w:val="04A0" w:firstRow="1" w:lastRow="0" w:firstColumn="1" w:lastColumn="0" w:noHBand="0" w:noVBand="1"/>
      </w:tblPr>
      <w:tblGrid>
        <w:gridCol w:w="940"/>
        <w:gridCol w:w="7565"/>
      </w:tblGrid>
      <w:tr w:rsidR="0025180D" w14:paraId="792D3541" w14:textId="77777777" w:rsidTr="0025180D">
        <w:trPr>
          <w:trHeight w:val="1806"/>
          <w:jc w:val="center"/>
        </w:trPr>
        <w:tc>
          <w:tcPr>
            <w:tcW w:w="9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533408" w14:textId="77777777" w:rsidR="0025180D" w:rsidRDefault="0025180D" w:rsidP="0025180D">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应当检查</w:t>
            </w:r>
          </w:p>
        </w:tc>
        <w:tc>
          <w:tcPr>
            <w:tcW w:w="756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0FFE8F3" w14:textId="77777777" w:rsidR="0025180D" w:rsidRDefault="0025180D" w:rsidP="0025180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为确定是否存在管理层以前</w:t>
            </w:r>
            <w:r>
              <w:rPr>
                <w:rFonts w:cs="Calibri" w:hint="eastAsia"/>
                <w:b/>
                <w:bCs/>
                <w:color w:val="FF0000"/>
                <w:sz w:val="21"/>
                <w:szCs w:val="21"/>
              </w:rPr>
              <w:t>未识别或未向</w:t>
            </w:r>
            <w:r>
              <w:rPr>
                <w:rFonts w:cs="Calibri" w:hint="eastAsia"/>
                <w:color w:val="333333"/>
                <w:sz w:val="21"/>
                <w:szCs w:val="21"/>
              </w:rPr>
              <w:t>注册会计师</w:t>
            </w:r>
            <w:r>
              <w:rPr>
                <w:rFonts w:cs="Calibri" w:hint="eastAsia"/>
                <w:b/>
                <w:bCs/>
                <w:color w:val="FF0000"/>
                <w:sz w:val="21"/>
                <w:szCs w:val="21"/>
              </w:rPr>
              <w:t>披露</w:t>
            </w:r>
            <w:r>
              <w:rPr>
                <w:rFonts w:cs="Calibri" w:hint="eastAsia"/>
                <w:color w:val="333333"/>
                <w:sz w:val="21"/>
                <w:szCs w:val="21"/>
              </w:rPr>
              <w:t>的关联方关系或关联方交易，</w:t>
            </w:r>
            <w:r>
              <w:rPr>
                <w:rFonts w:cs="Calibri" w:hint="eastAsia"/>
                <w:b/>
                <w:bCs/>
                <w:color w:val="FF0000"/>
                <w:sz w:val="21"/>
                <w:szCs w:val="21"/>
              </w:rPr>
              <w:t>应当</w:t>
            </w:r>
            <w:r>
              <w:rPr>
                <w:rFonts w:cs="Calibri" w:hint="eastAsia"/>
                <w:color w:val="333333"/>
                <w:sz w:val="21"/>
                <w:szCs w:val="21"/>
              </w:rPr>
              <w:t>检查下列记录或文件：</w:t>
            </w:r>
            <w:r>
              <w:rPr>
                <w:rFonts w:cs="Calibri" w:hint="eastAsia"/>
                <w:b/>
                <w:bCs/>
                <w:color w:val="FF0000"/>
                <w:sz w:val="21"/>
                <w:szCs w:val="21"/>
              </w:rPr>
              <w:t>【多选题考点】</w:t>
            </w:r>
          </w:p>
          <w:p w14:paraId="5498AE82" w14:textId="77777777" w:rsidR="0025180D" w:rsidRDefault="0025180D" w:rsidP="0025180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（1）注册会计师实施审计程序时获取的银行和律师的询证函</w:t>
            </w:r>
            <w:r>
              <w:rPr>
                <w:rFonts w:cs="Calibri" w:hint="eastAsia"/>
                <w:b/>
                <w:bCs/>
                <w:color w:val="FF0000"/>
                <w:sz w:val="21"/>
                <w:szCs w:val="21"/>
              </w:rPr>
              <w:t>回函</w:t>
            </w:r>
          </w:p>
          <w:p w14:paraId="006B9137" w14:textId="77777777" w:rsidR="0025180D" w:rsidRDefault="0025180D" w:rsidP="0025180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（2）股东会和治理层会议的</w:t>
            </w:r>
            <w:r>
              <w:rPr>
                <w:rFonts w:cs="Calibri" w:hint="eastAsia"/>
                <w:b/>
                <w:bCs/>
                <w:color w:val="FF0000"/>
                <w:sz w:val="21"/>
                <w:szCs w:val="21"/>
              </w:rPr>
              <w:t>纪要</w:t>
            </w:r>
          </w:p>
          <w:p w14:paraId="39AE923E" w14:textId="77777777" w:rsidR="0025180D" w:rsidRDefault="0025180D" w:rsidP="0025180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（3）注册会计师认为必要的其他记录和文件</w:t>
            </w:r>
          </w:p>
        </w:tc>
      </w:tr>
      <w:tr w:rsidR="0025180D" w14:paraId="2A73C737" w14:textId="77777777" w:rsidTr="0025180D">
        <w:trPr>
          <w:trHeight w:val="1265"/>
          <w:jc w:val="center"/>
        </w:trPr>
        <w:tc>
          <w:tcPr>
            <w:tcW w:w="9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660F706" w14:textId="77777777" w:rsidR="0025180D" w:rsidRDefault="0025180D" w:rsidP="0025180D">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可以检查</w:t>
            </w:r>
          </w:p>
        </w:tc>
        <w:tc>
          <w:tcPr>
            <w:tcW w:w="75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0F1771F" w14:textId="77777777" w:rsidR="0025180D" w:rsidRDefault="0025180D" w:rsidP="0025180D">
            <w:pPr>
              <w:pStyle w:val="aa"/>
              <w:spacing w:before="0" w:beforeAutospacing="0" w:after="0" w:afterAutospacing="0"/>
              <w:jc w:val="both"/>
              <w:rPr>
                <w:rFonts w:ascii="Calibri" w:eastAsia="微软雅黑" w:hAnsi="Calibri" w:cs="Calibri"/>
                <w:color w:val="333333"/>
                <w:sz w:val="21"/>
                <w:szCs w:val="21"/>
              </w:rPr>
            </w:pPr>
            <w:r>
              <w:rPr>
                <w:rFonts w:cs="Calibri" w:hint="eastAsia"/>
                <w:b/>
                <w:bCs/>
                <w:color w:val="FF0000"/>
                <w:sz w:val="21"/>
                <w:szCs w:val="21"/>
              </w:rPr>
              <w:t>例如</w:t>
            </w:r>
            <w:r>
              <w:rPr>
                <w:rFonts w:cs="Calibri" w:hint="eastAsia"/>
                <w:color w:val="333333"/>
                <w:sz w:val="21"/>
                <w:szCs w:val="21"/>
              </w:rPr>
              <w:t>第三方的询证函回函、所得税纳税申报表、股东登记名册、利益冲突声明、投资和养老金计划、与关键管理层或治理层成员签订的合同和协议、人寿保险单、重新商定的重要合同、内部审计人员的报告、招股说明书等</w:t>
            </w:r>
            <w:r>
              <w:rPr>
                <w:rFonts w:cs="Calibri" w:hint="eastAsia"/>
                <w:b/>
                <w:bCs/>
                <w:color w:val="FF0000"/>
                <w:sz w:val="21"/>
                <w:szCs w:val="21"/>
              </w:rPr>
              <w:t>[理解]</w:t>
            </w:r>
          </w:p>
        </w:tc>
      </w:tr>
    </w:tbl>
    <w:p w14:paraId="36AE527C" w14:textId="77777777" w:rsidR="0025180D" w:rsidRDefault="0025180D" w:rsidP="0025180D">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589F4027" w14:textId="77777777" w:rsidR="0025180D" w:rsidRDefault="0025180D" w:rsidP="0025180D">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多项选择题【2015年真题】</w:t>
      </w:r>
    </w:p>
    <w:p w14:paraId="706D0197" w14:textId="77777777" w:rsidR="0025180D" w:rsidRDefault="0025180D" w:rsidP="0025180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在确定是否存在管理层以前未识别或未向注册会计师披露的关联方关系或交易时，下列文件中，注册会计师应当检查的有（　　）。</w:t>
      </w:r>
    </w:p>
    <w:p w14:paraId="20E2ED80" w14:textId="77777777" w:rsidR="0025180D" w:rsidRDefault="0025180D" w:rsidP="0025180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A.实施审计程序时获取的银行和律师的询证函回函</w:t>
      </w:r>
    </w:p>
    <w:p w14:paraId="3CBE13DA" w14:textId="77777777" w:rsidR="0025180D" w:rsidRDefault="0025180D" w:rsidP="0025180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B.内部审计人员的报告</w:t>
      </w:r>
    </w:p>
    <w:p w14:paraId="630C6F8E" w14:textId="77777777" w:rsidR="0025180D" w:rsidRDefault="0025180D" w:rsidP="0025180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C.股东会和治理层会议的纪要</w:t>
      </w:r>
    </w:p>
    <w:p w14:paraId="6F2080DC" w14:textId="77777777" w:rsidR="0025180D" w:rsidRDefault="0025180D" w:rsidP="0025180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D.被审计单位在报告期内重新商定的重要合同</w:t>
      </w:r>
    </w:p>
    <w:p w14:paraId="4CFC75CD" w14:textId="77777777" w:rsidR="0025180D" w:rsidRDefault="0025180D" w:rsidP="0025180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[答案]AC</w:t>
      </w:r>
    </w:p>
    <w:p w14:paraId="0C40194F" w14:textId="77777777" w:rsidR="0025180D" w:rsidRDefault="0025180D" w:rsidP="0025180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[点评]选项A和选项C为</w:t>
      </w:r>
      <w:r>
        <w:rPr>
          <w:rFonts w:cs="Calibri" w:hint="eastAsia"/>
          <w:b/>
          <w:bCs/>
          <w:color w:val="FF0000"/>
          <w:sz w:val="21"/>
          <w:szCs w:val="21"/>
        </w:rPr>
        <w:t>应当</w:t>
      </w:r>
      <w:r>
        <w:rPr>
          <w:rFonts w:cs="Calibri" w:hint="eastAsia"/>
          <w:color w:val="3F3F3F"/>
          <w:sz w:val="21"/>
          <w:szCs w:val="21"/>
        </w:rPr>
        <w:t>检查的记录或文件，而选项B和选项D为注册会计师</w:t>
      </w:r>
      <w:r>
        <w:rPr>
          <w:rFonts w:cs="Calibri" w:hint="eastAsia"/>
          <w:b/>
          <w:bCs/>
          <w:color w:val="FF0000"/>
          <w:sz w:val="21"/>
          <w:szCs w:val="21"/>
        </w:rPr>
        <w:t>可以</w:t>
      </w:r>
      <w:r>
        <w:rPr>
          <w:rFonts w:cs="Calibri" w:hint="eastAsia"/>
          <w:color w:val="3F3F3F"/>
          <w:sz w:val="21"/>
          <w:szCs w:val="21"/>
        </w:rPr>
        <w:t>检查的记录或文件。本题非常“刁钻”，借以训练同学们应对冷门题目的应试心态。</w:t>
      </w:r>
    </w:p>
    <w:p w14:paraId="1217AB64" w14:textId="77777777" w:rsidR="0025180D" w:rsidRDefault="0025180D" w:rsidP="0025180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3.询问管理层</w:t>
      </w:r>
    </w:p>
    <w:tbl>
      <w:tblPr>
        <w:tblW w:w="8505" w:type="dxa"/>
        <w:jc w:val="center"/>
        <w:tblCellMar>
          <w:left w:w="0" w:type="dxa"/>
          <w:right w:w="0" w:type="dxa"/>
        </w:tblCellMar>
        <w:tblLook w:val="04A0" w:firstRow="1" w:lastRow="0" w:firstColumn="1" w:lastColumn="0" w:noHBand="0" w:noVBand="1"/>
      </w:tblPr>
      <w:tblGrid>
        <w:gridCol w:w="1793"/>
        <w:gridCol w:w="6712"/>
      </w:tblGrid>
      <w:tr w:rsidR="0025180D" w14:paraId="554D2C62" w14:textId="77777777" w:rsidTr="0025180D">
        <w:trPr>
          <w:trHeight w:val="839"/>
          <w:jc w:val="center"/>
        </w:trPr>
        <w:tc>
          <w:tcPr>
            <w:tcW w:w="8505"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116DDF1" w14:textId="77777777" w:rsidR="0025180D" w:rsidRDefault="0025180D" w:rsidP="0025180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如果识别出</w:t>
            </w:r>
            <w:r>
              <w:rPr>
                <w:rFonts w:cs="Calibri" w:hint="eastAsia"/>
                <w:b/>
                <w:bCs/>
                <w:color w:val="FF0000"/>
                <w:sz w:val="21"/>
                <w:szCs w:val="21"/>
              </w:rPr>
              <w:t>超出正常经营过程的重大交易</w:t>
            </w:r>
            <w:r>
              <w:rPr>
                <w:rFonts w:cs="Calibri" w:hint="eastAsia"/>
                <w:color w:val="333333"/>
                <w:sz w:val="21"/>
                <w:szCs w:val="21"/>
              </w:rPr>
              <w:t>，</w:t>
            </w:r>
            <w:r>
              <w:rPr>
                <w:rFonts w:cs="Calibri" w:hint="eastAsia"/>
                <w:b/>
                <w:bCs/>
                <w:color w:val="FF0000"/>
                <w:sz w:val="21"/>
                <w:szCs w:val="21"/>
              </w:rPr>
              <w:t>应询问</w:t>
            </w:r>
            <w:r>
              <w:rPr>
                <w:rFonts w:cs="Calibri" w:hint="eastAsia"/>
                <w:color w:val="333333"/>
                <w:sz w:val="21"/>
                <w:szCs w:val="21"/>
              </w:rPr>
              <w:t>管理层这些交易的性质以及是否涉及关联方：</w:t>
            </w:r>
            <w:r>
              <w:rPr>
                <w:rFonts w:cs="Calibri" w:hint="eastAsia"/>
                <w:b/>
                <w:bCs/>
                <w:color w:val="FF0000"/>
                <w:sz w:val="21"/>
                <w:szCs w:val="21"/>
              </w:rPr>
              <w:t>[理解]</w:t>
            </w:r>
          </w:p>
        </w:tc>
      </w:tr>
      <w:tr w:rsidR="0025180D" w14:paraId="57D4F74B" w14:textId="77777777" w:rsidTr="0025180D">
        <w:trPr>
          <w:trHeight w:val="2187"/>
          <w:jc w:val="center"/>
        </w:trPr>
        <w:tc>
          <w:tcPr>
            <w:tcW w:w="17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CAC9089" w14:textId="77777777" w:rsidR="0025180D" w:rsidRDefault="0025180D" w:rsidP="0025180D">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“超重交易”的情形</w:t>
            </w:r>
          </w:p>
        </w:tc>
        <w:tc>
          <w:tcPr>
            <w:tcW w:w="671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317E95" w14:textId="77777777" w:rsidR="0025180D" w:rsidRDefault="0025180D" w:rsidP="0025180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（1）复杂的股权交易，如公司重组或收购</w:t>
            </w:r>
          </w:p>
          <w:p w14:paraId="2CD1F76B" w14:textId="77777777" w:rsidR="0025180D" w:rsidRDefault="0025180D" w:rsidP="0025180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（2）与公司法制不健全的国家或地区的境外实体之间的交易</w:t>
            </w:r>
          </w:p>
          <w:p w14:paraId="0E0D7CD2" w14:textId="77777777" w:rsidR="0025180D" w:rsidRDefault="0025180D" w:rsidP="0025180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（3）对外提供厂房租赁或管理服务，而没有收取对价</w:t>
            </w:r>
          </w:p>
          <w:p w14:paraId="367A3990" w14:textId="77777777" w:rsidR="0025180D" w:rsidRDefault="0025180D" w:rsidP="0025180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（4）具有异常大额折扣或退货的销售业务</w:t>
            </w:r>
          </w:p>
          <w:p w14:paraId="09FF28C6" w14:textId="77777777" w:rsidR="0025180D" w:rsidRDefault="0025180D" w:rsidP="0025180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（5）循环交易，如售后回购交易</w:t>
            </w:r>
          </w:p>
          <w:p w14:paraId="1CCBF725" w14:textId="77777777" w:rsidR="0025180D" w:rsidRDefault="0025180D" w:rsidP="0025180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（6）在合同期限届满之前变更条款的交易</w:t>
            </w:r>
          </w:p>
        </w:tc>
      </w:tr>
    </w:tbl>
    <w:p w14:paraId="201FE292" w14:textId="77777777" w:rsidR="0025180D" w:rsidRDefault="0025180D" w:rsidP="0025180D">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二、识别和评估重大错报风险</w:t>
      </w:r>
    </w:p>
    <w:p w14:paraId="0243CB37" w14:textId="77777777" w:rsidR="0025180D" w:rsidRDefault="0025180D" w:rsidP="0025180D">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"http://webupload.admin.dongao.com/biz/handout/img/2019/20190624/20190624173403108006.png"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30" type="#_x0000_t75" style="width:420pt;height:233.25pt">
            <v:imagedata r:id="rId17" r:href="rId18"/>
          </v:shape>
        </w:pict>
      </w:r>
      <w:r>
        <w:rPr>
          <w:rFonts w:ascii="Calibri" w:eastAsia="微软雅黑" w:hAnsi="Calibri" w:cs="Calibri"/>
          <w:color w:val="3F3F3F"/>
          <w:sz w:val="21"/>
          <w:szCs w:val="21"/>
        </w:rPr>
        <w:fldChar w:fldCharType="end"/>
      </w:r>
    </w:p>
    <w:p w14:paraId="7DD7BE17" w14:textId="77777777" w:rsidR="0025180D" w:rsidRDefault="0025180D" w:rsidP="0025180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1.考虑特别风险</w:t>
      </w:r>
      <w:r>
        <w:rPr>
          <w:rFonts w:cs="Calibri" w:hint="eastAsia"/>
          <w:b/>
          <w:bCs/>
          <w:color w:val="FF0000"/>
          <w:sz w:val="21"/>
          <w:szCs w:val="21"/>
        </w:rPr>
        <w:t>【单选题/简答题高频考点】[链接第7章、第13章]</w:t>
      </w:r>
    </w:p>
    <w:p w14:paraId="58A472A4" w14:textId="77777777" w:rsidR="0025180D" w:rsidRDefault="0025180D" w:rsidP="0025180D">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（1）注册会计师</w:t>
      </w:r>
      <w:r>
        <w:rPr>
          <w:rFonts w:cs="Calibri" w:hint="eastAsia"/>
          <w:b/>
          <w:bCs/>
          <w:color w:val="FF0000"/>
          <w:sz w:val="21"/>
          <w:szCs w:val="21"/>
        </w:rPr>
        <w:t>应当</w:t>
      </w:r>
      <w:r>
        <w:rPr>
          <w:rFonts w:cs="Calibri" w:hint="eastAsia"/>
          <w:color w:val="3F3F3F"/>
          <w:sz w:val="21"/>
          <w:szCs w:val="21"/>
        </w:rPr>
        <w:t>识别和评估关联方关系及其交易导致的重大错报风险，并确定这些风险是否为特别风险；</w:t>
      </w:r>
    </w:p>
    <w:p w14:paraId="37CED8EB" w14:textId="77777777" w:rsidR="0025180D" w:rsidRDefault="0025180D" w:rsidP="0025180D">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（2）注册会计师</w:t>
      </w:r>
      <w:r>
        <w:rPr>
          <w:rFonts w:cs="Calibri" w:hint="eastAsia"/>
          <w:b/>
          <w:bCs/>
          <w:color w:val="FF0000"/>
          <w:sz w:val="21"/>
          <w:szCs w:val="21"/>
        </w:rPr>
        <w:t>应当</w:t>
      </w:r>
      <w:r>
        <w:rPr>
          <w:rFonts w:cs="Calibri" w:hint="eastAsia"/>
          <w:color w:val="3F3F3F"/>
          <w:sz w:val="21"/>
          <w:szCs w:val="21"/>
        </w:rPr>
        <w:t>将识别出的、</w:t>
      </w:r>
      <w:r>
        <w:rPr>
          <w:rFonts w:cs="Calibri" w:hint="eastAsia"/>
          <w:b/>
          <w:bCs/>
          <w:color w:val="FF0000"/>
          <w:sz w:val="21"/>
          <w:szCs w:val="21"/>
        </w:rPr>
        <w:t>超出</w:t>
      </w:r>
      <w:r>
        <w:rPr>
          <w:rFonts w:cs="Calibri" w:hint="eastAsia"/>
          <w:color w:val="3F3F3F"/>
          <w:sz w:val="21"/>
          <w:szCs w:val="21"/>
        </w:rPr>
        <w:t>被审计单位正常经营过程的</w:t>
      </w:r>
      <w:r>
        <w:rPr>
          <w:rFonts w:cs="Calibri" w:hint="eastAsia"/>
          <w:b/>
          <w:bCs/>
          <w:color w:val="FF0000"/>
          <w:sz w:val="21"/>
          <w:szCs w:val="21"/>
        </w:rPr>
        <w:t>重大关联方交易</w:t>
      </w:r>
      <w:r>
        <w:rPr>
          <w:rFonts w:cs="Calibri" w:hint="eastAsia"/>
          <w:color w:val="3F3F3F"/>
          <w:sz w:val="21"/>
          <w:szCs w:val="21"/>
        </w:rPr>
        <w:t>导致的风险确定为</w:t>
      </w:r>
      <w:r>
        <w:rPr>
          <w:rFonts w:cs="Calibri" w:hint="eastAsia"/>
          <w:b/>
          <w:bCs/>
          <w:color w:val="FF0000"/>
          <w:sz w:val="21"/>
          <w:szCs w:val="21"/>
        </w:rPr>
        <w:t>特别风险</w:t>
      </w:r>
      <w:r>
        <w:rPr>
          <w:rFonts w:cs="Calibri" w:hint="eastAsia"/>
          <w:color w:val="3F3F3F"/>
          <w:sz w:val="21"/>
          <w:szCs w:val="21"/>
        </w:rPr>
        <w:t>。</w:t>
      </w:r>
    </w:p>
    <w:p w14:paraId="156472F6" w14:textId="77777777" w:rsidR="0025180D" w:rsidRDefault="0025180D" w:rsidP="0025180D">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499AF4B3" w14:textId="77777777" w:rsidR="0025180D" w:rsidRDefault="0025180D" w:rsidP="0025180D">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单项选择题【2016年真题】</w:t>
      </w:r>
    </w:p>
    <w:p w14:paraId="58AA4CBE" w14:textId="77777777" w:rsidR="0025180D" w:rsidRDefault="0025180D" w:rsidP="0025180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下列情形中，注册会计师应当将其评估为存在特别风险的是（　　）。</w:t>
      </w:r>
    </w:p>
    <w:p w14:paraId="184F0D70" w14:textId="77777777" w:rsidR="0025180D" w:rsidRDefault="0025180D" w:rsidP="0025180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A.被审计单位将重要子公司转让给实际控制人控制的企业并取得大额转让收益</w:t>
      </w:r>
    </w:p>
    <w:p w14:paraId="2BC33132" w14:textId="77777777" w:rsidR="0025180D" w:rsidRDefault="0025180D" w:rsidP="0025180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B.被审计单位对母公司的销售占总销量的50%</w:t>
      </w:r>
    </w:p>
    <w:p w14:paraId="7A4304C8" w14:textId="77777777" w:rsidR="0025180D" w:rsidRDefault="0025180D" w:rsidP="0025180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C.被审计单位与收购交易的对方签订了对赌协议</w:t>
      </w:r>
    </w:p>
    <w:p w14:paraId="781B60A4" w14:textId="77777777" w:rsidR="0025180D" w:rsidRDefault="0025180D" w:rsidP="0025180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D.被审计单位销售产品给子公司的价格低于销售给第三方的价格</w:t>
      </w:r>
    </w:p>
    <w:p w14:paraId="4D577AAC" w14:textId="77777777" w:rsidR="0025180D" w:rsidRDefault="0025180D" w:rsidP="0025180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w:t>
      </w:r>
    </w:p>
    <w:p w14:paraId="300A0582" w14:textId="77777777" w:rsidR="0025180D" w:rsidRDefault="0025180D" w:rsidP="0025180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注册会计师应当将识别出的、超出被审计单位正常经营过程的重大关联方交易导致的风险确定为特别风险，选项A中，与实际控制人之间进行的重要子公司转让，涉及复杂的股权交易，属于超出被审计单位正常经营过程的重大关联方交易。本题具有非常高的灵活性。</w:t>
      </w:r>
    </w:p>
    <w:p w14:paraId="0B820AB8" w14:textId="77777777" w:rsidR="0025180D" w:rsidRDefault="0025180D" w:rsidP="0025180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2.考虑支配性影响</w:t>
      </w:r>
    </w:p>
    <w:tbl>
      <w:tblPr>
        <w:tblW w:w="8505" w:type="dxa"/>
        <w:jc w:val="center"/>
        <w:tblCellMar>
          <w:left w:w="0" w:type="dxa"/>
          <w:right w:w="0" w:type="dxa"/>
        </w:tblCellMar>
        <w:tblLook w:val="04A0" w:firstRow="1" w:lastRow="0" w:firstColumn="1" w:lastColumn="0" w:noHBand="0" w:noVBand="1"/>
      </w:tblPr>
      <w:tblGrid>
        <w:gridCol w:w="1063"/>
        <w:gridCol w:w="7442"/>
      </w:tblGrid>
      <w:tr w:rsidR="0025180D" w14:paraId="34CF4F12" w14:textId="77777777" w:rsidTr="0025180D">
        <w:trPr>
          <w:jc w:val="center"/>
        </w:trPr>
        <w:tc>
          <w:tcPr>
            <w:tcW w:w="10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6E1FB0E" w14:textId="77777777" w:rsidR="0025180D" w:rsidRDefault="0025180D" w:rsidP="0025180D">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情形</w:t>
            </w:r>
          </w:p>
        </w:tc>
        <w:tc>
          <w:tcPr>
            <w:tcW w:w="744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6690320" w14:textId="77777777" w:rsidR="0025180D" w:rsidRDefault="0025180D" w:rsidP="0025180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注册会计师应当考虑能够对被审计单位或管理层施加</w:t>
            </w:r>
            <w:r>
              <w:rPr>
                <w:rFonts w:cs="Calibri" w:hint="eastAsia"/>
                <w:b/>
                <w:bCs/>
                <w:color w:val="FF0000"/>
                <w:sz w:val="21"/>
                <w:szCs w:val="21"/>
              </w:rPr>
              <w:t>支配性影响</w:t>
            </w:r>
            <w:r>
              <w:rPr>
                <w:rFonts w:cs="Calibri" w:hint="eastAsia"/>
                <w:color w:val="333333"/>
                <w:sz w:val="21"/>
                <w:szCs w:val="21"/>
              </w:rPr>
              <w:t>的关联方的有关情形：</w:t>
            </w:r>
          </w:p>
          <w:p w14:paraId="35A9E7EC" w14:textId="77777777" w:rsidR="0025180D" w:rsidRDefault="0025180D" w:rsidP="0025180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（1）关联方</w:t>
            </w:r>
            <w:r>
              <w:rPr>
                <w:rFonts w:cs="Calibri" w:hint="eastAsia"/>
                <w:b/>
                <w:bCs/>
                <w:color w:val="FF0000"/>
                <w:sz w:val="21"/>
                <w:szCs w:val="21"/>
              </w:rPr>
              <w:t>否决</w:t>
            </w:r>
            <w:r>
              <w:rPr>
                <w:rFonts w:cs="Calibri" w:hint="eastAsia"/>
                <w:color w:val="333333"/>
                <w:sz w:val="21"/>
                <w:szCs w:val="21"/>
              </w:rPr>
              <w:t>管理层或治理层作出的重大经营决策</w:t>
            </w:r>
            <w:r>
              <w:rPr>
                <w:rFonts w:cs="Calibri" w:hint="eastAsia"/>
                <w:b/>
                <w:bCs/>
                <w:color w:val="FF0000"/>
                <w:sz w:val="21"/>
                <w:szCs w:val="21"/>
              </w:rPr>
              <w:t>[强势]</w:t>
            </w:r>
          </w:p>
          <w:p w14:paraId="523327F8" w14:textId="77777777" w:rsidR="0025180D" w:rsidRDefault="0025180D" w:rsidP="0025180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（2）重大交易需经关联方的最终</w:t>
            </w:r>
            <w:r>
              <w:rPr>
                <w:rFonts w:cs="Calibri" w:hint="eastAsia"/>
                <w:b/>
                <w:bCs/>
                <w:color w:val="FF0000"/>
                <w:sz w:val="21"/>
                <w:szCs w:val="21"/>
              </w:rPr>
              <w:t>批准[傀儡]</w:t>
            </w:r>
          </w:p>
          <w:p w14:paraId="0F9129C4" w14:textId="77777777" w:rsidR="0025180D" w:rsidRDefault="0025180D" w:rsidP="0025180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（3）对关联方提出的业务建议，管理层和治理层</w:t>
            </w:r>
            <w:r>
              <w:rPr>
                <w:rFonts w:cs="Calibri" w:hint="eastAsia"/>
                <w:b/>
                <w:bCs/>
                <w:color w:val="FF0000"/>
                <w:sz w:val="21"/>
                <w:szCs w:val="21"/>
              </w:rPr>
              <w:t>未曾或很少</w:t>
            </w:r>
            <w:r>
              <w:rPr>
                <w:rFonts w:cs="Calibri" w:hint="eastAsia"/>
                <w:color w:val="333333"/>
                <w:sz w:val="21"/>
                <w:szCs w:val="21"/>
              </w:rPr>
              <w:t>进行讨论</w:t>
            </w:r>
            <w:r>
              <w:rPr>
                <w:rFonts w:cs="Calibri" w:hint="eastAsia"/>
                <w:b/>
                <w:bCs/>
                <w:color w:val="FF0000"/>
                <w:sz w:val="21"/>
                <w:szCs w:val="21"/>
              </w:rPr>
              <w:t>[言听计从]</w:t>
            </w:r>
          </w:p>
          <w:p w14:paraId="4EFC016B" w14:textId="77777777" w:rsidR="0025180D" w:rsidRDefault="0025180D" w:rsidP="0025180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（4）对涉及关联方（或与关联方关系密切的家庭成员）的交易，</w:t>
            </w:r>
            <w:r>
              <w:rPr>
                <w:rFonts w:cs="Calibri" w:hint="eastAsia"/>
                <w:b/>
                <w:bCs/>
                <w:color w:val="FF0000"/>
                <w:sz w:val="21"/>
                <w:szCs w:val="21"/>
              </w:rPr>
              <w:t>极少</w:t>
            </w:r>
            <w:r>
              <w:rPr>
                <w:rFonts w:cs="Calibri" w:hint="eastAsia"/>
                <w:color w:val="333333"/>
                <w:sz w:val="21"/>
                <w:szCs w:val="21"/>
              </w:rPr>
              <w:t>进行独立复核和批准</w:t>
            </w:r>
            <w:r>
              <w:rPr>
                <w:rFonts w:cs="Calibri" w:hint="eastAsia"/>
                <w:b/>
                <w:bCs/>
                <w:color w:val="FF0000"/>
                <w:sz w:val="21"/>
                <w:szCs w:val="21"/>
              </w:rPr>
              <w:t>[开绿灯]</w:t>
            </w:r>
          </w:p>
        </w:tc>
      </w:tr>
    </w:tbl>
    <w:p w14:paraId="10194048" w14:textId="77777777" w:rsidR="0025180D" w:rsidRDefault="0025180D" w:rsidP="0025180D">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33C3BC5C" w14:textId="77777777" w:rsidR="0025180D" w:rsidRDefault="0025180D" w:rsidP="0025180D">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单项选择题【2011年真题】</w:t>
      </w:r>
    </w:p>
    <w:p w14:paraId="771DE3B8" w14:textId="77777777" w:rsidR="0025180D" w:rsidRDefault="0025180D" w:rsidP="0025180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在评估和应对与关联方交易相关的重大错报风险时，下列说法中，注册会计师认为正确的是（　　）。</w:t>
      </w:r>
    </w:p>
    <w:p w14:paraId="50B602ED" w14:textId="77777777" w:rsidR="0025180D" w:rsidRDefault="0025180D" w:rsidP="0025180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A.所有的关联方交易和余额都存在重大错报风险</w:t>
      </w:r>
    </w:p>
    <w:p w14:paraId="719B2C51" w14:textId="77777777" w:rsidR="0025180D" w:rsidRDefault="0025180D" w:rsidP="0025180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B.实施实质性程序应对与关联方交易相关的重大错报风险更有效，因此无须了解和评价与关联方关系和交易相关的内部控制</w:t>
      </w:r>
    </w:p>
    <w:p w14:paraId="690000AE" w14:textId="77777777" w:rsidR="0025180D" w:rsidRDefault="0025180D" w:rsidP="0025180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C.超出正常经营过程的重大关联方交易导致的风险属于特别风险</w:t>
      </w:r>
    </w:p>
    <w:p w14:paraId="40270AB9" w14:textId="77777777" w:rsidR="0025180D" w:rsidRDefault="0025180D" w:rsidP="0025180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D.注册会计师应当评价所有关联方交易的商业理由</w:t>
      </w:r>
    </w:p>
    <w:p w14:paraId="34D32A2F" w14:textId="77777777" w:rsidR="0025180D" w:rsidRDefault="0025180D" w:rsidP="0025180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[答案]C</w:t>
      </w:r>
    </w:p>
    <w:p w14:paraId="240611C9" w14:textId="77777777" w:rsidR="0025180D" w:rsidRDefault="0025180D" w:rsidP="0025180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选项A中，注册会计师需要了解、识别和评估关联方和关联方关系，进而确定关联方交易和余额是否存在重大错报风险；选项B中，注册会计师应当了解和评价与关联方关系和交易相关的内部控制；选项C中，注册会计师应当将识别出的、超出被审计单位正常经营过程的重大关联方交易导致的风险确定为特别风险；选项D中，针对超出正常经营过程的重大交易的性质所进行的询问，通常涉及了解交易的商业理由、交易条款和条件，而非“所有”。</w:t>
      </w:r>
    </w:p>
    <w:p w14:paraId="17E51527" w14:textId="77777777" w:rsidR="0025180D" w:rsidRDefault="0025180D" w:rsidP="0025180D">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4A69376F" w14:textId="77777777" w:rsidR="0025180D" w:rsidRDefault="0025180D" w:rsidP="0025180D">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"http://webupload.admin.dongao.com/biz/handout/img/2019/20190624/20190624173403134007.png"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31" type="#_x0000_t75" style="width:420pt;height:225.75pt">
            <v:imagedata r:id="rId19" r:href="rId20"/>
          </v:shape>
        </w:pict>
      </w:r>
      <w:r>
        <w:rPr>
          <w:rFonts w:ascii="Calibri" w:eastAsia="微软雅黑" w:hAnsi="Calibri" w:cs="Calibri"/>
          <w:color w:val="3F3F3F"/>
          <w:sz w:val="21"/>
          <w:szCs w:val="21"/>
        </w:rPr>
        <w:fldChar w:fldCharType="end"/>
      </w:r>
    </w:p>
    <w:p w14:paraId="418074FE" w14:textId="77777777" w:rsidR="0025180D" w:rsidRDefault="0025180D" w:rsidP="0025180D">
      <w:pPr>
        <w:shd w:val="clear" w:color="auto" w:fill="FFFFFF"/>
        <w:rPr>
          <w:rFonts w:ascii="微软雅黑" w:eastAsia="微软雅黑" w:hAnsi="微软雅黑" w:cs="宋体"/>
          <w:color w:val="3F3F3F"/>
          <w:szCs w:val="21"/>
        </w:rPr>
      </w:pPr>
    </w:p>
    <w:p w14:paraId="7814FBAD" w14:textId="77777777" w:rsidR="00271D8C" w:rsidRPr="0025180D" w:rsidRDefault="00271D8C" w:rsidP="0025180D">
      <w:pPr>
        <w:rPr>
          <w:rFonts w:hint="eastAsia"/>
        </w:rPr>
      </w:pPr>
    </w:p>
    <w:sectPr w:rsidR="00271D8C" w:rsidRPr="0025180D" w:rsidSect="001F62DD">
      <w:headerReference w:type="default" r:id="rId21"/>
      <w:footerReference w:type="default" r:id="rId22"/>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A906F1" w14:textId="77777777" w:rsidR="00863F52" w:rsidRDefault="00863F52" w:rsidP="00CD53C5">
      <w:r>
        <w:separator/>
      </w:r>
    </w:p>
  </w:endnote>
  <w:endnote w:type="continuationSeparator" w:id="0">
    <w:p w14:paraId="33BB8798" w14:textId="77777777" w:rsidR="00863F52" w:rsidRDefault="00863F52"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620F0519" w14:textId="77777777" w:rsidTr="007B0BFD">
      <w:trPr>
        <w:trHeight w:val="274"/>
      </w:trPr>
      <w:tc>
        <w:tcPr>
          <w:tcW w:w="2050" w:type="dxa"/>
          <w:shd w:val="clear" w:color="auto" w:fill="auto"/>
          <w:vAlign w:val="center"/>
        </w:tcPr>
        <w:p w14:paraId="7D1D21B8"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32" type="#_x0000_t75" style="width:90.75pt;height:26.25pt;visibility:visible">
                <v:imagedata r:id="rId1" o:title=""/>
              </v:shape>
            </w:pict>
          </w:r>
        </w:p>
      </w:tc>
      <w:tc>
        <w:tcPr>
          <w:tcW w:w="3742" w:type="dxa"/>
          <w:shd w:val="clear" w:color="auto" w:fill="auto"/>
          <w:vAlign w:val="center"/>
        </w:tcPr>
        <w:p w14:paraId="61A3888D"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59BA7B0A"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75438172"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082005" w14:textId="77777777" w:rsidR="00863F52" w:rsidRDefault="00863F52" w:rsidP="00CD53C5">
      <w:r>
        <w:separator/>
      </w:r>
    </w:p>
  </w:footnote>
  <w:footnote w:type="continuationSeparator" w:id="0">
    <w:p w14:paraId="742F1848" w14:textId="77777777" w:rsidR="00863F52" w:rsidRDefault="00863F52"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360550A6" w14:textId="77777777" w:rsidTr="007B0BFD">
      <w:trPr>
        <w:trHeight w:val="501"/>
      </w:trPr>
      <w:tc>
        <w:tcPr>
          <w:tcW w:w="4272" w:type="dxa"/>
          <w:shd w:val="clear" w:color="auto" w:fill="auto"/>
          <w:vAlign w:val="center"/>
        </w:tcPr>
        <w:p w14:paraId="0830CB42" w14:textId="77777777" w:rsidR="001545C6" w:rsidRPr="001F62DD" w:rsidRDefault="0025180D"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52F25720" w14:textId="77777777" w:rsidR="001545C6" w:rsidRPr="004D61E7" w:rsidRDefault="0025180D"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第十七章</w:t>
          </w:r>
          <w:r>
            <w:rPr>
              <w:rFonts w:ascii="微软雅黑" w:eastAsia="微软雅黑" w:hAnsi="微软雅黑"/>
              <w:sz w:val="24"/>
              <w:szCs w:val="24"/>
            </w:rPr>
            <w:t>+其他特殊项目的审计</w:t>
          </w:r>
        </w:p>
      </w:tc>
    </w:tr>
  </w:tbl>
  <w:p w14:paraId="04F3CAF9"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180D"/>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459B6"/>
    <w:rsid w:val="00777971"/>
    <w:rsid w:val="007A0F56"/>
    <w:rsid w:val="007A684A"/>
    <w:rsid w:val="007B0BFD"/>
    <w:rsid w:val="007B5B2A"/>
    <w:rsid w:val="007E2E24"/>
    <w:rsid w:val="00831407"/>
    <w:rsid w:val="00863F52"/>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8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0C3E63B"/>
  <w15:docId w15:val="{9B478077-55E5-40FA-A930-1DDC4F29C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184684268">
      <w:bodyDiv w:val="1"/>
      <w:marLeft w:val="0"/>
      <w:marRight w:val="0"/>
      <w:marTop w:val="0"/>
      <w:marBottom w:val="0"/>
      <w:divBdr>
        <w:top w:val="none" w:sz="0" w:space="0" w:color="auto"/>
        <w:left w:val="none" w:sz="0" w:space="0" w:color="auto"/>
        <w:bottom w:val="none" w:sz="0" w:space="0" w:color="auto"/>
        <w:right w:val="none" w:sz="0" w:space="0" w:color="auto"/>
      </w:divBdr>
      <w:divsChild>
        <w:div w:id="2033265624">
          <w:marLeft w:val="0"/>
          <w:marRight w:val="0"/>
          <w:marTop w:val="0"/>
          <w:marBottom w:val="0"/>
          <w:divBdr>
            <w:top w:val="none" w:sz="0" w:space="0" w:color="auto"/>
            <w:left w:val="none" w:sz="0" w:space="0" w:color="auto"/>
            <w:bottom w:val="none" w:sz="0" w:space="0" w:color="auto"/>
            <w:right w:val="none" w:sz="0" w:space="0" w:color="auto"/>
          </w:divBdr>
          <w:divsChild>
            <w:div w:id="301034592">
              <w:marLeft w:val="0"/>
              <w:marRight w:val="0"/>
              <w:marTop w:val="0"/>
              <w:marBottom w:val="0"/>
              <w:divBdr>
                <w:top w:val="none" w:sz="0" w:space="0" w:color="auto"/>
                <w:left w:val="none" w:sz="0" w:space="0" w:color="auto"/>
                <w:bottom w:val="none" w:sz="0" w:space="0" w:color="auto"/>
                <w:right w:val="none" w:sz="0" w:space="0" w:color="auto"/>
              </w:divBdr>
            </w:div>
            <w:div w:id="433399480">
              <w:marLeft w:val="0"/>
              <w:marRight w:val="0"/>
              <w:marTop w:val="0"/>
              <w:marBottom w:val="0"/>
              <w:divBdr>
                <w:top w:val="none" w:sz="0" w:space="0" w:color="auto"/>
                <w:left w:val="none" w:sz="0" w:space="0" w:color="auto"/>
                <w:bottom w:val="none" w:sz="0" w:space="0" w:color="auto"/>
                <w:right w:val="none" w:sz="0" w:space="0" w:color="auto"/>
              </w:divBdr>
            </w:div>
            <w:div w:id="1016930556">
              <w:marLeft w:val="0"/>
              <w:marRight w:val="0"/>
              <w:marTop w:val="0"/>
              <w:marBottom w:val="0"/>
              <w:divBdr>
                <w:top w:val="none" w:sz="0" w:space="0" w:color="auto"/>
                <w:left w:val="none" w:sz="0" w:space="0" w:color="auto"/>
                <w:bottom w:val="none" w:sz="0" w:space="0" w:color="auto"/>
                <w:right w:val="none" w:sz="0" w:space="0" w:color="auto"/>
              </w:divBdr>
            </w:div>
            <w:div w:id="1046683332">
              <w:marLeft w:val="0"/>
              <w:marRight w:val="0"/>
              <w:marTop w:val="0"/>
              <w:marBottom w:val="0"/>
              <w:divBdr>
                <w:top w:val="none" w:sz="0" w:space="0" w:color="auto"/>
                <w:left w:val="none" w:sz="0" w:space="0" w:color="auto"/>
                <w:bottom w:val="none" w:sz="0" w:space="0" w:color="auto"/>
                <w:right w:val="none" w:sz="0" w:space="0" w:color="auto"/>
              </w:divBdr>
            </w:div>
            <w:div w:id="1149980520">
              <w:marLeft w:val="0"/>
              <w:marRight w:val="0"/>
              <w:marTop w:val="0"/>
              <w:marBottom w:val="0"/>
              <w:divBdr>
                <w:top w:val="none" w:sz="0" w:space="0" w:color="auto"/>
                <w:left w:val="none" w:sz="0" w:space="0" w:color="auto"/>
                <w:bottom w:val="none" w:sz="0" w:space="0" w:color="auto"/>
                <w:right w:val="none" w:sz="0" w:space="0" w:color="auto"/>
              </w:divBdr>
            </w:div>
            <w:div w:id="1171797324">
              <w:marLeft w:val="0"/>
              <w:marRight w:val="0"/>
              <w:marTop w:val="0"/>
              <w:marBottom w:val="0"/>
              <w:divBdr>
                <w:top w:val="none" w:sz="0" w:space="0" w:color="auto"/>
                <w:left w:val="none" w:sz="0" w:space="0" w:color="auto"/>
                <w:bottom w:val="none" w:sz="0" w:space="0" w:color="auto"/>
                <w:right w:val="none" w:sz="0" w:space="0" w:color="auto"/>
              </w:divBdr>
            </w:div>
            <w:div w:id="1464617684">
              <w:marLeft w:val="0"/>
              <w:marRight w:val="0"/>
              <w:marTop w:val="0"/>
              <w:marBottom w:val="0"/>
              <w:divBdr>
                <w:top w:val="none" w:sz="0" w:space="0" w:color="auto"/>
                <w:left w:val="none" w:sz="0" w:space="0" w:color="auto"/>
                <w:bottom w:val="none" w:sz="0" w:space="0" w:color="auto"/>
                <w:right w:val="none" w:sz="0" w:space="0" w:color="auto"/>
              </w:divBdr>
            </w:div>
            <w:div w:id="1526941726">
              <w:marLeft w:val="0"/>
              <w:marRight w:val="0"/>
              <w:marTop w:val="0"/>
              <w:marBottom w:val="0"/>
              <w:divBdr>
                <w:top w:val="none" w:sz="0" w:space="0" w:color="auto"/>
                <w:left w:val="none" w:sz="0" w:space="0" w:color="auto"/>
                <w:bottom w:val="none" w:sz="0" w:space="0" w:color="auto"/>
                <w:right w:val="none" w:sz="0" w:space="0" w:color="auto"/>
              </w:divBdr>
            </w:div>
            <w:div w:id="1560743245">
              <w:marLeft w:val="0"/>
              <w:marRight w:val="0"/>
              <w:marTop w:val="0"/>
              <w:marBottom w:val="0"/>
              <w:divBdr>
                <w:top w:val="none" w:sz="0" w:space="0" w:color="auto"/>
                <w:left w:val="none" w:sz="0" w:space="0" w:color="auto"/>
                <w:bottom w:val="none" w:sz="0" w:space="0" w:color="auto"/>
                <w:right w:val="none" w:sz="0" w:space="0" w:color="auto"/>
              </w:divBdr>
            </w:div>
            <w:div w:id="1623878784">
              <w:marLeft w:val="0"/>
              <w:marRight w:val="0"/>
              <w:marTop w:val="0"/>
              <w:marBottom w:val="0"/>
              <w:divBdr>
                <w:top w:val="none" w:sz="0" w:space="0" w:color="auto"/>
                <w:left w:val="none" w:sz="0" w:space="0" w:color="auto"/>
                <w:bottom w:val="none" w:sz="0" w:space="0" w:color="auto"/>
                <w:right w:val="none" w:sz="0" w:space="0" w:color="auto"/>
              </w:divBdr>
            </w:div>
            <w:div w:id="1685353556">
              <w:marLeft w:val="0"/>
              <w:marRight w:val="0"/>
              <w:marTop w:val="0"/>
              <w:marBottom w:val="0"/>
              <w:divBdr>
                <w:top w:val="none" w:sz="0" w:space="0" w:color="auto"/>
                <w:left w:val="none" w:sz="0" w:space="0" w:color="auto"/>
                <w:bottom w:val="none" w:sz="0" w:space="0" w:color="auto"/>
                <w:right w:val="none" w:sz="0" w:space="0" w:color="auto"/>
              </w:divBdr>
            </w:div>
            <w:div w:id="19293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443810632">
      <w:bodyDiv w:val="1"/>
      <w:marLeft w:val="0"/>
      <w:marRight w:val="0"/>
      <w:marTop w:val="0"/>
      <w:marBottom w:val="0"/>
      <w:divBdr>
        <w:top w:val="none" w:sz="0" w:space="0" w:color="auto"/>
        <w:left w:val="none" w:sz="0" w:space="0" w:color="auto"/>
        <w:bottom w:val="none" w:sz="0" w:space="0" w:color="auto"/>
        <w:right w:val="none" w:sz="0" w:space="0" w:color="auto"/>
      </w:divBdr>
      <w:divsChild>
        <w:div w:id="255402621">
          <w:marLeft w:val="0"/>
          <w:marRight w:val="0"/>
          <w:marTop w:val="0"/>
          <w:marBottom w:val="0"/>
          <w:divBdr>
            <w:top w:val="none" w:sz="0" w:space="0" w:color="auto"/>
            <w:left w:val="none" w:sz="0" w:space="0" w:color="auto"/>
            <w:bottom w:val="none" w:sz="0" w:space="0" w:color="auto"/>
            <w:right w:val="none" w:sz="0" w:space="0" w:color="auto"/>
          </w:divBdr>
          <w:divsChild>
            <w:div w:id="15834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332179712">
      <w:bodyDiv w:val="1"/>
      <w:marLeft w:val="0"/>
      <w:marRight w:val="0"/>
      <w:marTop w:val="0"/>
      <w:marBottom w:val="0"/>
      <w:divBdr>
        <w:top w:val="none" w:sz="0" w:space="0" w:color="auto"/>
        <w:left w:val="none" w:sz="0" w:space="0" w:color="auto"/>
        <w:bottom w:val="none" w:sz="0" w:space="0" w:color="auto"/>
        <w:right w:val="none" w:sz="0" w:space="0" w:color="auto"/>
      </w:divBdr>
      <w:divsChild>
        <w:div w:id="894125196">
          <w:marLeft w:val="0"/>
          <w:marRight w:val="0"/>
          <w:marTop w:val="0"/>
          <w:marBottom w:val="0"/>
          <w:divBdr>
            <w:top w:val="none" w:sz="0" w:space="0" w:color="auto"/>
            <w:left w:val="none" w:sz="0" w:space="0" w:color="auto"/>
            <w:bottom w:val="none" w:sz="0" w:space="0" w:color="auto"/>
            <w:right w:val="none" w:sz="0" w:space="0" w:color="auto"/>
          </w:divBdr>
          <w:divsChild>
            <w:div w:id="460923875">
              <w:marLeft w:val="0"/>
              <w:marRight w:val="0"/>
              <w:marTop w:val="0"/>
              <w:marBottom w:val="0"/>
              <w:divBdr>
                <w:top w:val="none" w:sz="0" w:space="0" w:color="auto"/>
                <w:left w:val="none" w:sz="0" w:space="0" w:color="auto"/>
                <w:bottom w:val="none" w:sz="0" w:space="0" w:color="auto"/>
                <w:right w:val="none" w:sz="0" w:space="0" w:color="auto"/>
              </w:divBdr>
            </w:div>
            <w:div w:id="1387994078">
              <w:marLeft w:val="0"/>
              <w:marRight w:val="0"/>
              <w:marTop w:val="0"/>
              <w:marBottom w:val="0"/>
              <w:divBdr>
                <w:top w:val="none" w:sz="0" w:space="0" w:color="auto"/>
                <w:left w:val="none" w:sz="0" w:space="0" w:color="auto"/>
                <w:bottom w:val="none" w:sz="0" w:space="0" w:color="auto"/>
                <w:right w:val="none" w:sz="0" w:space="0" w:color="auto"/>
              </w:divBdr>
            </w:div>
            <w:div w:id="1580410286">
              <w:marLeft w:val="0"/>
              <w:marRight w:val="0"/>
              <w:marTop w:val="0"/>
              <w:marBottom w:val="0"/>
              <w:divBdr>
                <w:top w:val="none" w:sz="0" w:space="0" w:color="auto"/>
                <w:left w:val="none" w:sz="0" w:space="0" w:color="auto"/>
                <w:bottom w:val="none" w:sz="0" w:space="0" w:color="auto"/>
                <w:right w:val="none" w:sz="0" w:space="0" w:color="auto"/>
              </w:divBdr>
            </w:div>
            <w:div w:id="18742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624/20190624173402153001.png" TargetMode="External"/><Relationship Id="rId13" Type="http://schemas.openxmlformats.org/officeDocument/2006/relationships/image" Target="media/image4.png"/><Relationship Id="rId18" Type="http://schemas.openxmlformats.org/officeDocument/2006/relationships/image" Target="http://webupload.admin.dongao.com/biz/handout/img/2019/20190624/20190624173403108006.png"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http://webupload.admin.dongao.com/biz/handout/img/2019/20190624/20190624173403932003.pn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http://webupload.admin.dongao.com/biz/handout/img/2019/20190624/20190624173403565005.png" TargetMode="External"/><Relationship Id="rId20" Type="http://schemas.openxmlformats.org/officeDocument/2006/relationships/image" Target="http://webupload.admin.dongao.com/biz/handout/img/2019/20190624/20190624173403134007.png"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http://webupload.admin.dongao.com/biz/handout/img/2019/20190624/20190624173403736002.png"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webupload.admin.dongao.com/biz/handout/img/2019/20190624/20190624173403358004.png"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34D5A-6164-42F4-A998-7CBD05D0D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568</Words>
  <Characters>3242</Characters>
  <Application>Microsoft Office Word</Application>
  <DocSecurity>0</DocSecurity>
  <Lines>27</Lines>
  <Paragraphs>7</Paragraphs>
  <ScaleCrop>false</ScaleCrop>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