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60200" w14:textId="77777777" w:rsidR="00581ECA" w:rsidRDefault="00581ECA" w:rsidP="00581ECA">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第十七章</w:t>
      </w:r>
      <w:r>
        <w:rPr>
          <w:rFonts w:cs="Calibri" w:hint="eastAsia"/>
          <w:b/>
          <w:bCs/>
          <w:color w:val="3F3F3F"/>
          <w:sz w:val="52"/>
          <w:szCs w:val="52"/>
        </w:rPr>
        <w:t>•</w:t>
      </w:r>
      <w:r>
        <w:rPr>
          <w:rFonts w:ascii="楷体" w:eastAsia="楷体" w:hAnsi="楷体" w:cs="Calibri" w:hint="eastAsia"/>
          <w:b/>
          <w:bCs/>
          <w:color w:val="3F3F3F"/>
          <w:sz w:val="52"/>
          <w:szCs w:val="52"/>
        </w:rPr>
        <w:t>其他特殊项目的审计</w:t>
      </w:r>
    </w:p>
    <w:p w14:paraId="6F07A0CD" w14:textId="77777777" w:rsidR="00581ECA" w:rsidRDefault="00581ECA" w:rsidP="00581ECA">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2B0BA68" w14:textId="77777777" w:rsidR="00581ECA" w:rsidRDefault="00581ECA" w:rsidP="00581E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"http://webupload.admin.dongao.com/biz/handout/img/2019/20190628/20190628162326841001.png"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58.75pt">
            <v:imagedata r:id="rId7" r:href="rId8"/>
          </v:shape>
        </w:pict>
      </w:r>
      <w:r>
        <w:rPr>
          <w:rFonts w:cs="Calibri"/>
          <w:color w:val="3F3F3F"/>
          <w:sz w:val="21"/>
          <w:szCs w:val="21"/>
        </w:rPr>
        <w:fldChar w:fldCharType="end"/>
      </w:r>
    </w:p>
    <w:p w14:paraId="20EBEAD8" w14:textId="77777777" w:rsidR="00581ECA" w:rsidRDefault="00581ECA" w:rsidP="00581ECA">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考虑持续经营假设</w:t>
      </w:r>
    </w:p>
    <w:p w14:paraId="159D29C0"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一、对持续经营假设的责任</w:t>
      </w:r>
      <w:r>
        <w:rPr>
          <w:rFonts w:cs="Calibri" w:hint="eastAsia"/>
          <w:b/>
          <w:bCs/>
          <w:color w:val="FF0000"/>
          <w:sz w:val="21"/>
          <w:szCs w:val="21"/>
        </w:rPr>
        <w:t>（※※）</w:t>
      </w:r>
    </w:p>
    <w:p w14:paraId="495776F4"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二、风险评估程序和相关活动</w:t>
      </w:r>
      <w:r>
        <w:rPr>
          <w:rFonts w:cs="Calibri" w:hint="eastAsia"/>
          <w:b/>
          <w:bCs/>
          <w:color w:val="FF0000"/>
          <w:sz w:val="21"/>
          <w:szCs w:val="21"/>
        </w:rPr>
        <w:t>（※※）</w:t>
      </w:r>
    </w:p>
    <w:p w14:paraId="3B7B3E11"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三、应对评估的重大错报风险</w:t>
      </w:r>
      <w:r>
        <w:rPr>
          <w:rFonts w:cs="Calibri" w:hint="eastAsia"/>
          <w:b/>
          <w:bCs/>
          <w:color w:val="FF0000"/>
          <w:sz w:val="21"/>
          <w:szCs w:val="21"/>
        </w:rPr>
        <w:t>（※※）</w:t>
      </w:r>
    </w:p>
    <w:p w14:paraId="0208DA56"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四、审计结论与报告</w:t>
      </w:r>
      <w:r>
        <w:rPr>
          <w:rFonts w:cs="Calibri" w:hint="eastAsia"/>
          <w:b/>
          <w:bCs/>
          <w:color w:val="FF0000"/>
          <w:sz w:val="21"/>
          <w:szCs w:val="21"/>
        </w:rPr>
        <w:t>（※※※）</w:t>
      </w:r>
    </w:p>
    <w:p w14:paraId="28ACC5A6" w14:textId="77777777" w:rsidR="00581ECA" w:rsidRDefault="00581ECA" w:rsidP="00581E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"http://webupload.admin.dongao.com/biz/handout/img/2019/20190628/20190628162326981002.png"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62.25pt">
            <v:imagedata r:id="rId9" r:href="rId10"/>
          </v:shape>
        </w:pict>
      </w:r>
      <w:r>
        <w:rPr>
          <w:rFonts w:cs="Calibri"/>
          <w:color w:val="3F3F3F"/>
          <w:sz w:val="21"/>
          <w:szCs w:val="21"/>
        </w:rPr>
        <w:fldChar w:fldCharType="end"/>
      </w:r>
    </w:p>
    <w:p w14:paraId="072731D3"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一、对持续经营假设的责任</w:t>
      </w:r>
    </w:p>
    <w:p w14:paraId="05AF1ED5"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1.持续经营假设的定义</w:t>
      </w:r>
      <w:r>
        <w:rPr>
          <w:rFonts w:cs="Calibri" w:hint="eastAsia"/>
          <w:b/>
          <w:bCs/>
          <w:color w:val="FF0000"/>
          <w:sz w:val="21"/>
          <w:szCs w:val="21"/>
        </w:rPr>
        <w:t>[了解]</w:t>
      </w:r>
    </w:p>
    <w:p w14:paraId="2A3E872E"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指被审计单位在编制财务报表时，假设其经营活动在可预见的将来会继续下去，不拟也不必终止经营或破产清算，可以在正常的经营过程中变现资产、清偿债务。</w:t>
      </w:r>
    </w:p>
    <w:p w14:paraId="3BD4B339"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2.管理层的责任</w:t>
      </w:r>
    </w:p>
    <w:p w14:paraId="69EC5E6E"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管理层</w:t>
      </w:r>
      <w:r>
        <w:rPr>
          <w:rFonts w:cs="Calibri" w:hint="eastAsia"/>
          <w:b/>
          <w:bCs/>
          <w:color w:val="FF0000"/>
          <w:sz w:val="21"/>
          <w:szCs w:val="21"/>
        </w:rPr>
        <w:t>需要</w:t>
      </w:r>
      <w:r>
        <w:rPr>
          <w:rFonts w:cs="Calibri" w:hint="eastAsia"/>
          <w:color w:val="3F3F3F"/>
          <w:sz w:val="21"/>
          <w:szCs w:val="21"/>
        </w:rPr>
        <w:t>在编制财务报表时评估持续经营能力，无论财务报告编制基础是否对此作出明确要求。</w:t>
      </w:r>
    </w:p>
    <w:p w14:paraId="2BEFA22A"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3.注册会计师的责任</w:t>
      </w:r>
      <w:r>
        <w:rPr>
          <w:rFonts w:cs="Calibri" w:hint="eastAsia"/>
          <w:b/>
          <w:bCs/>
          <w:color w:val="FF0000"/>
          <w:sz w:val="21"/>
          <w:szCs w:val="21"/>
        </w:rPr>
        <w:t>【单选题考点】</w:t>
      </w:r>
    </w:p>
    <w:p w14:paraId="232CF6EF" w14:textId="77777777" w:rsidR="00581ECA" w:rsidRDefault="00581ECA" w:rsidP="00581E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（1）注册会计师的责任是就管理层在编制和列报财务报表时运用持续经营假设的</w:t>
      </w:r>
      <w:r>
        <w:rPr>
          <w:rFonts w:cs="Calibri" w:hint="eastAsia"/>
          <w:b/>
          <w:bCs/>
          <w:color w:val="FF0000"/>
          <w:sz w:val="21"/>
          <w:szCs w:val="21"/>
        </w:rPr>
        <w:t>适当性</w:t>
      </w:r>
      <w:r>
        <w:rPr>
          <w:rFonts w:cs="Calibri" w:hint="eastAsia"/>
          <w:color w:val="3F3F3F"/>
          <w:sz w:val="21"/>
          <w:szCs w:val="21"/>
        </w:rPr>
        <w:t>获取</w:t>
      </w:r>
      <w:r>
        <w:rPr>
          <w:rFonts w:cs="Calibri" w:hint="eastAsia"/>
          <w:b/>
          <w:bCs/>
          <w:color w:val="FF0000"/>
          <w:sz w:val="21"/>
          <w:szCs w:val="21"/>
        </w:rPr>
        <w:t>充分、适当</w:t>
      </w:r>
      <w:r>
        <w:rPr>
          <w:rFonts w:cs="Calibri" w:hint="eastAsia"/>
          <w:color w:val="3F3F3F"/>
          <w:sz w:val="21"/>
          <w:szCs w:val="21"/>
        </w:rPr>
        <w:t>的审计证据，并就持续经营能力是否存在</w:t>
      </w:r>
      <w:r>
        <w:rPr>
          <w:rFonts w:cs="Calibri" w:hint="eastAsia"/>
          <w:b/>
          <w:bCs/>
          <w:color w:val="FF0000"/>
          <w:sz w:val="21"/>
          <w:szCs w:val="21"/>
        </w:rPr>
        <w:t>重大不确定性</w:t>
      </w:r>
      <w:r>
        <w:rPr>
          <w:rFonts w:cs="Calibri" w:hint="eastAsia"/>
          <w:color w:val="3F3F3F"/>
          <w:sz w:val="21"/>
          <w:szCs w:val="21"/>
        </w:rPr>
        <w:t>得出结论。</w:t>
      </w:r>
    </w:p>
    <w:p w14:paraId="0F09E1DB" w14:textId="77777777" w:rsidR="00581ECA" w:rsidRDefault="00581ECA" w:rsidP="00581E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（2）即使财务报告编制基础</w:t>
      </w:r>
      <w:r>
        <w:rPr>
          <w:rFonts w:cs="Calibri" w:hint="eastAsia"/>
          <w:b/>
          <w:bCs/>
          <w:color w:val="FF0000"/>
          <w:sz w:val="21"/>
          <w:szCs w:val="21"/>
        </w:rPr>
        <w:t>没有</w:t>
      </w:r>
      <w:r>
        <w:rPr>
          <w:rFonts w:cs="Calibri" w:hint="eastAsia"/>
          <w:color w:val="3F3F3F"/>
          <w:sz w:val="21"/>
          <w:szCs w:val="21"/>
        </w:rPr>
        <w:t>明确要求管理层作出专门评估，注册会计师</w:t>
      </w:r>
      <w:r>
        <w:rPr>
          <w:rFonts w:cs="Calibri" w:hint="eastAsia"/>
          <w:b/>
          <w:bCs/>
          <w:color w:val="FF0000"/>
          <w:sz w:val="21"/>
          <w:szCs w:val="21"/>
        </w:rPr>
        <w:t>仍然存在这种责任</w:t>
      </w:r>
      <w:r>
        <w:rPr>
          <w:rFonts w:cs="Calibri" w:hint="eastAsia"/>
          <w:color w:val="3F3F3F"/>
          <w:sz w:val="21"/>
          <w:szCs w:val="21"/>
        </w:rPr>
        <w:t>。</w:t>
      </w:r>
    </w:p>
    <w:p w14:paraId="092A366D" w14:textId="77777777" w:rsidR="00581ECA" w:rsidRDefault="00581ECA" w:rsidP="00581E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（3）注册会计师</w:t>
      </w:r>
      <w:r>
        <w:rPr>
          <w:rFonts w:cs="Calibri" w:hint="eastAsia"/>
          <w:b/>
          <w:bCs/>
          <w:color w:val="FF0000"/>
          <w:sz w:val="21"/>
          <w:szCs w:val="21"/>
        </w:rPr>
        <w:t>未在</w:t>
      </w:r>
      <w:r>
        <w:rPr>
          <w:rFonts w:cs="Calibri" w:hint="eastAsia"/>
          <w:color w:val="3F3F3F"/>
          <w:sz w:val="21"/>
          <w:szCs w:val="21"/>
        </w:rPr>
        <w:t>审计报告中提及持续经营能力的不确定性，</w:t>
      </w:r>
      <w:r>
        <w:rPr>
          <w:rFonts w:cs="Calibri" w:hint="eastAsia"/>
          <w:b/>
          <w:bCs/>
          <w:color w:val="FF0000"/>
          <w:sz w:val="21"/>
          <w:szCs w:val="21"/>
        </w:rPr>
        <w:t>不能被视为</w:t>
      </w:r>
      <w:r>
        <w:rPr>
          <w:rFonts w:cs="Calibri" w:hint="eastAsia"/>
          <w:color w:val="3F3F3F"/>
          <w:sz w:val="21"/>
          <w:szCs w:val="21"/>
        </w:rPr>
        <w:t>对被审计单位持续经营能力的保证。</w:t>
      </w:r>
    </w:p>
    <w:p w14:paraId="337698FD"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lastRenderedPageBreak/>
        <w:t>真题和模拟题精讲</w:t>
      </w:r>
    </w:p>
    <w:p w14:paraId="67D7EDE3"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单项选择题【2014年真题】</w:t>
      </w:r>
    </w:p>
    <w:p w14:paraId="61CDFE58"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下列有关注册会计师对持续经营假设的审计责任的说法中，错误的是（　　） 。</w:t>
      </w:r>
    </w:p>
    <w:p w14:paraId="36A370DA"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A.注册会计师有责任就管理层在编制和列报财务报表时运用持续经营假设的适当性获取充分、适当的审计证据</w:t>
      </w:r>
    </w:p>
    <w:p w14:paraId="372D30D7"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B.如果适用的财务报告编制基础不要求管理层对持续经营能力作出专门评估，注册会计师没有责任对被审计单位的持续经营能力是否存在重大不确定性作出评估</w:t>
      </w:r>
    </w:p>
    <w:p w14:paraId="5BB7732F"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C.除询问管理层外，注册会计师没有责任实施其他审计程序，以识别超出管理层评估期间并可能导致对被审计单位持续经营能力产生重大疑虑的事项或情况</w:t>
      </w:r>
    </w:p>
    <w:p w14:paraId="27CAAC11"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D.注册会计师未在审计报告中提及持续经营能力的不确定性，不能被视为对被审计单位持续经营能力的保证</w:t>
      </w:r>
    </w:p>
    <w:p w14:paraId="2537C16C"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67041D61"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在执行财务报表审计业务时，注册会计师的责任是就管理层在编制和列报财务报表时运用持续经营假设的适当性获取充分、适当的审计证据，并就持续经营能力是否存在重大不确定性得出结论。即使编制财务报表时采用的财务报告编制基础没有明确要求管理层对持续经营能力作出专门评估，注册会计师的这种责任</w:t>
      </w:r>
      <w:r>
        <w:rPr>
          <w:rFonts w:cs="Calibri" w:hint="eastAsia"/>
          <w:b/>
          <w:bCs/>
          <w:color w:val="FF0000"/>
          <w:sz w:val="21"/>
          <w:szCs w:val="21"/>
        </w:rPr>
        <w:t>仍然存在</w:t>
      </w:r>
      <w:r>
        <w:rPr>
          <w:rFonts w:cs="Calibri" w:hint="eastAsia"/>
          <w:color w:val="3F3F3F"/>
          <w:sz w:val="21"/>
          <w:szCs w:val="21"/>
        </w:rPr>
        <w:t>。</w:t>
      </w:r>
    </w:p>
    <w:p w14:paraId="23E80794"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二、风险评估程序和相关活动</w:t>
      </w:r>
    </w:p>
    <w:p w14:paraId="17777D7A" w14:textId="77777777" w:rsidR="00581ECA" w:rsidRDefault="00581ECA" w:rsidP="00581E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（一）评价重大疑虑</w:t>
      </w:r>
    </w:p>
    <w:tbl>
      <w:tblPr>
        <w:tblW w:w="8505" w:type="dxa"/>
        <w:jc w:val="center"/>
        <w:tblCellMar>
          <w:left w:w="0" w:type="dxa"/>
          <w:right w:w="0" w:type="dxa"/>
        </w:tblCellMar>
        <w:tblLook w:val="04A0" w:firstRow="1" w:lastRow="0" w:firstColumn="1" w:lastColumn="0" w:noHBand="0" w:noVBand="1"/>
      </w:tblPr>
      <w:tblGrid>
        <w:gridCol w:w="1431"/>
        <w:gridCol w:w="7074"/>
      </w:tblGrid>
      <w:tr w:rsidR="00581ECA" w14:paraId="2DBCD773" w14:textId="77777777" w:rsidTr="00581ECA">
        <w:trPr>
          <w:trHeight w:val="60"/>
          <w:jc w:val="center"/>
        </w:trPr>
        <w:tc>
          <w:tcPr>
            <w:tcW w:w="14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157A73"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评价角度</w:t>
            </w:r>
          </w:p>
        </w:tc>
        <w:tc>
          <w:tcPr>
            <w:tcW w:w="70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9077267"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r>
              <w:rPr>
                <w:rFonts w:cs="Calibri" w:hint="eastAsia"/>
                <w:b/>
                <w:bCs/>
                <w:color w:val="FF0000"/>
                <w:sz w:val="21"/>
                <w:szCs w:val="21"/>
              </w:rPr>
              <w:t>[眼熟]</w:t>
            </w:r>
          </w:p>
        </w:tc>
      </w:tr>
      <w:tr w:rsidR="00581ECA" w14:paraId="68ADEFAD" w14:textId="77777777" w:rsidTr="00581ECA">
        <w:trPr>
          <w:trHeight w:val="2789"/>
          <w:jc w:val="center"/>
        </w:trPr>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A21E56"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1.财务方面</w:t>
            </w:r>
          </w:p>
        </w:tc>
        <w:tc>
          <w:tcPr>
            <w:tcW w:w="7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728EA1"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净资产</w:t>
            </w:r>
            <w:r>
              <w:rPr>
                <w:rFonts w:cs="Calibri" w:hint="eastAsia"/>
                <w:color w:val="333333"/>
                <w:sz w:val="21"/>
                <w:szCs w:val="21"/>
              </w:rPr>
              <w:t>为负或</w:t>
            </w:r>
            <w:r>
              <w:rPr>
                <w:rFonts w:cs="Calibri" w:hint="eastAsia"/>
                <w:b/>
                <w:bCs/>
                <w:color w:val="FF0000"/>
                <w:sz w:val="21"/>
                <w:szCs w:val="21"/>
              </w:rPr>
              <w:t>营运资金</w:t>
            </w:r>
            <w:r>
              <w:rPr>
                <w:rFonts w:cs="Calibri" w:hint="eastAsia"/>
                <w:color w:val="333333"/>
                <w:sz w:val="21"/>
                <w:szCs w:val="21"/>
              </w:rPr>
              <w:t>出现负数</w:t>
            </w:r>
            <w:r>
              <w:rPr>
                <w:rFonts w:cs="Calibri" w:hint="eastAsia"/>
                <w:b/>
                <w:bCs/>
                <w:color w:val="FF0000"/>
                <w:sz w:val="21"/>
                <w:szCs w:val="21"/>
              </w:rPr>
              <w:t>[易考点]</w:t>
            </w:r>
          </w:p>
          <w:p w14:paraId="13D6719C"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（2）定期借款即将到期，预期</w:t>
            </w:r>
            <w:r>
              <w:rPr>
                <w:rFonts w:cs="Calibri" w:hint="eastAsia"/>
                <w:b/>
                <w:bCs/>
                <w:color w:val="FF0000"/>
                <w:sz w:val="21"/>
                <w:szCs w:val="21"/>
              </w:rPr>
              <w:t>不能展期或偿还</w:t>
            </w:r>
            <w:r>
              <w:rPr>
                <w:rFonts w:cs="Calibri" w:hint="eastAsia"/>
                <w:color w:val="333333"/>
                <w:sz w:val="21"/>
                <w:szCs w:val="21"/>
              </w:rPr>
              <w:t>；或过度依赖短期借款为长期资产筹资</w:t>
            </w:r>
            <w:r>
              <w:rPr>
                <w:rFonts w:cs="Calibri" w:hint="eastAsia"/>
                <w:b/>
                <w:bCs/>
                <w:color w:val="FF0000"/>
                <w:sz w:val="21"/>
                <w:szCs w:val="21"/>
              </w:rPr>
              <w:t>[易考点]</w:t>
            </w:r>
          </w:p>
          <w:p w14:paraId="24D12D37"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（3）存在债权人撤销财务支持的迹象</w:t>
            </w:r>
          </w:p>
          <w:p w14:paraId="07C04BA9"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（4）历史或预测性报表表明</w:t>
            </w:r>
            <w:r>
              <w:rPr>
                <w:rFonts w:cs="Calibri" w:hint="eastAsia"/>
                <w:b/>
                <w:bCs/>
                <w:color w:val="FF0000"/>
                <w:sz w:val="21"/>
                <w:szCs w:val="21"/>
              </w:rPr>
              <w:t>经营活动</w:t>
            </w:r>
            <w:r>
              <w:rPr>
                <w:rFonts w:cs="Calibri" w:hint="eastAsia"/>
                <w:color w:val="333333"/>
                <w:sz w:val="21"/>
                <w:szCs w:val="21"/>
              </w:rPr>
              <w:t>的现金流量净额为</w:t>
            </w:r>
            <w:r>
              <w:rPr>
                <w:rFonts w:cs="Calibri" w:hint="eastAsia"/>
                <w:b/>
                <w:bCs/>
                <w:color w:val="FF0000"/>
                <w:sz w:val="21"/>
                <w:szCs w:val="21"/>
              </w:rPr>
              <w:t>负数[易考点]</w:t>
            </w:r>
          </w:p>
          <w:p w14:paraId="77233A1A"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（5）关键财务比率不佳</w:t>
            </w:r>
          </w:p>
          <w:p w14:paraId="1D7901FD"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（6）发生重大经营亏损或用以产生现金流量的资产价值大跌</w:t>
            </w:r>
          </w:p>
          <w:p w14:paraId="464E1B34"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w:t>
            </w:r>
            <w:r>
              <w:rPr>
                <w:rFonts w:cs="Calibri" w:hint="eastAsia"/>
                <w:b/>
                <w:bCs/>
                <w:color w:val="FF0000"/>
                <w:sz w:val="21"/>
                <w:szCs w:val="21"/>
              </w:rPr>
              <w:t>拖欠或停止</w:t>
            </w:r>
            <w:r>
              <w:rPr>
                <w:rFonts w:cs="Calibri" w:hint="eastAsia"/>
                <w:color w:val="333333"/>
                <w:sz w:val="21"/>
                <w:szCs w:val="21"/>
              </w:rPr>
              <w:t>发放股利</w:t>
            </w:r>
          </w:p>
          <w:p w14:paraId="3D7680FE"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（8）在到期日无法偿还债务</w:t>
            </w:r>
          </w:p>
          <w:p w14:paraId="063F67B8"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（9）无法履行借款合同的条款</w:t>
            </w:r>
          </w:p>
          <w:p w14:paraId="497AB058"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（10）与供应商由</w:t>
            </w:r>
            <w:r>
              <w:rPr>
                <w:rFonts w:cs="Calibri" w:hint="eastAsia"/>
                <w:b/>
                <w:bCs/>
                <w:color w:val="FF0000"/>
                <w:sz w:val="21"/>
                <w:szCs w:val="21"/>
              </w:rPr>
              <w:t>赊购变为货到付款[易考点]</w:t>
            </w:r>
          </w:p>
          <w:p w14:paraId="02CC0A25"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（11）</w:t>
            </w:r>
            <w:r>
              <w:rPr>
                <w:rFonts w:cs="Calibri" w:hint="eastAsia"/>
                <w:b/>
                <w:bCs/>
                <w:color w:val="FF0000"/>
                <w:sz w:val="21"/>
                <w:szCs w:val="21"/>
              </w:rPr>
              <w:t>无法获得</w:t>
            </w:r>
            <w:r>
              <w:rPr>
                <w:rFonts w:cs="Calibri" w:hint="eastAsia"/>
                <w:color w:val="333333"/>
                <w:sz w:val="21"/>
                <w:szCs w:val="21"/>
              </w:rPr>
              <w:t>开发必要新产品或进行其他必要投资所需的资金</w:t>
            </w:r>
            <w:r>
              <w:rPr>
                <w:rFonts w:cs="Calibri" w:hint="eastAsia"/>
                <w:b/>
                <w:bCs/>
                <w:color w:val="FF0000"/>
                <w:sz w:val="21"/>
                <w:szCs w:val="21"/>
              </w:rPr>
              <w:t>[易考点]</w:t>
            </w:r>
          </w:p>
        </w:tc>
      </w:tr>
    </w:tbl>
    <w:p w14:paraId="73D0AF91" w14:textId="77777777" w:rsidR="00581ECA" w:rsidRPr="00581ECA" w:rsidRDefault="00581ECA" w:rsidP="00581ECA">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1431"/>
        <w:gridCol w:w="7074"/>
      </w:tblGrid>
      <w:tr w:rsidR="00581ECA" w14:paraId="7EE1138C" w14:textId="77777777" w:rsidTr="00581ECA">
        <w:trPr>
          <w:trHeight w:val="53"/>
          <w:jc w:val="center"/>
        </w:trPr>
        <w:tc>
          <w:tcPr>
            <w:tcW w:w="14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EC37DA"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评价角度</w:t>
            </w:r>
          </w:p>
        </w:tc>
        <w:tc>
          <w:tcPr>
            <w:tcW w:w="70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C276882"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r>
              <w:rPr>
                <w:rFonts w:cs="Calibri" w:hint="eastAsia"/>
                <w:b/>
                <w:bCs/>
                <w:color w:val="FF0000"/>
                <w:sz w:val="21"/>
                <w:szCs w:val="21"/>
              </w:rPr>
              <w:t>[眼熟]</w:t>
            </w:r>
          </w:p>
        </w:tc>
      </w:tr>
      <w:tr w:rsidR="00581ECA" w14:paraId="464DD2AF" w14:textId="77777777" w:rsidTr="00581ECA">
        <w:trPr>
          <w:trHeight w:val="95"/>
          <w:jc w:val="center"/>
        </w:trPr>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B7D746"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2.经营方面</w:t>
            </w:r>
          </w:p>
        </w:tc>
        <w:tc>
          <w:tcPr>
            <w:tcW w:w="7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CA642E"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w:t>
            </w:r>
            <w:r>
              <w:rPr>
                <w:rFonts w:cs="Calibri" w:hint="eastAsia"/>
                <w:b/>
                <w:bCs/>
                <w:color w:val="FF0000"/>
                <w:sz w:val="21"/>
                <w:szCs w:val="21"/>
              </w:rPr>
              <w:t>计划清算</w:t>
            </w:r>
            <w:r>
              <w:rPr>
                <w:rFonts w:cs="Calibri" w:hint="eastAsia"/>
                <w:color w:val="333333"/>
                <w:sz w:val="21"/>
                <w:szCs w:val="21"/>
              </w:rPr>
              <w:t>被审计单位或终止经营</w:t>
            </w:r>
          </w:p>
          <w:p w14:paraId="4D722B0D"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关键</w:t>
            </w:r>
            <w:r>
              <w:rPr>
                <w:rFonts w:cs="Calibri" w:hint="eastAsia"/>
                <w:color w:val="333333"/>
                <w:sz w:val="21"/>
                <w:szCs w:val="21"/>
              </w:rPr>
              <w:t>管理人员离职</w:t>
            </w:r>
            <w:r>
              <w:rPr>
                <w:rFonts w:cs="Calibri" w:hint="eastAsia"/>
                <w:b/>
                <w:bCs/>
                <w:color w:val="FF0000"/>
                <w:sz w:val="21"/>
                <w:szCs w:val="21"/>
              </w:rPr>
              <w:t>且无人替代[易考点]</w:t>
            </w:r>
          </w:p>
          <w:p w14:paraId="2FEA72C2"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（3）失去主要市场、关键客户、特许权、执照或主要供应商</w:t>
            </w:r>
          </w:p>
          <w:p w14:paraId="50413892"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（4）出现用工困难</w:t>
            </w:r>
          </w:p>
          <w:p w14:paraId="71240670"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w:t>
            </w:r>
            <w:r>
              <w:rPr>
                <w:rFonts w:cs="Calibri" w:hint="eastAsia"/>
                <w:b/>
                <w:bCs/>
                <w:color w:val="FF0000"/>
                <w:sz w:val="21"/>
                <w:szCs w:val="21"/>
              </w:rPr>
              <w:t>重要</w:t>
            </w:r>
            <w:r>
              <w:rPr>
                <w:rFonts w:cs="Calibri" w:hint="eastAsia"/>
                <w:color w:val="333333"/>
                <w:sz w:val="21"/>
                <w:szCs w:val="21"/>
              </w:rPr>
              <w:t>供应短缺</w:t>
            </w:r>
          </w:p>
          <w:p w14:paraId="0E17E8E2"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（6）出现非常成功的竞争者</w:t>
            </w:r>
          </w:p>
        </w:tc>
      </w:tr>
      <w:tr w:rsidR="00581ECA" w14:paraId="08A4797E" w14:textId="77777777" w:rsidTr="00581ECA">
        <w:trPr>
          <w:trHeight w:val="53"/>
          <w:jc w:val="center"/>
        </w:trPr>
        <w:tc>
          <w:tcPr>
            <w:tcW w:w="14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986056"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3.其他方面</w:t>
            </w:r>
          </w:p>
        </w:tc>
        <w:tc>
          <w:tcPr>
            <w:tcW w:w="7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B49823"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（1）违反有关资本或其他法定要求</w:t>
            </w:r>
          </w:p>
          <w:p w14:paraId="1D3D48D7"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（2）未决诉讼或监管程序，可能导致无法支付索赔金额</w:t>
            </w:r>
          </w:p>
          <w:p w14:paraId="53201694"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（3）法律法规或政府政策的变化预期会产生不利影响</w:t>
            </w:r>
          </w:p>
          <w:p w14:paraId="110F07A2"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（4）对发生的灾害未购买保险或保额不足</w:t>
            </w:r>
          </w:p>
        </w:tc>
      </w:tr>
    </w:tbl>
    <w:p w14:paraId="28D58D9F" w14:textId="77777777" w:rsidR="00581ECA" w:rsidRDefault="00581ECA" w:rsidP="00581ECA">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（二）对注册会计师的要求</w:t>
      </w:r>
      <w:r>
        <w:rPr>
          <w:rFonts w:cs="Calibri" w:hint="eastAsia"/>
          <w:b/>
          <w:bCs/>
          <w:color w:val="FF0000"/>
          <w:sz w:val="21"/>
          <w:szCs w:val="21"/>
        </w:rPr>
        <w:t>【单选题/综合题考点】</w:t>
      </w:r>
    </w:p>
    <w:p w14:paraId="23A6E51B"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1.某些措施通常</w:t>
      </w:r>
      <w:r>
        <w:rPr>
          <w:rFonts w:cs="Calibri" w:hint="eastAsia"/>
          <w:b/>
          <w:bCs/>
          <w:color w:val="FF0000"/>
          <w:sz w:val="21"/>
          <w:szCs w:val="21"/>
        </w:rPr>
        <w:t>可以减轻</w:t>
      </w:r>
      <w:r>
        <w:rPr>
          <w:rFonts w:cs="Calibri" w:hint="eastAsia"/>
          <w:color w:val="3F3F3F"/>
          <w:sz w:val="21"/>
          <w:szCs w:val="21"/>
        </w:rPr>
        <w:t>这些事项或情况的严重性，此时注册会计师</w:t>
      </w:r>
      <w:r>
        <w:rPr>
          <w:rFonts w:cs="Calibri" w:hint="eastAsia"/>
          <w:b/>
          <w:bCs/>
          <w:color w:val="FF0000"/>
          <w:sz w:val="21"/>
          <w:szCs w:val="21"/>
        </w:rPr>
        <w:t>不一定</w:t>
      </w:r>
      <w:r>
        <w:rPr>
          <w:rFonts w:cs="Calibri" w:hint="eastAsia"/>
          <w:color w:val="3F3F3F"/>
          <w:sz w:val="21"/>
          <w:szCs w:val="21"/>
        </w:rPr>
        <w:t>会得出无法持续经营的结论。</w:t>
      </w:r>
    </w:p>
    <w:p w14:paraId="54AFF634"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2.如果被审计单位存在资不抵债、无法偿还到期债务等事项或情况，这可能表明被审计单位存在因持续经营问题导致的重大错报风险，该项风险与财务报表</w:t>
      </w:r>
      <w:r>
        <w:rPr>
          <w:rFonts w:cs="Calibri" w:hint="eastAsia"/>
          <w:b/>
          <w:bCs/>
          <w:color w:val="FF0000"/>
          <w:sz w:val="21"/>
          <w:szCs w:val="21"/>
        </w:rPr>
        <w:t>整体</w:t>
      </w:r>
      <w:r>
        <w:rPr>
          <w:rFonts w:cs="Calibri" w:hint="eastAsia"/>
          <w:color w:val="3F3F3F"/>
          <w:sz w:val="21"/>
          <w:szCs w:val="21"/>
        </w:rPr>
        <w:t>广泛相关，从而会影响多项认定。</w:t>
      </w:r>
    </w:p>
    <w:p w14:paraId="7D8507F9"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38FC88D"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单项选择题【2009年真题】</w:t>
      </w:r>
    </w:p>
    <w:p w14:paraId="6E0DB50B"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在下列事项中，最可能引起注册会计师对持续经营能力产生疑虑的是（　　）。</w:t>
      </w:r>
    </w:p>
    <w:p w14:paraId="1EE74F86"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A.难以获得开发必要新产品所需资金</w:t>
      </w:r>
    </w:p>
    <w:p w14:paraId="2AE28A25"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B.投资活动产生的现金流量为负数</w:t>
      </w:r>
    </w:p>
    <w:p w14:paraId="4FDA6556"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C.以股票股利替代现金股利</w:t>
      </w:r>
    </w:p>
    <w:p w14:paraId="086E816B"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D.存在重大关联方交易</w:t>
      </w:r>
    </w:p>
    <w:p w14:paraId="12678BF0"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29703428"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[点评]选项A中，难以获得开发必要新产品所需资金属于经营方面可能对持续经营能力产生疑虑的事项；选项B中，在投资活动的前期，</w:t>
      </w:r>
      <w:r>
        <w:rPr>
          <w:rFonts w:cs="Calibri" w:hint="eastAsia"/>
          <w:b/>
          <w:bCs/>
          <w:color w:val="FF0000"/>
          <w:sz w:val="21"/>
          <w:szCs w:val="21"/>
        </w:rPr>
        <w:t>投资活动</w:t>
      </w:r>
      <w:r>
        <w:rPr>
          <w:rFonts w:cs="Calibri" w:hint="eastAsia"/>
          <w:color w:val="3F3F3F"/>
          <w:sz w:val="21"/>
          <w:szCs w:val="21"/>
        </w:rPr>
        <w:t>产生的现金流量通常为负数，并非疑虑事项，这一要点需要与</w:t>
      </w:r>
      <w:r>
        <w:rPr>
          <w:rFonts w:cs="Calibri" w:hint="eastAsia"/>
          <w:b/>
          <w:bCs/>
          <w:color w:val="FF0000"/>
          <w:sz w:val="21"/>
          <w:szCs w:val="21"/>
        </w:rPr>
        <w:t>经营活动</w:t>
      </w:r>
      <w:r>
        <w:rPr>
          <w:rFonts w:cs="Calibri" w:hint="eastAsia"/>
          <w:color w:val="3F3F3F"/>
          <w:sz w:val="21"/>
          <w:szCs w:val="21"/>
        </w:rPr>
        <w:t>辨析；选项C中，以股票股利替代现金股利属于被审计单位股利分配政策的正常调整；选项D中，存在重大关联方交易不一定会对持续经营能力产生疑虑。</w:t>
      </w:r>
    </w:p>
    <w:p w14:paraId="508D9E53"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综合题【2013年真题】</w:t>
      </w:r>
    </w:p>
    <w:p w14:paraId="63FFAE0B"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是一家生产和销售家电产品的上市公司。2012年4月，ABC会计师事务所首次接受委托，审计甲公司2012年度财务报表，委派A注册会计师担任项目合伙人，A注册会计师确定甲公司2012年度财务报表整体的重要性为800万元。A注册会计师在审计工作底稿中记录了所了解的甲公司情况及其环境，部分内容摘录如下：</w:t>
      </w:r>
    </w:p>
    <w:p w14:paraId="62C4B84E"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甲公司2012年末营运资金为负数，应付账款余额较2011年末大幅减少，据了解，甲公司主要原材料的采购付款条件由赊购被改为货到付款。</w:t>
      </w:r>
    </w:p>
    <w:p w14:paraId="2FDF8026"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要求：假定不考虑其他条件，指出所列事项是否可能表明存在重大错报风险，如果认为存在重大错报风险，请简要说明理由。</w:t>
      </w:r>
    </w:p>
    <w:p w14:paraId="2C43F64A"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tbl>
      <w:tblPr>
        <w:tblW w:w="8505" w:type="dxa"/>
        <w:jc w:val="center"/>
        <w:tblCellMar>
          <w:left w:w="0" w:type="dxa"/>
          <w:right w:w="0" w:type="dxa"/>
        </w:tblCellMar>
        <w:tblLook w:val="04A0" w:firstRow="1" w:lastRow="0" w:firstColumn="1" w:lastColumn="0" w:noHBand="0" w:noVBand="1"/>
      </w:tblPr>
      <w:tblGrid>
        <w:gridCol w:w="2227"/>
        <w:gridCol w:w="6278"/>
      </w:tblGrid>
      <w:tr w:rsidR="00581ECA" w14:paraId="05A4140A" w14:textId="77777777" w:rsidTr="00581ECA">
        <w:trPr>
          <w:trHeight w:val="60"/>
          <w:jc w:val="center"/>
        </w:trPr>
        <w:tc>
          <w:tcPr>
            <w:tcW w:w="22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C4F79"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是否可能表明存在重大错报风险（是/否）</w:t>
            </w:r>
          </w:p>
        </w:tc>
        <w:tc>
          <w:tcPr>
            <w:tcW w:w="62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8919F95"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r>
      <w:tr w:rsidR="00581ECA" w14:paraId="38D3B93B" w14:textId="77777777" w:rsidTr="00581ECA">
        <w:trPr>
          <w:trHeight w:val="60"/>
          <w:jc w:val="center"/>
        </w:trPr>
        <w:tc>
          <w:tcPr>
            <w:tcW w:w="22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A16F52"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62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384C4C"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甲公司2012年末营运资金为负数，且不能获得正常商业信誉，其持续经营能力可能存在不确定性，导致财务报表层次的重大错报风险</w:t>
            </w:r>
          </w:p>
        </w:tc>
      </w:tr>
    </w:tbl>
    <w:p w14:paraId="2D75F10E"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三、应对评估的重大错报风险</w:t>
      </w:r>
    </w:p>
    <w:p w14:paraId="20AD6E78" w14:textId="77777777" w:rsidR="00581ECA" w:rsidRDefault="00581ECA" w:rsidP="00581E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"http://webupload.admin.dongao.com/biz/handout/img/2019/20190628/20190628162326475003.png" \* MERGEFORMATINET </w:instrText>
      </w:r>
      <w:r>
        <w:rPr>
          <w:rFonts w:cs="Calibri"/>
          <w:color w:val="3F3F3F"/>
          <w:sz w:val="21"/>
          <w:szCs w:val="21"/>
        </w:rPr>
        <w:fldChar w:fldCharType="separate"/>
      </w:r>
      <w:r>
        <w:rPr>
          <w:rFonts w:cs="Calibri"/>
          <w:color w:val="3F3F3F"/>
          <w:sz w:val="21"/>
          <w:szCs w:val="21"/>
        </w:rPr>
        <w:pict>
          <v:shape id="_x0000_i1027" type="#_x0000_t75" style="width:420pt;height:134.25pt">
            <v:imagedata r:id="rId11" r:href="rId12"/>
          </v:shape>
        </w:pict>
      </w:r>
      <w:r>
        <w:rPr>
          <w:rFonts w:cs="Calibri"/>
          <w:color w:val="3F3F3F"/>
          <w:sz w:val="21"/>
          <w:szCs w:val="21"/>
        </w:rPr>
        <w:fldChar w:fldCharType="end"/>
      </w:r>
    </w:p>
    <w:p w14:paraId="3873B6E7"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1.评价管理层对持续经营能力作出的评估</w:t>
      </w:r>
    </w:p>
    <w:p w14:paraId="4A3C966E" w14:textId="77777777" w:rsidR="00581ECA" w:rsidRDefault="00581ECA" w:rsidP="00581E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"http://webupload.admin.dongao.com/biz/handout/img/2019/20190628/20190628162326113004.png" \* MERGEFORMATINET </w:instrText>
      </w:r>
      <w:r>
        <w:rPr>
          <w:rFonts w:cs="Calibri"/>
          <w:color w:val="3F3F3F"/>
          <w:sz w:val="21"/>
          <w:szCs w:val="21"/>
        </w:rPr>
        <w:fldChar w:fldCharType="separate"/>
      </w:r>
      <w:r>
        <w:rPr>
          <w:rFonts w:cs="Calibri"/>
          <w:color w:val="3F3F3F"/>
          <w:sz w:val="21"/>
          <w:szCs w:val="21"/>
        </w:rPr>
        <w:pict>
          <v:shape id="_x0000_i1028" type="#_x0000_t75" style="width:420pt;height:133.5pt">
            <v:imagedata r:id="rId13" r:href="rId14"/>
          </v:shape>
        </w:pict>
      </w:r>
      <w:r>
        <w:rPr>
          <w:rFonts w:cs="Calibri"/>
          <w:color w:val="3F3F3F"/>
          <w:sz w:val="21"/>
          <w:szCs w:val="21"/>
        </w:rPr>
        <w:fldChar w:fldCharType="end"/>
      </w:r>
    </w:p>
    <w:p w14:paraId="1163E3FD" w14:textId="77777777" w:rsidR="00581ECA" w:rsidRDefault="00581ECA" w:rsidP="00581E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"http://webupload.admin.dongao.com/biz/handout/img/2019/20190628/20190628162326355005.png" \* MERGEFORMATINET </w:instrText>
      </w:r>
      <w:r>
        <w:rPr>
          <w:rFonts w:cs="Calibri"/>
          <w:color w:val="3F3F3F"/>
          <w:sz w:val="21"/>
          <w:szCs w:val="21"/>
        </w:rPr>
        <w:fldChar w:fldCharType="separate"/>
      </w:r>
      <w:r>
        <w:rPr>
          <w:rFonts w:cs="Calibri"/>
          <w:color w:val="3F3F3F"/>
          <w:sz w:val="21"/>
          <w:szCs w:val="21"/>
        </w:rPr>
        <w:pict>
          <v:shape id="_x0000_i1029" type="#_x0000_t75" style="width:420pt;height:189.75pt">
            <v:imagedata r:id="rId15" r:href="rId16"/>
          </v:shape>
        </w:pict>
      </w:r>
      <w:r>
        <w:rPr>
          <w:rFonts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084"/>
        <w:gridCol w:w="7421"/>
      </w:tblGrid>
      <w:tr w:rsidR="00581ECA" w14:paraId="42F08A37" w14:textId="77777777" w:rsidTr="00581ECA">
        <w:trPr>
          <w:trHeight w:val="60"/>
          <w:jc w:val="center"/>
        </w:trPr>
        <w:tc>
          <w:tcPr>
            <w:tcW w:w="850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2E1536"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（1）管理层评估涵盖的期间</w:t>
            </w:r>
            <w:r>
              <w:rPr>
                <w:rFonts w:cs="Calibri" w:hint="eastAsia"/>
                <w:b/>
                <w:bCs/>
                <w:color w:val="FF0000"/>
                <w:sz w:val="21"/>
                <w:szCs w:val="21"/>
              </w:rPr>
              <w:t>【单选题高频考点】</w:t>
            </w:r>
          </w:p>
        </w:tc>
      </w:tr>
      <w:tr w:rsidR="00581ECA" w14:paraId="2636B79D" w14:textId="77777777" w:rsidTr="00581ECA">
        <w:trPr>
          <w:trHeight w:val="60"/>
          <w:jc w:val="center"/>
        </w:trPr>
        <w:tc>
          <w:tcPr>
            <w:tcW w:w="10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F33267"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c>
          <w:tcPr>
            <w:tcW w:w="74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E16BC4"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a）注册会计师的评价期间应与管理层按照规定作出评估的涵盖期间</w:t>
            </w:r>
            <w:r>
              <w:rPr>
                <w:rFonts w:cs="Calibri" w:hint="eastAsia"/>
                <w:b/>
                <w:bCs/>
                <w:color w:val="FF0000"/>
                <w:sz w:val="21"/>
                <w:szCs w:val="21"/>
              </w:rPr>
              <w:t>相同</w:t>
            </w:r>
          </w:p>
          <w:p w14:paraId="5EF00994"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b）管理层对持续经营能力的合理评估期间应是自财务报表日起的</w:t>
            </w:r>
            <w:r>
              <w:rPr>
                <w:rFonts w:cs="Calibri" w:hint="eastAsia"/>
                <w:b/>
                <w:bCs/>
                <w:color w:val="FF0000"/>
                <w:sz w:val="21"/>
                <w:szCs w:val="21"/>
              </w:rPr>
              <w:t>下一个会计期间</w:t>
            </w:r>
          </w:p>
          <w:p w14:paraId="39AC68A1"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c）如果管理层评估持续经营能力涵盖的期间</w:t>
            </w:r>
            <w:r>
              <w:rPr>
                <w:rFonts w:cs="Calibri" w:hint="eastAsia"/>
                <w:b/>
                <w:bCs/>
                <w:color w:val="FF0000"/>
                <w:sz w:val="21"/>
                <w:szCs w:val="21"/>
              </w:rPr>
              <w:t>短于</w:t>
            </w:r>
            <w:r>
              <w:rPr>
                <w:rFonts w:cs="Calibri" w:hint="eastAsia"/>
                <w:color w:val="333333"/>
                <w:sz w:val="21"/>
                <w:szCs w:val="21"/>
              </w:rPr>
              <w:t>自财务报表日起的十二个月，注册会计师应当提请管理层将其</w:t>
            </w:r>
            <w:r>
              <w:rPr>
                <w:rFonts w:cs="Calibri" w:hint="eastAsia"/>
                <w:b/>
                <w:bCs/>
                <w:color w:val="FF0000"/>
                <w:sz w:val="21"/>
                <w:szCs w:val="21"/>
              </w:rPr>
              <w:t>至少延长</w:t>
            </w:r>
            <w:r>
              <w:rPr>
                <w:rFonts w:cs="Calibri" w:hint="eastAsia"/>
                <w:color w:val="333333"/>
                <w:sz w:val="21"/>
                <w:szCs w:val="21"/>
              </w:rPr>
              <w:t>至自财务报表日起的</w:t>
            </w:r>
            <w:r>
              <w:rPr>
                <w:rFonts w:cs="Calibri" w:hint="eastAsia"/>
                <w:b/>
                <w:bCs/>
                <w:color w:val="FF0000"/>
                <w:sz w:val="21"/>
                <w:szCs w:val="21"/>
              </w:rPr>
              <w:t>十二个月</w:t>
            </w:r>
          </w:p>
        </w:tc>
      </w:tr>
    </w:tbl>
    <w:p w14:paraId="1C2ED4AF"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BA1FE76"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单项选择题【2012年真题】</w:t>
      </w:r>
    </w:p>
    <w:p w14:paraId="20ABDA3F"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注册会计师对被审计单位2011年1月至6月财务报表进行审计，并于2011年8月31日出具审计报告。下列各项中，管理层在编制2011年1月至6月财务报表时，评估其持续经营能力应当涵盖的最短期间是（　　）。</w:t>
      </w:r>
    </w:p>
    <w:p w14:paraId="7BE07382"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A.2011年7月1日至2012年6月30日止期间</w:t>
      </w:r>
    </w:p>
    <w:p w14:paraId="6CBC2D26"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B.2011年9月1日至2012年8月31日止期间</w:t>
      </w:r>
    </w:p>
    <w:p w14:paraId="0A1CEC71"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C.2011年7月1日至2011年12月31日止期间</w:t>
      </w:r>
    </w:p>
    <w:p w14:paraId="12A7523E"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D.2011年7月1日至2012年12月31日止期间</w:t>
      </w:r>
    </w:p>
    <w:p w14:paraId="380AC7ED"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10A499CE"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[点评]注册会计师对被审计单位2011年1月至6月财务报表进行审计，要求管理层对持续经营能力的合理评估期间应是自财务报表日起的下一个会计期间（至少12个月） ，即2011年7月1日至2012年6月30日止期间。</w:t>
      </w:r>
    </w:p>
    <w:tbl>
      <w:tblPr>
        <w:tblW w:w="8505" w:type="dxa"/>
        <w:jc w:val="center"/>
        <w:tblCellMar>
          <w:left w:w="0" w:type="dxa"/>
          <w:right w:w="0" w:type="dxa"/>
        </w:tblCellMar>
        <w:tblLook w:val="04A0" w:firstRow="1" w:lastRow="0" w:firstColumn="1" w:lastColumn="0" w:noHBand="0" w:noVBand="1"/>
      </w:tblPr>
      <w:tblGrid>
        <w:gridCol w:w="427"/>
        <w:gridCol w:w="8615"/>
      </w:tblGrid>
      <w:tr w:rsidR="00581ECA" w14:paraId="2F56D366" w14:textId="77777777" w:rsidTr="00581ECA">
        <w:trPr>
          <w:trHeight w:val="60"/>
          <w:jc w:val="center"/>
        </w:trPr>
        <w:tc>
          <w:tcPr>
            <w:tcW w:w="850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AD2AFC"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（2）管理层的评估及支持性分析</w:t>
            </w:r>
            <w:r>
              <w:rPr>
                <w:rFonts w:cs="Calibri" w:hint="eastAsia"/>
                <w:b/>
                <w:bCs/>
                <w:color w:val="FF0000"/>
                <w:sz w:val="21"/>
                <w:szCs w:val="21"/>
              </w:rPr>
              <w:t>【单选题/多选题高频考点】</w:t>
            </w:r>
          </w:p>
        </w:tc>
      </w:tr>
      <w:tr w:rsidR="00581ECA" w14:paraId="544BD017" w14:textId="77777777" w:rsidTr="00581ECA">
        <w:trPr>
          <w:trHeight w:val="60"/>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F8BF54"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评价责任</w:t>
            </w:r>
          </w:p>
        </w:tc>
        <w:tc>
          <w:tcPr>
            <w:tcW w:w="6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D0DA19"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纠正管理层缺乏分析的错误</w:t>
            </w:r>
            <w:r>
              <w:rPr>
                <w:rFonts w:cs="Calibri" w:hint="eastAsia"/>
                <w:b/>
                <w:bCs/>
                <w:color w:val="FF0000"/>
                <w:sz w:val="21"/>
                <w:szCs w:val="21"/>
              </w:rPr>
              <w:t>不是</w:t>
            </w:r>
            <w:r>
              <w:rPr>
                <w:rFonts w:cs="Calibri" w:hint="eastAsia"/>
                <w:color w:val="333333"/>
                <w:sz w:val="21"/>
                <w:szCs w:val="21"/>
              </w:rPr>
              <w:t>注册会计师的责任</w:t>
            </w:r>
          </w:p>
        </w:tc>
      </w:tr>
      <w:tr w:rsidR="00581ECA" w14:paraId="4910FDD1" w14:textId="77777777" w:rsidTr="00581ECA">
        <w:trPr>
          <w:trHeight w:val="60"/>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7AE87B"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评价程序</w:t>
            </w:r>
          </w:p>
        </w:tc>
        <w:tc>
          <w:tcPr>
            <w:tcW w:w="6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35A6A1"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a）在某些情况下，管理层</w:t>
            </w:r>
            <w:r>
              <w:rPr>
                <w:rFonts w:cs="Calibri" w:hint="eastAsia"/>
                <w:b/>
                <w:bCs/>
                <w:color w:val="FF0000"/>
                <w:sz w:val="21"/>
                <w:szCs w:val="21"/>
              </w:rPr>
              <w:t>缺乏详细分析</w:t>
            </w:r>
            <w:r>
              <w:rPr>
                <w:rFonts w:cs="Calibri" w:hint="eastAsia"/>
                <w:color w:val="333333"/>
                <w:sz w:val="21"/>
                <w:szCs w:val="21"/>
              </w:rPr>
              <w:t>以支持其评估，可能</w:t>
            </w:r>
            <w:r>
              <w:rPr>
                <w:rFonts w:cs="Calibri" w:hint="eastAsia"/>
                <w:b/>
                <w:bCs/>
                <w:color w:val="FF0000"/>
                <w:sz w:val="21"/>
                <w:szCs w:val="21"/>
              </w:rPr>
              <w:t>不妨碍</w:t>
            </w:r>
            <w:r>
              <w:rPr>
                <w:rFonts w:cs="Calibri" w:hint="eastAsia"/>
                <w:color w:val="333333"/>
                <w:sz w:val="21"/>
                <w:szCs w:val="21"/>
              </w:rPr>
              <w:t>注册会计师确定管理层运用持续经营假设是否适合具体情况；如被审计单位具有盈利经营的记录并很容易获得财务支持，管理层</w:t>
            </w:r>
            <w:r>
              <w:rPr>
                <w:rFonts w:cs="Calibri" w:hint="eastAsia"/>
                <w:b/>
                <w:bCs/>
                <w:color w:val="FF0000"/>
                <w:sz w:val="21"/>
                <w:szCs w:val="21"/>
              </w:rPr>
              <w:t>不需要详细分析</w:t>
            </w:r>
            <w:r>
              <w:rPr>
                <w:rFonts w:cs="Calibri" w:hint="eastAsia"/>
                <w:color w:val="333333"/>
                <w:sz w:val="21"/>
                <w:szCs w:val="21"/>
              </w:rPr>
              <w:t>就可能作出评估，注册会计师可能</w:t>
            </w:r>
            <w:r>
              <w:rPr>
                <w:rFonts w:cs="Calibri" w:hint="eastAsia"/>
                <w:b/>
                <w:bCs/>
                <w:color w:val="FF0000"/>
                <w:sz w:val="21"/>
                <w:szCs w:val="21"/>
              </w:rPr>
              <w:t>无须</w:t>
            </w:r>
            <w:r>
              <w:rPr>
                <w:rFonts w:cs="Calibri" w:hint="eastAsia"/>
                <w:color w:val="333333"/>
                <w:sz w:val="21"/>
                <w:szCs w:val="21"/>
              </w:rPr>
              <w:t>详细评价，就可以得出结论</w:t>
            </w:r>
            <w:r>
              <w:rPr>
                <w:rFonts w:cs="Calibri" w:hint="eastAsia"/>
                <w:b/>
                <w:bCs/>
                <w:color w:val="FF0000"/>
                <w:sz w:val="21"/>
                <w:szCs w:val="21"/>
              </w:rPr>
              <w:t>[易错点]</w:t>
            </w:r>
          </w:p>
          <w:p w14:paraId="66463059"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b）在其他情况下，注册会计师评价管理层对被审计单位持续经营能力所作的评估</w:t>
            </w:r>
          </w:p>
          <w:p w14:paraId="2DB9B993"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color w:val="333333"/>
                <w:sz w:val="21"/>
                <w:szCs w:val="21"/>
              </w:rPr>
              <w:fldChar w:fldCharType="begin"/>
            </w:r>
            <w:r>
              <w:rPr>
                <w:rFonts w:cs="Calibri"/>
                <w:color w:val="333333"/>
                <w:sz w:val="21"/>
                <w:szCs w:val="21"/>
              </w:rPr>
              <w:instrText xml:space="preserve"> INCLUDEPICTURE "http://webupload.admin.dongao.com/biz/handout/img/2019/20190628/20190628162326523006.png" \* MERGEFORMATINET </w:instrText>
            </w:r>
            <w:r>
              <w:rPr>
                <w:rFonts w:cs="Calibri"/>
                <w:color w:val="333333"/>
                <w:sz w:val="21"/>
                <w:szCs w:val="21"/>
              </w:rPr>
              <w:fldChar w:fldCharType="separate"/>
            </w:r>
            <w:r>
              <w:rPr>
                <w:rFonts w:cs="Calibri"/>
                <w:color w:val="333333"/>
                <w:sz w:val="21"/>
                <w:szCs w:val="21"/>
              </w:rPr>
              <w:pict>
                <v:shape id="_x0000_i1030" type="#_x0000_t75" style="width:420pt;height:219pt">
                  <v:imagedata r:id="rId17" r:href="rId18"/>
                </v:shape>
              </w:pict>
            </w:r>
            <w:r>
              <w:rPr>
                <w:rFonts w:cs="Calibri"/>
                <w:color w:val="333333"/>
                <w:sz w:val="21"/>
                <w:szCs w:val="21"/>
              </w:rPr>
              <w:fldChar w:fldCharType="end"/>
            </w:r>
          </w:p>
        </w:tc>
      </w:tr>
      <w:tr w:rsidR="00581ECA" w14:paraId="6A59E1F2" w14:textId="77777777" w:rsidTr="00581ECA">
        <w:trPr>
          <w:trHeight w:val="101"/>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E6045B"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w:t>
            </w:r>
            <w:r>
              <w:rPr>
                <w:rFonts w:cs="Calibri" w:hint="eastAsia"/>
                <w:b/>
                <w:bCs/>
                <w:color w:val="FF0000"/>
                <w:sz w:val="21"/>
                <w:szCs w:val="21"/>
              </w:rPr>
              <w:t>内容</w:t>
            </w:r>
          </w:p>
        </w:tc>
        <w:tc>
          <w:tcPr>
            <w:tcW w:w="6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41F133"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a）管理层作出评估时遵循的程序</w:t>
            </w:r>
          </w:p>
          <w:p w14:paraId="26CEF8B6"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b）评估依据的假设</w:t>
            </w:r>
          </w:p>
          <w:p w14:paraId="6D282705"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c）管理层的未来应对计划</w:t>
            </w:r>
          </w:p>
          <w:p w14:paraId="386DE0E7"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d）管理层的计划在当前情况下是否可行</w:t>
            </w:r>
          </w:p>
        </w:tc>
      </w:tr>
      <w:tr w:rsidR="00581ECA" w14:paraId="47EE9DF7" w14:textId="77777777" w:rsidTr="00581ECA">
        <w:trPr>
          <w:trHeight w:val="60"/>
          <w:jc w:val="center"/>
        </w:trPr>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3DED90" w14:textId="77777777" w:rsidR="00581ECA" w:rsidRDefault="00581ECA" w:rsidP="00581ECA">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信息来源</w:t>
            </w:r>
          </w:p>
        </w:tc>
        <w:tc>
          <w:tcPr>
            <w:tcW w:w="69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CF6F54" w14:textId="77777777" w:rsidR="00581ECA" w:rsidRDefault="00581ECA" w:rsidP="00581ECA">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注册会计师应当考虑管理层作出的评估是否已考虑所有相关信息，包括</w:t>
            </w:r>
            <w:r>
              <w:rPr>
                <w:rFonts w:cs="Calibri" w:hint="eastAsia"/>
                <w:b/>
                <w:bCs/>
                <w:color w:val="FF0000"/>
                <w:sz w:val="21"/>
                <w:szCs w:val="21"/>
              </w:rPr>
              <w:t>实施审计程序获取的信息</w:t>
            </w:r>
          </w:p>
        </w:tc>
      </w:tr>
    </w:tbl>
    <w:p w14:paraId="282EEC44" w14:textId="77777777" w:rsidR="00581ECA" w:rsidRDefault="00581ECA" w:rsidP="00581E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fldChar w:fldCharType="begin"/>
      </w:r>
      <w:r>
        <w:rPr>
          <w:rFonts w:cs="Calibri"/>
          <w:color w:val="7030A0"/>
          <w:sz w:val="21"/>
          <w:szCs w:val="21"/>
        </w:rPr>
        <w:instrText xml:space="preserve"> INCLUDEPICTURE "http://webupload.admin.dongao.com/biz/handout/img/2019/20190628/20190628162326339007.png" \* MERGEFORMATINET </w:instrText>
      </w:r>
      <w:r>
        <w:rPr>
          <w:rFonts w:cs="Calibri"/>
          <w:color w:val="7030A0"/>
          <w:sz w:val="21"/>
          <w:szCs w:val="21"/>
        </w:rPr>
        <w:fldChar w:fldCharType="separate"/>
      </w:r>
      <w:r>
        <w:rPr>
          <w:rFonts w:cs="Calibri"/>
          <w:color w:val="7030A0"/>
          <w:sz w:val="21"/>
          <w:szCs w:val="21"/>
        </w:rPr>
        <w:pict>
          <v:shape id="_x0000_i1031" type="#_x0000_t75" style="width:420pt;height:219pt">
            <v:imagedata r:id="rId19" r:href="rId20"/>
          </v:shape>
        </w:pict>
      </w:r>
      <w:r>
        <w:rPr>
          <w:rFonts w:cs="Calibri"/>
          <w:color w:val="7030A0"/>
          <w:sz w:val="21"/>
          <w:szCs w:val="21"/>
        </w:rPr>
        <w:fldChar w:fldCharType="end"/>
      </w:r>
    </w:p>
    <w:p w14:paraId="2B2AB6E2"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0B6CF33" w14:textId="77777777" w:rsidR="00581ECA" w:rsidRDefault="00581ECA" w:rsidP="00581ECA">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单项选择题【2014年真题】</w:t>
      </w:r>
    </w:p>
    <w:p w14:paraId="20379BDD"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注册会计师应当评价管理层对持续经营能力作出的评估。下列说法中，错误的是（　　）。</w:t>
      </w:r>
    </w:p>
    <w:p w14:paraId="106339F1"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A.在某些情况下，管理层缺乏详细分析以支持其评估，并不妨碍注册会计师确定管理层运用持续经营假设是否适合具体情况</w:t>
      </w:r>
    </w:p>
    <w:p w14:paraId="49B27F0F"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B.注册会计师应当考虑管理层作出的评估是否已经考虑所有相关信息，这些信息不包括注册会计师实施审计程序时获取的信息</w:t>
      </w:r>
    </w:p>
    <w:p w14:paraId="5FC1383E"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C.如果管理层评价持续经营能力涵盖的期间短于自财务报表日起的十二个月，注册会计师应当要求管理层延长评估期间</w:t>
      </w:r>
    </w:p>
    <w:p w14:paraId="12977B8B"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D.注册会计师应当考虑管理层对相关事项或情况结果的预测所依据的假设是否合理</w:t>
      </w:r>
    </w:p>
    <w:p w14:paraId="586B2EE1"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22F24E19" w14:textId="77777777" w:rsidR="00581ECA" w:rsidRDefault="00581ECA" w:rsidP="00581ECA">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[点评]注册会计师应当考虑管理层作出的评估是否已考虑所有相关信息，其中包括注册会计师实施审计程序获取的信息。</w:t>
      </w:r>
    </w:p>
    <w:p w14:paraId="44AADF30" w14:textId="77777777" w:rsidR="00581ECA" w:rsidRDefault="00581ECA" w:rsidP="00581ECA">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A410090" w14:textId="77777777" w:rsidR="00581ECA" w:rsidRDefault="00581ECA" w:rsidP="00581ECA">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"http://webupload.admin.dongao.com/biz/handout/img/2019/20190628/20190628162326419008.png" \* MERGEFORMATINET </w:instrText>
      </w:r>
      <w:r>
        <w:rPr>
          <w:rFonts w:cs="Calibri"/>
          <w:color w:val="3F3F3F"/>
          <w:sz w:val="21"/>
          <w:szCs w:val="21"/>
        </w:rPr>
        <w:fldChar w:fldCharType="separate"/>
      </w:r>
      <w:r>
        <w:rPr>
          <w:rFonts w:cs="Calibri"/>
          <w:color w:val="3F3F3F"/>
          <w:sz w:val="21"/>
          <w:szCs w:val="21"/>
        </w:rPr>
        <w:pict>
          <v:shape id="_x0000_i1032" type="#_x0000_t75" style="width:420pt;height:221.25pt">
            <v:imagedata r:id="rId21" r:href="rId22"/>
          </v:shape>
        </w:pict>
      </w:r>
      <w:r>
        <w:rPr>
          <w:rFonts w:cs="Calibri"/>
          <w:color w:val="3F3F3F"/>
          <w:sz w:val="21"/>
          <w:szCs w:val="21"/>
        </w:rPr>
        <w:fldChar w:fldCharType="end"/>
      </w:r>
    </w:p>
    <w:p w14:paraId="5ABF8321" w14:textId="77777777" w:rsidR="00581ECA" w:rsidRDefault="00581ECA" w:rsidP="00581ECA">
      <w:pPr>
        <w:shd w:val="clear" w:color="auto" w:fill="FFFFFF"/>
        <w:rPr>
          <w:rFonts w:ascii="微软雅黑" w:eastAsia="微软雅黑" w:hAnsi="微软雅黑" w:cs="宋体"/>
          <w:color w:val="3F3F3F"/>
          <w:szCs w:val="21"/>
        </w:rPr>
      </w:pPr>
    </w:p>
    <w:p w14:paraId="00167BA2" w14:textId="77777777" w:rsidR="00271D8C" w:rsidRPr="00581ECA" w:rsidRDefault="00271D8C" w:rsidP="00581ECA">
      <w:pPr>
        <w:rPr>
          <w:rFonts w:hint="eastAsia"/>
        </w:rPr>
      </w:pPr>
    </w:p>
    <w:sectPr w:rsidR="00271D8C" w:rsidRPr="00581ECA" w:rsidSect="001F62DD">
      <w:headerReference w:type="default" r:id="rId23"/>
      <w:footerReference w:type="default" r:id="rId2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5C156" w14:textId="77777777" w:rsidR="00911EAC" w:rsidRDefault="00911EAC" w:rsidP="00CD53C5">
      <w:r>
        <w:separator/>
      </w:r>
    </w:p>
  </w:endnote>
  <w:endnote w:type="continuationSeparator" w:id="0">
    <w:p w14:paraId="4FB4C9E4" w14:textId="77777777" w:rsidR="00911EAC" w:rsidRDefault="00911EAC"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783D2B75" w14:textId="77777777" w:rsidTr="007B0BFD">
      <w:trPr>
        <w:trHeight w:val="274"/>
      </w:trPr>
      <w:tc>
        <w:tcPr>
          <w:tcW w:w="2050" w:type="dxa"/>
          <w:shd w:val="clear" w:color="auto" w:fill="auto"/>
          <w:vAlign w:val="center"/>
        </w:tcPr>
        <w:p w14:paraId="7BA2BEC7"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3" type="#_x0000_t75" style="width:90.75pt;height:26.25pt;visibility:visible">
                <v:imagedata r:id="rId1" o:title=""/>
              </v:shape>
            </w:pict>
          </w:r>
        </w:p>
      </w:tc>
      <w:tc>
        <w:tcPr>
          <w:tcW w:w="3742" w:type="dxa"/>
          <w:shd w:val="clear" w:color="auto" w:fill="auto"/>
          <w:vAlign w:val="center"/>
        </w:tcPr>
        <w:p w14:paraId="2D7DD87F"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FE751E2"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DB917F8"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1A5E1" w14:textId="77777777" w:rsidR="00911EAC" w:rsidRDefault="00911EAC" w:rsidP="00CD53C5">
      <w:r>
        <w:separator/>
      </w:r>
    </w:p>
  </w:footnote>
  <w:footnote w:type="continuationSeparator" w:id="0">
    <w:p w14:paraId="7C3A8AA4" w14:textId="77777777" w:rsidR="00911EAC" w:rsidRDefault="00911EAC"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9176A19" w14:textId="77777777" w:rsidTr="007B0BFD">
      <w:trPr>
        <w:trHeight w:val="501"/>
      </w:trPr>
      <w:tc>
        <w:tcPr>
          <w:tcW w:w="4272" w:type="dxa"/>
          <w:shd w:val="clear" w:color="auto" w:fill="auto"/>
          <w:vAlign w:val="center"/>
        </w:tcPr>
        <w:p w14:paraId="7A7FF2E9" w14:textId="77777777" w:rsidR="001545C6" w:rsidRPr="001F62DD" w:rsidRDefault="00581ECA"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1996CBDC" w14:textId="77777777" w:rsidR="001545C6" w:rsidRPr="004D61E7" w:rsidRDefault="00581ECA"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224E1D3F"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1ECA"/>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11EAC"/>
    <w:rsid w:val="0093134D"/>
    <w:rsid w:val="009E3A31"/>
    <w:rsid w:val="009E72DE"/>
    <w:rsid w:val="00A00175"/>
    <w:rsid w:val="00A42D54"/>
    <w:rsid w:val="00A64EDA"/>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FF3312D"/>
  <w15:docId w15:val="{CF53BA63-DE2A-4666-82AB-C8CB728E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650591665">
      <w:bodyDiv w:val="1"/>
      <w:marLeft w:val="0"/>
      <w:marRight w:val="0"/>
      <w:marTop w:val="0"/>
      <w:marBottom w:val="0"/>
      <w:divBdr>
        <w:top w:val="none" w:sz="0" w:space="0" w:color="auto"/>
        <w:left w:val="none" w:sz="0" w:space="0" w:color="auto"/>
        <w:bottom w:val="none" w:sz="0" w:space="0" w:color="auto"/>
        <w:right w:val="none" w:sz="0" w:space="0" w:color="auto"/>
      </w:divBdr>
      <w:divsChild>
        <w:div w:id="1369140538">
          <w:marLeft w:val="0"/>
          <w:marRight w:val="0"/>
          <w:marTop w:val="0"/>
          <w:marBottom w:val="0"/>
          <w:divBdr>
            <w:top w:val="none" w:sz="0" w:space="0" w:color="auto"/>
            <w:left w:val="none" w:sz="0" w:space="0" w:color="auto"/>
            <w:bottom w:val="none" w:sz="0" w:space="0" w:color="auto"/>
            <w:right w:val="none" w:sz="0" w:space="0" w:color="auto"/>
          </w:divBdr>
          <w:divsChild>
            <w:div w:id="353700048">
              <w:marLeft w:val="0"/>
              <w:marRight w:val="0"/>
              <w:marTop w:val="0"/>
              <w:marBottom w:val="0"/>
              <w:divBdr>
                <w:top w:val="none" w:sz="0" w:space="0" w:color="auto"/>
                <w:left w:val="none" w:sz="0" w:space="0" w:color="auto"/>
                <w:bottom w:val="none" w:sz="0" w:space="0" w:color="auto"/>
                <w:right w:val="none" w:sz="0" w:space="0" w:color="auto"/>
              </w:divBdr>
            </w:div>
            <w:div w:id="479423444">
              <w:marLeft w:val="0"/>
              <w:marRight w:val="0"/>
              <w:marTop w:val="0"/>
              <w:marBottom w:val="0"/>
              <w:divBdr>
                <w:top w:val="none" w:sz="0" w:space="0" w:color="auto"/>
                <w:left w:val="none" w:sz="0" w:space="0" w:color="auto"/>
                <w:bottom w:val="none" w:sz="0" w:space="0" w:color="auto"/>
                <w:right w:val="none" w:sz="0" w:space="0" w:color="auto"/>
              </w:divBdr>
            </w:div>
            <w:div w:id="752166936">
              <w:marLeft w:val="0"/>
              <w:marRight w:val="0"/>
              <w:marTop w:val="0"/>
              <w:marBottom w:val="0"/>
              <w:divBdr>
                <w:top w:val="none" w:sz="0" w:space="0" w:color="auto"/>
                <w:left w:val="none" w:sz="0" w:space="0" w:color="auto"/>
                <w:bottom w:val="none" w:sz="0" w:space="0" w:color="auto"/>
                <w:right w:val="none" w:sz="0" w:space="0" w:color="auto"/>
              </w:divBdr>
            </w:div>
            <w:div w:id="902259141">
              <w:marLeft w:val="0"/>
              <w:marRight w:val="0"/>
              <w:marTop w:val="0"/>
              <w:marBottom w:val="0"/>
              <w:divBdr>
                <w:top w:val="none" w:sz="0" w:space="0" w:color="auto"/>
                <w:left w:val="none" w:sz="0" w:space="0" w:color="auto"/>
                <w:bottom w:val="none" w:sz="0" w:space="0" w:color="auto"/>
                <w:right w:val="none" w:sz="0" w:space="0" w:color="auto"/>
              </w:divBdr>
            </w:div>
            <w:div w:id="1010259646">
              <w:marLeft w:val="0"/>
              <w:marRight w:val="0"/>
              <w:marTop w:val="0"/>
              <w:marBottom w:val="0"/>
              <w:divBdr>
                <w:top w:val="none" w:sz="0" w:space="0" w:color="auto"/>
                <w:left w:val="none" w:sz="0" w:space="0" w:color="auto"/>
                <w:bottom w:val="none" w:sz="0" w:space="0" w:color="auto"/>
                <w:right w:val="none" w:sz="0" w:space="0" w:color="auto"/>
              </w:divBdr>
            </w:div>
            <w:div w:id="1321420292">
              <w:marLeft w:val="0"/>
              <w:marRight w:val="0"/>
              <w:marTop w:val="0"/>
              <w:marBottom w:val="0"/>
              <w:divBdr>
                <w:top w:val="none" w:sz="0" w:space="0" w:color="auto"/>
                <w:left w:val="none" w:sz="0" w:space="0" w:color="auto"/>
                <w:bottom w:val="none" w:sz="0" w:space="0" w:color="auto"/>
                <w:right w:val="none" w:sz="0" w:space="0" w:color="auto"/>
              </w:divBdr>
            </w:div>
            <w:div w:id="1567454639">
              <w:marLeft w:val="0"/>
              <w:marRight w:val="0"/>
              <w:marTop w:val="0"/>
              <w:marBottom w:val="0"/>
              <w:divBdr>
                <w:top w:val="none" w:sz="0" w:space="0" w:color="auto"/>
                <w:left w:val="none" w:sz="0" w:space="0" w:color="auto"/>
                <w:bottom w:val="none" w:sz="0" w:space="0" w:color="auto"/>
                <w:right w:val="none" w:sz="0" w:space="0" w:color="auto"/>
              </w:divBdr>
            </w:div>
            <w:div w:id="1601521434">
              <w:marLeft w:val="0"/>
              <w:marRight w:val="0"/>
              <w:marTop w:val="0"/>
              <w:marBottom w:val="0"/>
              <w:divBdr>
                <w:top w:val="none" w:sz="0" w:space="0" w:color="auto"/>
                <w:left w:val="none" w:sz="0" w:space="0" w:color="auto"/>
                <w:bottom w:val="none" w:sz="0" w:space="0" w:color="auto"/>
                <w:right w:val="none" w:sz="0" w:space="0" w:color="auto"/>
              </w:divBdr>
            </w:div>
            <w:div w:id="1655799270">
              <w:marLeft w:val="0"/>
              <w:marRight w:val="0"/>
              <w:marTop w:val="0"/>
              <w:marBottom w:val="0"/>
              <w:divBdr>
                <w:top w:val="none" w:sz="0" w:space="0" w:color="auto"/>
                <w:left w:val="none" w:sz="0" w:space="0" w:color="auto"/>
                <w:bottom w:val="none" w:sz="0" w:space="0" w:color="auto"/>
                <w:right w:val="none" w:sz="0" w:space="0" w:color="auto"/>
              </w:divBdr>
            </w:div>
            <w:div w:id="2072583474">
              <w:marLeft w:val="0"/>
              <w:marRight w:val="0"/>
              <w:marTop w:val="0"/>
              <w:marBottom w:val="0"/>
              <w:divBdr>
                <w:top w:val="none" w:sz="0" w:space="0" w:color="auto"/>
                <w:left w:val="none" w:sz="0" w:space="0" w:color="auto"/>
                <w:bottom w:val="none" w:sz="0" w:space="0" w:color="auto"/>
                <w:right w:val="none" w:sz="0" w:space="0" w:color="auto"/>
              </w:divBdr>
            </w:div>
            <w:div w:id="2087070322">
              <w:marLeft w:val="0"/>
              <w:marRight w:val="0"/>
              <w:marTop w:val="0"/>
              <w:marBottom w:val="0"/>
              <w:divBdr>
                <w:top w:val="none" w:sz="0" w:space="0" w:color="auto"/>
                <w:left w:val="none" w:sz="0" w:space="0" w:color="auto"/>
                <w:bottom w:val="none" w:sz="0" w:space="0" w:color="auto"/>
                <w:right w:val="none" w:sz="0" w:space="0" w:color="auto"/>
              </w:divBdr>
            </w:div>
            <w:div w:id="20965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28/20190628162326841001.png" TargetMode="External"/><Relationship Id="rId13" Type="http://schemas.openxmlformats.org/officeDocument/2006/relationships/image" Target="media/image4.png"/><Relationship Id="rId18" Type="http://schemas.openxmlformats.org/officeDocument/2006/relationships/image" Target="http://webupload.admin.dongao.com/biz/handout/img/2019/20190628/20190628162326523006.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http://webupload.admin.dongao.com/biz/handout/img/2019/20190628/20190628162326475003.pn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webupload.admin.dongao.com/biz/handout/img/2019/20190628/20190628162326355005.png" TargetMode="External"/><Relationship Id="rId20" Type="http://schemas.openxmlformats.org/officeDocument/2006/relationships/image" Target="http://webupload.admin.dongao.com/biz/handout/img/2019/20190628/20190628162326339007.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http://webupload.admin.dongao.com/biz/handout/img/2019/20190628/20190628162326981002.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28/20190628162326113004.png" TargetMode="External"/><Relationship Id="rId22" Type="http://schemas.openxmlformats.org/officeDocument/2006/relationships/image" Target="http://webupload.admin.dongao.com/biz/handout/img/2019/20190628/20190628162326419008.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4C9D8-65A9-4971-984A-25C025BD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