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1A128" w14:textId="77777777" w:rsidR="00114E64" w:rsidRDefault="00114E64" w:rsidP="00114E64">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第四编</w:t>
      </w:r>
      <w:r>
        <w:rPr>
          <w:rFonts w:cs="Calibri" w:hint="eastAsia"/>
          <w:b/>
          <w:bCs/>
          <w:color w:val="3F3F3F"/>
          <w:sz w:val="52"/>
          <w:szCs w:val="52"/>
        </w:rPr>
        <w:t>•</w:t>
      </w:r>
      <w:r>
        <w:rPr>
          <w:rFonts w:ascii="楷体" w:eastAsia="楷体" w:hAnsi="楷体" w:cs="Calibri" w:hint="eastAsia"/>
          <w:b/>
          <w:bCs/>
          <w:color w:val="3F3F3F"/>
          <w:sz w:val="52"/>
          <w:szCs w:val="52"/>
        </w:rPr>
        <w:t>第十七章</w:t>
      </w:r>
      <w:r>
        <w:rPr>
          <w:rFonts w:cs="Calibri" w:hint="eastAsia"/>
          <w:b/>
          <w:bCs/>
          <w:color w:val="3F3F3F"/>
          <w:sz w:val="52"/>
          <w:szCs w:val="52"/>
        </w:rPr>
        <w:t>•</w:t>
      </w:r>
      <w:r>
        <w:rPr>
          <w:rFonts w:ascii="楷体" w:eastAsia="楷体" w:hAnsi="楷体" w:cs="Calibri" w:hint="eastAsia"/>
          <w:b/>
          <w:bCs/>
          <w:color w:val="3F3F3F"/>
          <w:sz w:val="52"/>
          <w:szCs w:val="52"/>
        </w:rPr>
        <w:t>其他特殊项目的审计</w:t>
      </w:r>
    </w:p>
    <w:p w14:paraId="63606AA6" w14:textId="77777777" w:rsidR="00114E64" w:rsidRDefault="00114E64" w:rsidP="00114E64">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04E84A89" w14:textId="77777777" w:rsidR="00114E64" w:rsidRDefault="00114E64" w:rsidP="00114E64">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第三节　考虑持续经营假设</w:t>
      </w:r>
    </w:p>
    <w:p w14:paraId="5E801048" w14:textId="77777777" w:rsidR="00114E64" w:rsidRDefault="00114E64" w:rsidP="00114E64">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三、应对评估的重大错报风险</w:t>
      </w:r>
    </w:p>
    <w:p w14:paraId="71FD81EE" w14:textId="77777777" w:rsidR="00114E64" w:rsidRDefault="00114E64" w:rsidP="00114E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2.评价超出管理层评估期间的事项或情况</w:t>
      </w:r>
      <w:r>
        <w:rPr>
          <w:rFonts w:cs="Calibri" w:hint="eastAsia"/>
          <w:b/>
          <w:bCs/>
          <w:color w:val="FF0000"/>
          <w:sz w:val="21"/>
          <w:szCs w:val="21"/>
        </w:rPr>
        <w:t>【简答题/多选题高频考点】</w:t>
      </w:r>
    </w:p>
    <w:tbl>
      <w:tblPr>
        <w:tblW w:w="8505" w:type="dxa"/>
        <w:jc w:val="center"/>
        <w:tblCellMar>
          <w:left w:w="0" w:type="dxa"/>
          <w:right w:w="0" w:type="dxa"/>
        </w:tblCellMar>
        <w:tblLook w:val="04A0" w:firstRow="1" w:lastRow="0" w:firstColumn="1" w:lastColumn="0" w:noHBand="0" w:noVBand="1"/>
      </w:tblPr>
      <w:tblGrid>
        <w:gridCol w:w="855"/>
        <w:gridCol w:w="7650"/>
      </w:tblGrid>
      <w:tr w:rsidR="00114E64" w14:paraId="62281583" w14:textId="77777777" w:rsidTr="00114E64">
        <w:trPr>
          <w:jc w:val="center"/>
        </w:trPr>
        <w:tc>
          <w:tcPr>
            <w:tcW w:w="820"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256E7742" w14:textId="77777777" w:rsidR="00114E64" w:rsidRDefault="00114E64" w:rsidP="00114E6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要求</w:t>
            </w:r>
          </w:p>
        </w:tc>
        <w:tc>
          <w:tcPr>
            <w:tcW w:w="7340"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hideMark/>
          </w:tcPr>
          <w:p w14:paraId="19E1D2C1" w14:textId="77777777" w:rsidR="00114E64" w:rsidRDefault="00114E64" w:rsidP="00114E6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（1）注册会计师</w:t>
            </w:r>
            <w:r>
              <w:rPr>
                <w:rFonts w:cs="Calibri" w:hint="eastAsia"/>
                <w:b/>
                <w:bCs/>
                <w:color w:val="FF0000"/>
                <w:sz w:val="21"/>
                <w:szCs w:val="21"/>
              </w:rPr>
              <w:t>应当询问</w:t>
            </w:r>
            <w:r>
              <w:rPr>
                <w:rFonts w:cs="Calibri" w:hint="eastAsia"/>
                <w:color w:val="333333"/>
                <w:sz w:val="21"/>
                <w:szCs w:val="21"/>
              </w:rPr>
              <w:t>管理层是否知悉超出评估期间的、可能导致对持续经营能力产生重大疑虑的事项或情况；除</w:t>
            </w:r>
            <w:r>
              <w:rPr>
                <w:rFonts w:cs="Calibri" w:hint="eastAsia"/>
                <w:b/>
                <w:bCs/>
                <w:color w:val="FF0000"/>
                <w:sz w:val="21"/>
                <w:szCs w:val="21"/>
              </w:rPr>
              <w:t>询问</w:t>
            </w:r>
            <w:r>
              <w:rPr>
                <w:rFonts w:cs="Calibri" w:hint="eastAsia"/>
                <w:color w:val="333333"/>
                <w:sz w:val="21"/>
                <w:szCs w:val="21"/>
              </w:rPr>
              <w:t>管理层外，注册会计师</w:t>
            </w:r>
            <w:r>
              <w:rPr>
                <w:rFonts w:cs="Calibri" w:hint="eastAsia"/>
                <w:b/>
                <w:bCs/>
                <w:color w:val="FF0000"/>
                <w:sz w:val="21"/>
                <w:szCs w:val="21"/>
              </w:rPr>
              <w:t>没有责任</w:t>
            </w:r>
            <w:r>
              <w:rPr>
                <w:rFonts w:cs="Calibri" w:hint="eastAsia"/>
                <w:color w:val="333333"/>
                <w:sz w:val="21"/>
                <w:szCs w:val="21"/>
              </w:rPr>
              <w:t>实施其他任何审计程序</w:t>
            </w:r>
          </w:p>
          <w:p w14:paraId="075EFD4D" w14:textId="77777777" w:rsidR="00114E64" w:rsidRDefault="00114E64" w:rsidP="00114E6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（2）考虑更远期间发生的事项或状况时，只有持续经营迹象达到</w:t>
            </w:r>
            <w:r>
              <w:rPr>
                <w:rFonts w:cs="Calibri" w:hint="eastAsia"/>
                <w:b/>
                <w:bCs/>
                <w:color w:val="FF0000"/>
                <w:sz w:val="21"/>
                <w:szCs w:val="21"/>
              </w:rPr>
              <w:t>重大</w:t>
            </w:r>
            <w:r>
              <w:rPr>
                <w:rFonts w:cs="Calibri" w:hint="eastAsia"/>
                <w:color w:val="333333"/>
                <w:sz w:val="21"/>
                <w:szCs w:val="21"/>
              </w:rPr>
              <w:t>时，注册会计师才需要考虑采取进一步措施，并提请管理层评价其潜在重要性。在这种情况下，注册会计师</w:t>
            </w:r>
            <w:r>
              <w:rPr>
                <w:rFonts w:cs="Calibri" w:hint="eastAsia"/>
                <w:b/>
                <w:bCs/>
                <w:color w:val="FF0000"/>
                <w:sz w:val="21"/>
                <w:szCs w:val="21"/>
              </w:rPr>
              <w:t>应当</w:t>
            </w:r>
            <w:r>
              <w:rPr>
                <w:rFonts w:cs="Calibri" w:hint="eastAsia"/>
                <w:color w:val="333333"/>
                <w:sz w:val="21"/>
                <w:szCs w:val="21"/>
              </w:rPr>
              <w:t>通过实施追加的审计程序，获取充分、适当的审计证据，以确定是否存在重大不确定性</w:t>
            </w:r>
          </w:p>
        </w:tc>
      </w:tr>
    </w:tbl>
    <w:p w14:paraId="36CE38AD" w14:textId="77777777" w:rsidR="00114E64" w:rsidRDefault="00114E64" w:rsidP="00114E64">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"http://webupload.admin.dongao.com/biz/handout/img/2019/20190629/20190629201905175001.png"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222pt">
            <v:imagedata r:id="rId7" r:href="rId8"/>
          </v:shape>
        </w:pict>
      </w:r>
      <w:r>
        <w:rPr>
          <w:rFonts w:ascii="Calibri" w:eastAsia="微软雅黑" w:hAnsi="Calibri" w:cs="Calibri"/>
          <w:color w:val="3F3F3F"/>
          <w:sz w:val="21"/>
          <w:szCs w:val="21"/>
        </w:rPr>
        <w:fldChar w:fldCharType="end"/>
      </w:r>
    </w:p>
    <w:p w14:paraId="206128E1" w14:textId="77777777" w:rsidR="00114E64" w:rsidRDefault="00114E64" w:rsidP="00114E64">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4A6A0605" w14:textId="77777777" w:rsidR="00114E64" w:rsidRDefault="00114E64" w:rsidP="00114E64">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单项选择题【2015年真题】</w:t>
      </w:r>
    </w:p>
    <w:p w14:paraId="6075D631" w14:textId="77777777" w:rsidR="00114E64" w:rsidRDefault="00114E64" w:rsidP="00114E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下列有关注册会计师评价管理层对持续经营能力作出的评估的说法中，错误的是（　　）。</w:t>
      </w:r>
    </w:p>
    <w:p w14:paraId="23A6F09E" w14:textId="77777777" w:rsidR="00114E64" w:rsidRDefault="00114E64" w:rsidP="00114E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A.注册会计师应当纠正管理层对持续经营能力作出评估时缺乏分析的错误</w:t>
      </w:r>
    </w:p>
    <w:p w14:paraId="56699691" w14:textId="77777777" w:rsidR="00114E64" w:rsidRDefault="00114E64" w:rsidP="00114E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B.注册会计师应当询问管理层是否知悉超出评估期间的、可能导致对持续经营产生重大疑虑的事项或情况</w:t>
      </w:r>
    </w:p>
    <w:p w14:paraId="2BC22938" w14:textId="77777777" w:rsidR="00114E64" w:rsidRDefault="00114E64" w:rsidP="00114E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C.在评价管理层作出的评估时，注册会计师应当考虑该评估是否已包括注册会计师在审计过程中注意到的所有相关信息</w:t>
      </w:r>
    </w:p>
    <w:p w14:paraId="52B41C70" w14:textId="77777777" w:rsidR="00114E64" w:rsidRDefault="00114E64" w:rsidP="00114E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D.注册会计师评价的期间应当与管理层对持续经营能力作出评估期间相同，通常为自财务报表日起的十二个月</w:t>
      </w:r>
    </w:p>
    <w:p w14:paraId="62B3DF62" w14:textId="77777777" w:rsidR="00114E64" w:rsidRDefault="00114E64" w:rsidP="00114E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w:t>
      </w:r>
    </w:p>
    <w:p w14:paraId="298DA59E" w14:textId="77777777" w:rsidR="00114E64" w:rsidRDefault="00114E64" w:rsidP="00114E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[点评]选项A中，纠正管理层缺乏分析的错误不是注册会计师的责任。在某些情况下，管理层缺乏详细分析以支持其评估，可能不妨碍注册会计师确定管理层运用持续经营假设是否适合具体情况。</w:t>
      </w:r>
    </w:p>
    <w:p w14:paraId="3A177145" w14:textId="77777777" w:rsidR="00114E64" w:rsidRDefault="00114E64" w:rsidP="00114E64">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单项选择题【改编自2009年真题】</w:t>
      </w:r>
    </w:p>
    <w:p w14:paraId="306139DC" w14:textId="77777777" w:rsidR="00114E64" w:rsidRDefault="00114E64" w:rsidP="00114E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在确定管理层评估持续经营能力的适当性时，下列判断中正确的是（　　）。</w:t>
      </w:r>
    </w:p>
    <w:p w14:paraId="1CF585F0" w14:textId="77777777" w:rsidR="00114E64" w:rsidRDefault="00114E64" w:rsidP="00114E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lastRenderedPageBreak/>
        <w:t>A.管理层评估持续经营能力的期间不得少于自财务报表日起的6个月</w:t>
      </w:r>
    </w:p>
    <w:p w14:paraId="122019F0" w14:textId="77777777" w:rsidR="00114E64" w:rsidRDefault="00114E64" w:rsidP="00114E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B.如果被审计单位具有良好的盈利能力和外部资金支持，管理层无须针对持续经营能力作出评估</w:t>
      </w:r>
    </w:p>
    <w:p w14:paraId="748FC62E" w14:textId="77777777" w:rsidR="00114E64" w:rsidRDefault="00114E64" w:rsidP="00114E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C.如果存在超出评估期间但可能对持续经营能力产生疑虑的事项，管理层没有义务确定其潜在的影响</w:t>
      </w:r>
    </w:p>
    <w:p w14:paraId="4AB2C32E" w14:textId="77777777" w:rsidR="00114E64" w:rsidRDefault="00114E64" w:rsidP="00114E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D.管理层对持续经营能力作出评估时考虑的信息，应当包括注册会计师实施审计程序获取的信息</w:t>
      </w:r>
    </w:p>
    <w:p w14:paraId="46F687EA" w14:textId="77777777" w:rsidR="00114E64" w:rsidRDefault="00114E64" w:rsidP="00114E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[答案]D</w:t>
      </w:r>
    </w:p>
    <w:p w14:paraId="7AC8EB6E" w14:textId="77777777" w:rsidR="00114E64" w:rsidRDefault="00114E64" w:rsidP="00114E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[点评]选项A中，评估持续经营能力的期间不得少于自财务报表日起的</w:t>
      </w:r>
      <w:r>
        <w:rPr>
          <w:rFonts w:cs="Calibri" w:hint="eastAsia"/>
          <w:b/>
          <w:bCs/>
          <w:color w:val="FF0000"/>
          <w:sz w:val="21"/>
          <w:szCs w:val="21"/>
        </w:rPr>
        <w:t>12个月</w:t>
      </w:r>
      <w:r>
        <w:rPr>
          <w:rFonts w:cs="Calibri" w:hint="eastAsia"/>
          <w:color w:val="3F3F3F"/>
          <w:sz w:val="21"/>
          <w:szCs w:val="21"/>
        </w:rPr>
        <w:t>；选项B中，如果被审计单位具有良好的盈利能力和外部资金支持，管理层</w:t>
      </w:r>
      <w:r>
        <w:rPr>
          <w:rFonts w:cs="Calibri" w:hint="eastAsia"/>
          <w:b/>
          <w:bCs/>
          <w:color w:val="FF0000"/>
          <w:sz w:val="21"/>
          <w:szCs w:val="21"/>
        </w:rPr>
        <w:t>无须详细</w:t>
      </w:r>
      <w:r>
        <w:rPr>
          <w:rFonts w:cs="Calibri" w:hint="eastAsia"/>
          <w:color w:val="3F3F3F"/>
          <w:sz w:val="21"/>
          <w:szCs w:val="21"/>
        </w:rPr>
        <w:t>分析，但并非无须针对持续经营能力作出评估；选项C中，如果存在超出评估期间但可能对持续经营能力产生疑虑的事项，管理层</w:t>
      </w:r>
      <w:r>
        <w:rPr>
          <w:rFonts w:cs="Calibri" w:hint="eastAsia"/>
          <w:b/>
          <w:bCs/>
          <w:color w:val="FF0000"/>
          <w:sz w:val="21"/>
          <w:szCs w:val="21"/>
        </w:rPr>
        <w:t>可能有义务</w:t>
      </w:r>
      <w:r>
        <w:rPr>
          <w:rFonts w:cs="Calibri" w:hint="eastAsia"/>
          <w:color w:val="3F3F3F"/>
          <w:sz w:val="21"/>
          <w:szCs w:val="21"/>
        </w:rPr>
        <w:t>确定其潜在的影响。</w:t>
      </w:r>
    </w:p>
    <w:p w14:paraId="08FCC97C" w14:textId="77777777" w:rsidR="00114E64" w:rsidRDefault="00114E64" w:rsidP="00114E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3.识别出事项或情况时实施追加的审计程序</w:t>
      </w:r>
    </w:p>
    <w:tbl>
      <w:tblPr>
        <w:tblW w:w="8505" w:type="dxa"/>
        <w:jc w:val="center"/>
        <w:tblCellMar>
          <w:left w:w="0" w:type="dxa"/>
          <w:right w:w="0" w:type="dxa"/>
        </w:tblCellMar>
        <w:tblLook w:val="04A0" w:firstRow="1" w:lastRow="0" w:firstColumn="1" w:lastColumn="0" w:noHBand="0" w:noVBand="1"/>
      </w:tblPr>
      <w:tblGrid>
        <w:gridCol w:w="688"/>
        <w:gridCol w:w="7817"/>
      </w:tblGrid>
      <w:tr w:rsidR="00114E64" w14:paraId="3F99E486" w14:textId="77777777" w:rsidTr="00114E64">
        <w:trPr>
          <w:trHeight w:val="656"/>
          <w:jc w:val="center"/>
        </w:trPr>
        <w:tc>
          <w:tcPr>
            <w:tcW w:w="8184" w:type="dxa"/>
            <w:gridSpan w:val="2"/>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64CA4A86" w14:textId="77777777" w:rsidR="00114E64" w:rsidRDefault="00114E64" w:rsidP="00114E6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注册会计师应当通过实施追加的审计程序，获取充分、适当的审计证据，以确定是否存在重大不确定性</w:t>
            </w:r>
            <w:r>
              <w:rPr>
                <w:rFonts w:cs="Calibri" w:hint="eastAsia"/>
                <w:b/>
                <w:bCs/>
                <w:color w:val="FF0000"/>
                <w:sz w:val="21"/>
                <w:szCs w:val="21"/>
              </w:rPr>
              <w:t>【多选题考点】[背记]</w:t>
            </w:r>
          </w:p>
        </w:tc>
      </w:tr>
      <w:tr w:rsidR="00114E64" w14:paraId="61C0ADC8" w14:textId="77777777" w:rsidTr="00114E64">
        <w:trPr>
          <w:trHeight w:val="2047"/>
          <w:jc w:val="center"/>
        </w:trPr>
        <w:tc>
          <w:tcPr>
            <w:tcW w:w="662"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hideMark/>
          </w:tcPr>
          <w:p w14:paraId="0DE0CD76" w14:textId="77777777" w:rsidR="00114E64" w:rsidRDefault="00114E64" w:rsidP="00114E6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程序</w:t>
            </w:r>
          </w:p>
        </w:tc>
        <w:tc>
          <w:tcPr>
            <w:tcW w:w="7522" w:type="dxa"/>
            <w:tcBorders>
              <w:top w:val="nil"/>
              <w:left w:val="nil"/>
              <w:bottom w:val="single" w:sz="8" w:space="0" w:color="auto"/>
              <w:right w:val="single" w:sz="8" w:space="0" w:color="auto"/>
            </w:tcBorders>
            <w:tcMar>
              <w:top w:w="15" w:type="dxa"/>
              <w:left w:w="108" w:type="dxa"/>
              <w:bottom w:w="0" w:type="dxa"/>
              <w:right w:w="108" w:type="dxa"/>
            </w:tcMar>
            <w:vAlign w:val="center"/>
            <w:hideMark/>
          </w:tcPr>
          <w:p w14:paraId="0436E71C" w14:textId="77777777" w:rsidR="00114E64" w:rsidRDefault="00114E64" w:rsidP="00114E6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a）如果管理层尚未对被审计单位持续经营能力作出评估，</w:t>
            </w:r>
            <w:r>
              <w:rPr>
                <w:rFonts w:cs="Calibri" w:hint="eastAsia"/>
                <w:b/>
                <w:bCs/>
                <w:color w:val="FF0000"/>
                <w:sz w:val="21"/>
                <w:szCs w:val="21"/>
              </w:rPr>
              <w:t>提请</w:t>
            </w:r>
            <w:r>
              <w:rPr>
                <w:rFonts w:cs="Calibri" w:hint="eastAsia"/>
                <w:color w:val="333333"/>
                <w:sz w:val="21"/>
                <w:szCs w:val="21"/>
              </w:rPr>
              <w:t>其进行评估</w:t>
            </w:r>
          </w:p>
          <w:p w14:paraId="494CDC56" w14:textId="77777777" w:rsidR="00114E64" w:rsidRDefault="00114E64" w:rsidP="00114E6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b）评价管理层与持续经营能力评估相关的</w:t>
            </w:r>
            <w:r>
              <w:rPr>
                <w:rFonts w:cs="Calibri" w:hint="eastAsia"/>
                <w:b/>
                <w:bCs/>
                <w:color w:val="FF0000"/>
                <w:sz w:val="21"/>
                <w:szCs w:val="21"/>
              </w:rPr>
              <w:t>未来应对计划</w:t>
            </w:r>
            <w:r>
              <w:rPr>
                <w:rFonts w:cs="Calibri" w:hint="eastAsia"/>
                <w:color w:val="333333"/>
                <w:sz w:val="21"/>
                <w:szCs w:val="21"/>
              </w:rPr>
              <w:t>，这些计划的结果是否可能改善目前的状况，以及管理层的计划对于具体情况是否可行</w:t>
            </w:r>
          </w:p>
          <w:p w14:paraId="24ADADCE" w14:textId="77777777" w:rsidR="00114E64" w:rsidRDefault="00114E64" w:rsidP="00114E6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c）如果被审计单位已编制</w:t>
            </w:r>
            <w:r>
              <w:rPr>
                <w:rFonts w:cs="Calibri" w:hint="eastAsia"/>
                <w:b/>
                <w:bCs/>
                <w:color w:val="FF0000"/>
                <w:sz w:val="21"/>
                <w:szCs w:val="21"/>
              </w:rPr>
              <w:t>现金流量预测</w:t>
            </w:r>
            <w:r>
              <w:rPr>
                <w:rFonts w:cs="Calibri" w:hint="eastAsia"/>
                <w:color w:val="333333"/>
                <w:sz w:val="21"/>
                <w:szCs w:val="21"/>
              </w:rPr>
              <w:t>，且对预测的分析是评价管理层未来应对计划时所考虑的事项或情况的未来结果的重要因素，评价用于编制预测的基础数据的可靠性，并确定预测所基于的假设是否具有充分的支持</w:t>
            </w:r>
          </w:p>
          <w:p w14:paraId="35F17427" w14:textId="77777777" w:rsidR="00114E64" w:rsidRDefault="00114E64" w:rsidP="00114E6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d）考虑自管理层作出评估后是否存在其他可获得的事实或信息</w:t>
            </w:r>
          </w:p>
          <w:p w14:paraId="0B01DE7A" w14:textId="77777777" w:rsidR="00114E64" w:rsidRDefault="00114E64" w:rsidP="00114E6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e）要求管理层和治理层（如适用）提供有关未来应对计划及其可行性的</w:t>
            </w:r>
            <w:r>
              <w:rPr>
                <w:rFonts w:cs="Calibri" w:hint="eastAsia"/>
                <w:b/>
                <w:bCs/>
                <w:color w:val="FF0000"/>
                <w:sz w:val="21"/>
                <w:szCs w:val="21"/>
              </w:rPr>
              <w:t>书面声明</w:t>
            </w:r>
          </w:p>
        </w:tc>
      </w:tr>
    </w:tbl>
    <w:p w14:paraId="37D7CC17" w14:textId="77777777" w:rsidR="00114E64" w:rsidRDefault="00114E64" w:rsidP="00114E64">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"http://webupload.admin.dongao.com/biz/handout/img/2019/20190629/20190629201905504002.png"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6" type="#_x0000_t75" style="width:420pt;height:216.75pt">
            <v:imagedata r:id="rId9" r:href="rId10"/>
          </v:shape>
        </w:pict>
      </w:r>
      <w:r>
        <w:rPr>
          <w:rFonts w:ascii="Calibri" w:eastAsia="微软雅黑" w:hAnsi="Calibri" w:cs="Calibri"/>
          <w:color w:val="3F3F3F"/>
          <w:sz w:val="21"/>
          <w:szCs w:val="21"/>
        </w:rPr>
        <w:fldChar w:fldCharType="end"/>
      </w:r>
    </w:p>
    <w:p w14:paraId="6CBD608D" w14:textId="77777777" w:rsidR="00114E64" w:rsidRDefault="00114E64" w:rsidP="00114E64">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w:t>
      </w:r>
      <w:r>
        <w:rPr>
          <w:rFonts w:ascii="Calibri" w:eastAsia="微软雅黑" w:hAnsi="Calibri" w:cs="Calibri"/>
          <w:b/>
          <w:bCs/>
          <w:color w:val="3F3F3F"/>
          <w:sz w:val="21"/>
          <w:szCs w:val="21"/>
        </w:rPr>
        <w:t>2015</w:t>
      </w:r>
      <w:r>
        <w:rPr>
          <w:rFonts w:cs="Calibri" w:hint="eastAsia"/>
          <w:b/>
          <w:bCs/>
          <w:color w:val="3F3F3F"/>
          <w:sz w:val="21"/>
          <w:szCs w:val="21"/>
        </w:rPr>
        <w:t>年真题】</w:t>
      </w:r>
    </w:p>
    <w:p w14:paraId="382DE507" w14:textId="77777777" w:rsidR="00114E64" w:rsidRDefault="00114E64" w:rsidP="00114E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识别出可能导致对持续经营能力产生重大疑虑的事项或情况，下列审计程序中，注册会计师应当实施的有（　　）。</w:t>
      </w:r>
    </w:p>
    <w:p w14:paraId="53B81548" w14:textId="77777777" w:rsidR="00114E64" w:rsidRDefault="00114E64" w:rsidP="00114E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A.注册会计师评价与持续经营能力评估相关的未来应对计划对于被审计单位的具体情况是否可行</w:t>
      </w:r>
    </w:p>
    <w:p w14:paraId="58155FE5" w14:textId="77777777" w:rsidR="00114E64" w:rsidRDefault="00114E64" w:rsidP="00114E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B.考虑自管理层作出评估后是否存在其他可获得的事实或信息</w:t>
      </w:r>
    </w:p>
    <w:p w14:paraId="470CADE1" w14:textId="77777777" w:rsidR="00114E64" w:rsidRDefault="00114E64" w:rsidP="00114E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C.要求管理层提供有关未来应对计划及其可行性的书面声明</w:t>
      </w:r>
    </w:p>
    <w:p w14:paraId="4C777AD6" w14:textId="77777777" w:rsidR="00114E64" w:rsidRDefault="00114E64" w:rsidP="00114E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D.如果管理层尚未对被审计单位持续经营能力作出评估，提请其进行评估</w:t>
      </w:r>
    </w:p>
    <w:p w14:paraId="1EB04560" w14:textId="77777777" w:rsidR="00114E64" w:rsidRDefault="00114E64" w:rsidP="00114E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[答案]ABCD</w:t>
      </w:r>
    </w:p>
    <w:p w14:paraId="6B624159" w14:textId="77777777" w:rsidR="00114E64" w:rsidRDefault="00114E64" w:rsidP="00114E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ascii="Calibri" w:eastAsia="微软雅黑" w:hAnsi="Calibri" w:cs="Calibri"/>
          <w:color w:val="3F3F3F"/>
          <w:sz w:val="21"/>
          <w:szCs w:val="21"/>
        </w:rPr>
        <w:t>[</w:t>
      </w:r>
      <w:r>
        <w:rPr>
          <w:rFonts w:cs="Calibri" w:hint="eastAsia"/>
          <w:color w:val="3F3F3F"/>
          <w:sz w:val="21"/>
          <w:szCs w:val="21"/>
        </w:rPr>
        <w:t>点评</w:t>
      </w:r>
      <w:r>
        <w:rPr>
          <w:rFonts w:ascii="Calibri" w:eastAsia="微软雅黑" w:hAnsi="Calibri" w:cs="Calibri"/>
          <w:color w:val="3F3F3F"/>
          <w:sz w:val="21"/>
          <w:szCs w:val="21"/>
        </w:rPr>
        <w:t>]</w:t>
      </w:r>
      <w:r>
        <w:rPr>
          <w:rFonts w:cs="Calibri" w:hint="eastAsia"/>
          <w:color w:val="3F3F3F"/>
          <w:sz w:val="21"/>
          <w:szCs w:val="21"/>
        </w:rPr>
        <w:t>本题是对注册会计师应当执行何种程序的直接考查。</w:t>
      </w:r>
    </w:p>
    <w:p w14:paraId="3371EC7E" w14:textId="77777777" w:rsidR="00114E64" w:rsidRDefault="00114E64" w:rsidP="00114E64">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四、审计结论与报告</w:t>
      </w:r>
      <w:r>
        <w:rPr>
          <w:rFonts w:ascii="Calibri" w:eastAsia="微软雅黑" w:hAnsi="Calibri" w:cs="Calibri"/>
          <w:b/>
          <w:bCs/>
          <w:color w:val="FF0000"/>
          <w:sz w:val="21"/>
          <w:szCs w:val="21"/>
        </w:rPr>
        <w:t>[</w:t>
      </w:r>
      <w:r>
        <w:rPr>
          <w:rFonts w:cs="Calibri" w:hint="eastAsia"/>
          <w:b/>
          <w:bCs/>
          <w:color w:val="FF0000"/>
          <w:sz w:val="21"/>
          <w:szCs w:val="21"/>
        </w:rPr>
        <w:t>链接第</w:t>
      </w:r>
      <w:r>
        <w:rPr>
          <w:rFonts w:ascii="Calibri" w:eastAsia="微软雅黑" w:hAnsi="Calibri" w:cs="Calibri"/>
          <w:b/>
          <w:bCs/>
          <w:color w:val="FF0000"/>
          <w:sz w:val="21"/>
          <w:szCs w:val="21"/>
        </w:rPr>
        <w:t>19</w:t>
      </w:r>
      <w:r>
        <w:rPr>
          <w:rFonts w:cs="Calibri" w:hint="eastAsia"/>
          <w:b/>
          <w:bCs/>
          <w:color w:val="FF0000"/>
          <w:sz w:val="21"/>
          <w:szCs w:val="21"/>
        </w:rPr>
        <w:t>章</w:t>
      </w:r>
      <w:r>
        <w:rPr>
          <w:rFonts w:ascii="Calibri" w:eastAsia="微软雅黑" w:hAnsi="Calibri" w:cs="Calibri"/>
          <w:b/>
          <w:bCs/>
          <w:color w:val="FF0000"/>
          <w:sz w:val="21"/>
          <w:szCs w:val="21"/>
        </w:rPr>
        <w:t>]</w:t>
      </w:r>
    </w:p>
    <w:p w14:paraId="348A6CAD" w14:textId="77777777" w:rsidR="00114E64" w:rsidRDefault="00114E64" w:rsidP="00114E64">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FF0000"/>
          <w:sz w:val="21"/>
          <w:szCs w:val="21"/>
        </w:rPr>
        <w:t>【小金敲黑板】</w:t>
      </w:r>
    </w:p>
    <w:p w14:paraId="3D77E697" w14:textId="77777777" w:rsidR="00114E64" w:rsidRDefault="00114E64" w:rsidP="00114E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本知识点涉及第</w:t>
      </w:r>
      <w:r>
        <w:rPr>
          <w:rFonts w:ascii="Calibri" w:eastAsia="微软雅黑" w:hAnsi="Calibri" w:cs="Calibri"/>
          <w:color w:val="3F3F3F"/>
          <w:sz w:val="21"/>
          <w:szCs w:val="21"/>
        </w:rPr>
        <w:t>19</w:t>
      </w:r>
      <w:r>
        <w:rPr>
          <w:rFonts w:cs="Calibri" w:hint="eastAsia"/>
          <w:color w:val="3F3F3F"/>
          <w:sz w:val="21"/>
          <w:szCs w:val="21"/>
        </w:rPr>
        <w:t>章审计报告的相关知识，同学们先根据板书理清层次，重点掌握在不同情形下发表的</w:t>
      </w:r>
      <w:r>
        <w:rPr>
          <w:rFonts w:cs="Calibri" w:hint="eastAsia"/>
          <w:b/>
          <w:bCs/>
          <w:color w:val="FF0000"/>
          <w:sz w:val="21"/>
          <w:szCs w:val="21"/>
        </w:rPr>
        <w:t>审计意见类型</w:t>
      </w:r>
      <w:r>
        <w:rPr>
          <w:rFonts w:cs="Calibri" w:hint="eastAsia"/>
          <w:color w:val="3F3F3F"/>
          <w:sz w:val="21"/>
          <w:szCs w:val="21"/>
        </w:rPr>
        <w:t>即可；如何</w:t>
      </w:r>
      <w:r>
        <w:rPr>
          <w:rFonts w:cs="Calibri" w:hint="eastAsia"/>
          <w:b/>
          <w:bCs/>
          <w:color w:val="FF0000"/>
          <w:sz w:val="21"/>
          <w:szCs w:val="21"/>
        </w:rPr>
        <w:t>撰写</w:t>
      </w:r>
      <w:r>
        <w:rPr>
          <w:rFonts w:cs="Calibri" w:hint="eastAsia"/>
          <w:color w:val="3F3F3F"/>
          <w:sz w:val="21"/>
          <w:szCs w:val="21"/>
        </w:rPr>
        <w:t>审计报告的正文，我们将在第</w:t>
      </w:r>
      <w:r>
        <w:rPr>
          <w:rFonts w:ascii="Calibri" w:eastAsia="微软雅黑" w:hAnsi="Calibri" w:cs="Calibri"/>
          <w:color w:val="3F3F3F"/>
          <w:sz w:val="21"/>
          <w:szCs w:val="21"/>
        </w:rPr>
        <w:t>19</w:t>
      </w:r>
      <w:r>
        <w:rPr>
          <w:rFonts w:cs="Calibri" w:hint="eastAsia"/>
          <w:color w:val="3F3F3F"/>
          <w:sz w:val="21"/>
          <w:szCs w:val="21"/>
        </w:rPr>
        <w:t>章予以详述。</w:t>
      </w:r>
    </w:p>
    <w:tbl>
      <w:tblPr>
        <w:tblW w:w="8505" w:type="dxa"/>
        <w:jc w:val="center"/>
        <w:tblCellMar>
          <w:left w:w="0" w:type="dxa"/>
          <w:right w:w="0" w:type="dxa"/>
        </w:tblCellMar>
        <w:tblLook w:val="04A0" w:firstRow="1" w:lastRow="0" w:firstColumn="1" w:lastColumn="0" w:noHBand="0" w:noVBand="1"/>
      </w:tblPr>
      <w:tblGrid>
        <w:gridCol w:w="1153"/>
        <w:gridCol w:w="13"/>
        <w:gridCol w:w="7339"/>
      </w:tblGrid>
      <w:tr w:rsidR="00114E64" w14:paraId="1B357C11" w14:textId="77777777" w:rsidTr="00114E64">
        <w:trPr>
          <w:trHeight w:val="441"/>
          <w:jc w:val="center"/>
        </w:trPr>
        <w:tc>
          <w:tcPr>
            <w:tcW w:w="8505" w:type="dxa"/>
            <w:gridSpan w:val="3"/>
            <w:tcBorders>
              <w:top w:val="single" w:sz="8" w:space="0" w:color="auto"/>
              <w:left w:val="single" w:sz="8" w:space="0" w:color="auto"/>
              <w:bottom w:val="single" w:sz="8" w:space="0" w:color="auto"/>
              <w:right w:val="single" w:sz="8" w:space="0" w:color="auto"/>
            </w:tcBorders>
            <w:tcMar>
              <w:top w:w="15" w:type="dxa"/>
              <w:left w:w="72" w:type="dxa"/>
              <w:bottom w:w="0" w:type="dxa"/>
              <w:right w:w="72" w:type="dxa"/>
            </w:tcMar>
            <w:vAlign w:val="center"/>
            <w:hideMark/>
          </w:tcPr>
          <w:p w14:paraId="3BD5FC1B" w14:textId="77777777" w:rsidR="00114E64" w:rsidRDefault="00114E64" w:rsidP="00114E6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1.持续经营假设适当但存在重大不确定性</w:t>
            </w:r>
            <w:r>
              <w:rPr>
                <w:rFonts w:cs="Calibri" w:hint="eastAsia"/>
                <w:b/>
                <w:bCs/>
                <w:color w:val="FF0000"/>
                <w:sz w:val="21"/>
                <w:szCs w:val="21"/>
              </w:rPr>
              <w:t>【多选题/简答题必考点】</w:t>
            </w:r>
          </w:p>
        </w:tc>
      </w:tr>
      <w:tr w:rsidR="00114E64" w14:paraId="3DE79E56" w14:textId="77777777" w:rsidTr="00114E64">
        <w:trPr>
          <w:trHeight w:val="4583"/>
          <w:jc w:val="center"/>
        </w:trPr>
        <w:tc>
          <w:tcPr>
            <w:tcW w:w="1104" w:type="dxa"/>
            <w:tcBorders>
              <w:top w:val="nil"/>
              <w:left w:val="single" w:sz="8" w:space="0" w:color="auto"/>
              <w:bottom w:val="single" w:sz="8" w:space="0" w:color="auto"/>
              <w:right w:val="single" w:sz="8" w:space="0" w:color="auto"/>
            </w:tcBorders>
            <w:tcMar>
              <w:top w:w="15" w:type="dxa"/>
              <w:left w:w="72" w:type="dxa"/>
              <w:bottom w:w="0" w:type="dxa"/>
              <w:right w:w="72" w:type="dxa"/>
            </w:tcMar>
            <w:vAlign w:val="center"/>
            <w:hideMark/>
          </w:tcPr>
          <w:p w14:paraId="6DE54CFF" w14:textId="77777777" w:rsidR="00114E64" w:rsidRDefault="00114E64" w:rsidP="00114E6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lastRenderedPageBreak/>
              <w:t>程序</w:t>
            </w:r>
          </w:p>
        </w:tc>
        <w:tc>
          <w:tcPr>
            <w:tcW w:w="7401" w:type="dxa"/>
            <w:gridSpan w:val="2"/>
            <w:tcBorders>
              <w:top w:val="nil"/>
              <w:left w:val="nil"/>
              <w:bottom w:val="single" w:sz="8" w:space="0" w:color="auto"/>
              <w:right w:val="single" w:sz="8" w:space="0" w:color="auto"/>
            </w:tcBorders>
            <w:tcMar>
              <w:top w:w="15" w:type="dxa"/>
              <w:left w:w="72" w:type="dxa"/>
              <w:bottom w:w="0" w:type="dxa"/>
              <w:right w:w="72" w:type="dxa"/>
            </w:tcMar>
            <w:vAlign w:val="center"/>
            <w:hideMark/>
          </w:tcPr>
          <w:p w14:paraId="10C7D504" w14:textId="77777777" w:rsidR="00114E64" w:rsidRDefault="00114E64" w:rsidP="00114E6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（1）财务报表对重大不确定性</w:t>
            </w:r>
            <w:r>
              <w:rPr>
                <w:rFonts w:cs="Calibri" w:hint="eastAsia"/>
                <w:b/>
                <w:bCs/>
                <w:color w:val="FF0000"/>
                <w:sz w:val="21"/>
                <w:szCs w:val="21"/>
              </w:rPr>
              <w:t>已作出充分披露</w:t>
            </w:r>
            <w:r>
              <w:rPr>
                <w:rFonts w:cs="Calibri" w:hint="eastAsia"/>
                <w:color w:val="333333"/>
                <w:sz w:val="21"/>
                <w:szCs w:val="21"/>
              </w:rPr>
              <w:t>，注册会计师应当发表</w:t>
            </w:r>
            <w:r>
              <w:rPr>
                <w:rFonts w:cs="Calibri" w:hint="eastAsia"/>
                <w:b/>
                <w:bCs/>
                <w:color w:val="FF0000"/>
                <w:sz w:val="21"/>
                <w:szCs w:val="21"/>
              </w:rPr>
              <w:t>无保留意见</w:t>
            </w:r>
            <w:r>
              <w:rPr>
                <w:rFonts w:cs="Calibri" w:hint="eastAsia"/>
                <w:color w:val="333333"/>
                <w:sz w:val="21"/>
                <w:szCs w:val="21"/>
              </w:rPr>
              <w:t>，并在审计报告中增加以</w:t>
            </w:r>
            <w:r>
              <w:rPr>
                <w:rFonts w:cs="Calibri" w:hint="eastAsia"/>
                <w:b/>
                <w:bCs/>
                <w:color w:val="FF0000"/>
                <w:sz w:val="21"/>
                <w:szCs w:val="21"/>
              </w:rPr>
              <w:t>“与持续经营相关的重大不确定性”</w:t>
            </w:r>
            <w:r>
              <w:rPr>
                <w:rFonts w:cs="Calibri" w:hint="eastAsia"/>
                <w:color w:val="333333"/>
                <w:sz w:val="21"/>
                <w:szCs w:val="21"/>
              </w:rPr>
              <w:t>为标题的单独部分，以：</w:t>
            </w:r>
          </w:p>
          <w:p w14:paraId="5D43B007" w14:textId="77777777" w:rsidR="00114E64" w:rsidRDefault="00114E64" w:rsidP="00114E64">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a）提醒财务报表使用者</w:t>
            </w:r>
            <w:r>
              <w:rPr>
                <w:rFonts w:cs="Calibri" w:hint="eastAsia"/>
                <w:b/>
                <w:bCs/>
                <w:color w:val="FF0000"/>
                <w:sz w:val="21"/>
                <w:szCs w:val="21"/>
              </w:rPr>
              <w:t>关注</w:t>
            </w:r>
            <w:r>
              <w:rPr>
                <w:rFonts w:cs="Calibri" w:hint="eastAsia"/>
                <w:color w:val="333333"/>
                <w:sz w:val="21"/>
                <w:szCs w:val="21"/>
              </w:rPr>
              <w:t>财务报表附注中对所述事项的披露</w:t>
            </w:r>
          </w:p>
          <w:p w14:paraId="08C4D184" w14:textId="77777777" w:rsidR="00114E64" w:rsidRDefault="00114E64" w:rsidP="00114E64">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b）说明这些事项或情况表明存在可能导致对被审计单位持续经营能力产生重大疑虑的重大不确定性，并说明该事项</w:t>
            </w:r>
            <w:r>
              <w:rPr>
                <w:rFonts w:cs="Calibri" w:hint="eastAsia"/>
                <w:b/>
                <w:bCs/>
                <w:color w:val="FF0000"/>
                <w:sz w:val="21"/>
                <w:szCs w:val="21"/>
              </w:rPr>
              <w:t>并不影响</w:t>
            </w:r>
            <w:r>
              <w:rPr>
                <w:rFonts w:cs="Calibri" w:hint="eastAsia"/>
                <w:color w:val="333333"/>
                <w:sz w:val="21"/>
                <w:szCs w:val="21"/>
              </w:rPr>
              <w:t>发表的审计意见</w:t>
            </w:r>
          </w:p>
          <w:p w14:paraId="01A667AF" w14:textId="77777777" w:rsidR="00114E64" w:rsidRDefault="00114E64" w:rsidP="00114E6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在极少数情况下，当存在多项对财务报表整体具有重要影响的重大不确定性时，尽管注册会计师对每个单独的不确定事项获取了充分、适当的审计证据，但由于不确定事项之间可能存在相互影响，以及可能对财务报表产生累积影响，注册会计师可能认为发表</w:t>
            </w:r>
            <w:r>
              <w:rPr>
                <w:rFonts w:cs="Calibri" w:hint="eastAsia"/>
                <w:b/>
                <w:bCs/>
                <w:color w:val="FF0000"/>
                <w:sz w:val="21"/>
                <w:szCs w:val="21"/>
              </w:rPr>
              <w:t>无法表示意见而非增加</w:t>
            </w:r>
            <w:r>
              <w:rPr>
                <w:rFonts w:cs="Calibri" w:hint="eastAsia"/>
                <w:color w:val="333333"/>
                <w:sz w:val="21"/>
                <w:szCs w:val="21"/>
              </w:rPr>
              <w:t>以“与持续经营相关的重大不确定性”为标题的单独部分是适当的</w:t>
            </w:r>
          </w:p>
          <w:p w14:paraId="67E456ED" w14:textId="77777777" w:rsidR="00114E64" w:rsidRDefault="00114E64" w:rsidP="00114E6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（3）财务报表</w:t>
            </w:r>
            <w:r>
              <w:rPr>
                <w:rFonts w:cs="Calibri" w:hint="eastAsia"/>
                <w:b/>
                <w:bCs/>
                <w:color w:val="FF0000"/>
                <w:sz w:val="21"/>
                <w:szCs w:val="21"/>
              </w:rPr>
              <w:t>未作出充分披露</w:t>
            </w:r>
            <w:r>
              <w:rPr>
                <w:rFonts w:cs="Calibri" w:hint="eastAsia"/>
                <w:color w:val="333333"/>
                <w:sz w:val="21"/>
                <w:szCs w:val="21"/>
              </w:rPr>
              <w:t>，注册会计师应当发表</w:t>
            </w:r>
            <w:r>
              <w:rPr>
                <w:rFonts w:cs="Calibri" w:hint="eastAsia"/>
                <w:b/>
                <w:bCs/>
                <w:color w:val="FF0000"/>
                <w:sz w:val="21"/>
                <w:szCs w:val="21"/>
              </w:rPr>
              <w:t>保留意见或否定意见</w:t>
            </w:r>
            <w:r>
              <w:rPr>
                <w:rFonts w:cs="Calibri" w:hint="eastAsia"/>
                <w:color w:val="333333"/>
                <w:sz w:val="21"/>
                <w:szCs w:val="21"/>
              </w:rPr>
              <w:t>。注册会计师应当在审计报告中说明，存在可能导致对被审计单位持续经营能力产生重大疑虑的重大不确定性</w:t>
            </w:r>
          </w:p>
        </w:tc>
      </w:tr>
      <w:tr w:rsidR="00114E64" w14:paraId="41633507" w14:textId="77777777" w:rsidTr="00114E64">
        <w:trPr>
          <w:trHeight w:val="222"/>
          <w:jc w:val="center"/>
        </w:trPr>
        <w:tc>
          <w:tcPr>
            <w:tcW w:w="8505" w:type="dxa"/>
            <w:gridSpan w:val="3"/>
            <w:tcBorders>
              <w:top w:val="nil"/>
              <w:left w:val="single" w:sz="8" w:space="0" w:color="auto"/>
              <w:bottom w:val="single" w:sz="8" w:space="0" w:color="auto"/>
              <w:right w:val="single" w:sz="8" w:space="0" w:color="auto"/>
            </w:tcBorders>
            <w:tcMar>
              <w:top w:w="15" w:type="dxa"/>
              <w:left w:w="72" w:type="dxa"/>
              <w:bottom w:w="0" w:type="dxa"/>
              <w:right w:w="72" w:type="dxa"/>
            </w:tcMar>
            <w:vAlign w:val="center"/>
            <w:hideMark/>
          </w:tcPr>
          <w:p w14:paraId="79B21F2F" w14:textId="77777777" w:rsidR="00114E64" w:rsidRDefault="00114E64" w:rsidP="00114E6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2.运用持续经营假设不适当</w:t>
            </w:r>
            <w:r>
              <w:rPr>
                <w:rFonts w:cs="Calibri" w:hint="eastAsia"/>
                <w:b/>
                <w:bCs/>
                <w:color w:val="FF0000"/>
                <w:sz w:val="21"/>
                <w:szCs w:val="21"/>
              </w:rPr>
              <w:t>【多选题/简答题必考点】</w:t>
            </w:r>
          </w:p>
        </w:tc>
      </w:tr>
      <w:tr w:rsidR="00114E64" w14:paraId="5822E4B7" w14:textId="77777777" w:rsidTr="00114E64">
        <w:trPr>
          <w:trHeight w:val="2443"/>
          <w:jc w:val="center"/>
        </w:trPr>
        <w:tc>
          <w:tcPr>
            <w:tcW w:w="1113" w:type="dxa"/>
            <w:gridSpan w:val="2"/>
            <w:tcBorders>
              <w:top w:val="nil"/>
              <w:left w:val="single" w:sz="8" w:space="0" w:color="auto"/>
              <w:bottom w:val="single" w:sz="8" w:space="0" w:color="auto"/>
              <w:right w:val="single" w:sz="8" w:space="0" w:color="auto"/>
            </w:tcBorders>
            <w:tcMar>
              <w:top w:w="15" w:type="dxa"/>
              <w:left w:w="72" w:type="dxa"/>
              <w:bottom w:w="0" w:type="dxa"/>
              <w:right w:w="72" w:type="dxa"/>
            </w:tcMar>
            <w:vAlign w:val="center"/>
            <w:hideMark/>
          </w:tcPr>
          <w:p w14:paraId="15F61733" w14:textId="77777777" w:rsidR="00114E64" w:rsidRDefault="00114E64" w:rsidP="00114E6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程序</w:t>
            </w:r>
          </w:p>
        </w:tc>
        <w:tc>
          <w:tcPr>
            <w:tcW w:w="7392" w:type="dxa"/>
            <w:tcBorders>
              <w:top w:val="nil"/>
              <w:left w:val="nil"/>
              <w:bottom w:val="single" w:sz="8" w:space="0" w:color="auto"/>
              <w:right w:val="single" w:sz="8" w:space="0" w:color="auto"/>
            </w:tcBorders>
            <w:tcMar>
              <w:top w:w="15" w:type="dxa"/>
              <w:left w:w="72" w:type="dxa"/>
              <w:bottom w:w="0" w:type="dxa"/>
              <w:right w:w="72" w:type="dxa"/>
            </w:tcMar>
            <w:vAlign w:val="center"/>
            <w:hideMark/>
          </w:tcPr>
          <w:p w14:paraId="1CE4C836" w14:textId="77777777" w:rsidR="00114E64" w:rsidRDefault="00114E64" w:rsidP="00114E6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（1）无论财务报表中对管理层运用持续经营假设的不适当性是否作出披露，注册会计师均应发表</w:t>
            </w:r>
            <w:r>
              <w:rPr>
                <w:rFonts w:cs="Calibri" w:hint="eastAsia"/>
                <w:b/>
                <w:bCs/>
                <w:color w:val="FF0000"/>
                <w:sz w:val="21"/>
                <w:szCs w:val="21"/>
              </w:rPr>
              <w:t>否定意见</w:t>
            </w:r>
          </w:p>
          <w:p w14:paraId="0FE17A70" w14:textId="77777777" w:rsidR="00114E64" w:rsidRDefault="00114E64" w:rsidP="00114E6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如果在具体情况下运用持续经营假设是不适当的，但管理层被要求或自愿选择编制财务报表，则可以采用替代基础（如清算基础）编制财务报表。注册会计师可以对财务报表进行审计，前提是注册会计师确定</w:t>
            </w:r>
            <w:r>
              <w:rPr>
                <w:rFonts w:cs="Calibri" w:hint="eastAsia"/>
                <w:b/>
                <w:bCs/>
                <w:color w:val="FF0000"/>
                <w:sz w:val="21"/>
                <w:szCs w:val="21"/>
              </w:rPr>
              <w:t>替代基础</w:t>
            </w:r>
            <w:r>
              <w:rPr>
                <w:rFonts w:cs="Calibri" w:hint="eastAsia"/>
                <w:color w:val="333333"/>
                <w:sz w:val="21"/>
                <w:szCs w:val="21"/>
              </w:rPr>
              <w:t>在具体情况下是</w:t>
            </w:r>
            <w:r>
              <w:rPr>
                <w:rFonts w:cs="Calibri" w:hint="eastAsia"/>
                <w:b/>
                <w:bCs/>
                <w:color w:val="FF0000"/>
                <w:sz w:val="21"/>
                <w:szCs w:val="21"/>
              </w:rPr>
              <w:t>可接受的编制基础</w:t>
            </w:r>
            <w:r>
              <w:rPr>
                <w:rFonts w:cs="Calibri" w:hint="eastAsia"/>
                <w:color w:val="333333"/>
                <w:sz w:val="21"/>
                <w:szCs w:val="21"/>
              </w:rPr>
              <w:t>。如果财务报表对此作出了</w:t>
            </w:r>
            <w:r>
              <w:rPr>
                <w:rFonts w:cs="Calibri" w:hint="eastAsia"/>
                <w:b/>
                <w:bCs/>
                <w:color w:val="FF0000"/>
                <w:sz w:val="21"/>
                <w:szCs w:val="21"/>
              </w:rPr>
              <w:t>充分披露</w:t>
            </w:r>
            <w:r>
              <w:rPr>
                <w:rFonts w:cs="Calibri" w:hint="eastAsia"/>
                <w:color w:val="333333"/>
                <w:sz w:val="21"/>
                <w:szCs w:val="21"/>
              </w:rPr>
              <w:t>，注册会计师可以发表</w:t>
            </w:r>
            <w:r>
              <w:rPr>
                <w:rFonts w:cs="Calibri" w:hint="eastAsia"/>
                <w:b/>
                <w:bCs/>
                <w:color w:val="FF0000"/>
                <w:sz w:val="21"/>
                <w:szCs w:val="21"/>
              </w:rPr>
              <w:t>无保留意见</w:t>
            </w:r>
            <w:r>
              <w:rPr>
                <w:rFonts w:cs="Calibri" w:hint="eastAsia"/>
                <w:color w:val="333333"/>
                <w:sz w:val="21"/>
                <w:szCs w:val="21"/>
              </w:rPr>
              <w:t>，但也可能认为在审计报告中</w:t>
            </w:r>
            <w:r>
              <w:rPr>
                <w:rFonts w:cs="Calibri" w:hint="eastAsia"/>
                <w:b/>
                <w:bCs/>
                <w:color w:val="FF0000"/>
                <w:sz w:val="21"/>
                <w:szCs w:val="21"/>
              </w:rPr>
              <w:t>增加强调事项段</w:t>
            </w:r>
            <w:r>
              <w:rPr>
                <w:rFonts w:cs="Calibri" w:hint="eastAsia"/>
                <w:color w:val="333333"/>
                <w:sz w:val="21"/>
                <w:szCs w:val="21"/>
              </w:rPr>
              <w:t>是适当或必要的，以提醒财务报表使用者注意替代基础及其使用理由</w:t>
            </w:r>
          </w:p>
        </w:tc>
      </w:tr>
      <w:tr w:rsidR="00114E64" w14:paraId="077DEEF2" w14:textId="77777777" w:rsidTr="00114E64">
        <w:trPr>
          <w:trHeight w:val="229"/>
          <w:jc w:val="center"/>
        </w:trPr>
        <w:tc>
          <w:tcPr>
            <w:tcW w:w="8505" w:type="dxa"/>
            <w:gridSpan w:val="3"/>
            <w:tcBorders>
              <w:top w:val="nil"/>
              <w:left w:val="single" w:sz="8" w:space="0" w:color="auto"/>
              <w:bottom w:val="single" w:sz="8" w:space="0" w:color="auto"/>
              <w:right w:val="single" w:sz="8" w:space="0" w:color="auto"/>
            </w:tcBorders>
            <w:tcMar>
              <w:top w:w="15" w:type="dxa"/>
              <w:left w:w="72" w:type="dxa"/>
              <w:bottom w:w="0" w:type="dxa"/>
              <w:right w:w="72" w:type="dxa"/>
            </w:tcMar>
            <w:vAlign w:val="center"/>
            <w:hideMark/>
          </w:tcPr>
          <w:p w14:paraId="4DAD2C01" w14:textId="77777777" w:rsidR="00114E64" w:rsidRDefault="00114E64" w:rsidP="00114E6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3.严重拖延对财务报表的批准</w:t>
            </w:r>
          </w:p>
        </w:tc>
      </w:tr>
      <w:tr w:rsidR="00114E64" w14:paraId="59F338D6" w14:textId="77777777" w:rsidTr="00114E64">
        <w:trPr>
          <w:trHeight w:val="1834"/>
          <w:jc w:val="center"/>
        </w:trPr>
        <w:tc>
          <w:tcPr>
            <w:tcW w:w="1113" w:type="dxa"/>
            <w:gridSpan w:val="2"/>
            <w:tcBorders>
              <w:top w:val="nil"/>
              <w:left w:val="single" w:sz="8" w:space="0" w:color="auto"/>
              <w:bottom w:val="single" w:sz="8" w:space="0" w:color="auto"/>
              <w:right w:val="single" w:sz="8" w:space="0" w:color="auto"/>
            </w:tcBorders>
            <w:tcMar>
              <w:top w:w="15" w:type="dxa"/>
              <w:left w:w="72" w:type="dxa"/>
              <w:bottom w:w="0" w:type="dxa"/>
              <w:right w:w="72" w:type="dxa"/>
            </w:tcMar>
            <w:vAlign w:val="center"/>
            <w:hideMark/>
          </w:tcPr>
          <w:p w14:paraId="05445F75" w14:textId="77777777" w:rsidR="00114E64" w:rsidRDefault="00114E64" w:rsidP="00114E64">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程序</w:t>
            </w:r>
          </w:p>
        </w:tc>
        <w:tc>
          <w:tcPr>
            <w:tcW w:w="7392" w:type="dxa"/>
            <w:tcBorders>
              <w:top w:val="nil"/>
              <w:left w:val="nil"/>
              <w:bottom w:val="single" w:sz="8" w:space="0" w:color="auto"/>
              <w:right w:val="single" w:sz="8" w:space="0" w:color="auto"/>
            </w:tcBorders>
            <w:tcMar>
              <w:top w:w="15" w:type="dxa"/>
              <w:left w:w="72" w:type="dxa"/>
              <w:bottom w:w="0" w:type="dxa"/>
              <w:right w:w="72" w:type="dxa"/>
            </w:tcMar>
            <w:vAlign w:val="center"/>
            <w:hideMark/>
          </w:tcPr>
          <w:p w14:paraId="2B0EBF0E" w14:textId="77777777" w:rsidR="00114E64" w:rsidRDefault="00114E64" w:rsidP="00114E6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（1）如果管理层或治理层在财务报表日后严重拖延对财务报表的批准，注册会计师应当</w:t>
            </w:r>
            <w:r>
              <w:rPr>
                <w:rFonts w:cs="Calibri" w:hint="eastAsia"/>
                <w:b/>
                <w:bCs/>
                <w:color w:val="FF0000"/>
                <w:sz w:val="21"/>
                <w:szCs w:val="21"/>
              </w:rPr>
              <w:t>询问</w:t>
            </w:r>
            <w:r>
              <w:rPr>
                <w:rFonts w:cs="Calibri" w:hint="eastAsia"/>
                <w:color w:val="333333"/>
                <w:sz w:val="21"/>
                <w:szCs w:val="21"/>
              </w:rPr>
              <w:t>拖延的原因</w:t>
            </w:r>
          </w:p>
          <w:p w14:paraId="6FC454B9" w14:textId="77777777" w:rsidR="00114E64" w:rsidRDefault="00114E64" w:rsidP="00114E64">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（2）如果认为拖延可能涉及与持续经营评估相关的事项或情况，注册会计师有必要</w:t>
            </w:r>
            <w:r>
              <w:rPr>
                <w:rFonts w:cs="Calibri" w:hint="eastAsia"/>
                <w:b/>
                <w:bCs/>
                <w:color w:val="FF0000"/>
                <w:sz w:val="21"/>
                <w:szCs w:val="21"/>
              </w:rPr>
              <w:t>实施</w:t>
            </w:r>
            <w:r>
              <w:rPr>
                <w:rFonts w:cs="Calibri" w:hint="eastAsia"/>
                <w:color w:val="333333"/>
                <w:sz w:val="21"/>
                <w:szCs w:val="21"/>
              </w:rPr>
              <w:t>前述识别出可能导致对持续经营能力产生重大疑虑的事项或情况时追加的审计程序，并就存在的重大不确定性考虑对审计结论的影响</w:t>
            </w:r>
          </w:p>
        </w:tc>
      </w:tr>
      <w:tr w:rsidR="00114E64" w14:paraId="1983FF52" w14:textId="77777777" w:rsidTr="00114E64">
        <w:trPr>
          <w:jc w:val="center"/>
        </w:trPr>
        <w:tc>
          <w:tcPr>
            <w:tcW w:w="1380" w:type="dxa"/>
            <w:tcBorders>
              <w:top w:val="nil"/>
              <w:left w:val="nil"/>
              <w:bottom w:val="nil"/>
              <w:right w:val="nil"/>
            </w:tcBorders>
            <w:vAlign w:val="center"/>
            <w:hideMark/>
          </w:tcPr>
          <w:p w14:paraId="62D85EDA" w14:textId="77777777" w:rsidR="00114E64" w:rsidRDefault="00114E64" w:rsidP="00114E64">
            <w:pPr>
              <w:rPr>
                <w:rFonts w:eastAsia="微软雅黑" w:cs="Calibri"/>
                <w:color w:val="333333"/>
                <w:szCs w:val="21"/>
              </w:rPr>
            </w:pPr>
          </w:p>
        </w:tc>
        <w:tc>
          <w:tcPr>
            <w:tcW w:w="15" w:type="dxa"/>
            <w:tcBorders>
              <w:top w:val="nil"/>
              <w:left w:val="nil"/>
              <w:bottom w:val="nil"/>
              <w:right w:val="nil"/>
            </w:tcBorders>
            <w:vAlign w:val="center"/>
            <w:hideMark/>
          </w:tcPr>
          <w:p w14:paraId="21BBCDBA" w14:textId="77777777" w:rsidR="00114E64" w:rsidRDefault="00114E64" w:rsidP="00114E64">
            <w:pPr>
              <w:rPr>
                <w:rFonts w:ascii="Times New Roman" w:eastAsia="Times New Roman" w:hAnsi="Times New Roman"/>
                <w:sz w:val="20"/>
                <w:szCs w:val="20"/>
              </w:rPr>
            </w:pPr>
          </w:p>
        </w:tc>
        <w:tc>
          <w:tcPr>
            <w:tcW w:w="9240" w:type="dxa"/>
            <w:tcBorders>
              <w:top w:val="nil"/>
              <w:left w:val="nil"/>
              <w:bottom w:val="nil"/>
              <w:right w:val="nil"/>
            </w:tcBorders>
            <w:vAlign w:val="center"/>
            <w:hideMark/>
          </w:tcPr>
          <w:p w14:paraId="3CD02E10" w14:textId="77777777" w:rsidR="00114E64" w:rsidRDefault="00114E64" w:rsidP="00114E64">
            <w:pPr>
              <w:rPr>
                <w:rFonts w:ascii="Times New Roman" w:eastAsia="Times New Roman" w:hAnsi="Times New Roman"/>
                <w:sz w:val="20"/>
                <w:szCs w:val="20"/>
              </w:rPr>
            </w:pPr>
          </w:p>
        </w:tc>
      </w:tr>
    </w:tbl>
    <w:p w14:paraId="77E6A8A7" w14:textId="77777777" w:rsidR="00114E64" w:rsidRDefault="00114E64" w:rsidP="00114E64">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"http://webupload.admin.dongao.com/biz/handout/img/2019/20190629/20190629201905956003.png"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7" type="#_x0000_t75" style="width:420pt;height:174pt">
            <v:imagedata r:id="rId11" r:href="rId12"/>
          </v:shape>
        </w:pict>
      </w:r>
      <w:r>
        <w:rPr>
          <w:rFonts w:ascii="Calibri" w:eastAsia="微软雅黑" w:hAnsi="Calibri" w:cs="Calibri"/>
          <w:color w:val="3F3F3F"/>
          <w:sz w:val="21"/>
          <w:szCs w:val="21"/>
        </w:rPr>
        <w:fldChar w:fldCharType="end"/>
      </w:r>
    </w:p>
    <w:p w14:paraId="66E113E3" w14:textId="77777777" w:rsidR="00114E64" w:rsidRDefault="00114E64" w:rsidP="00114E64">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63C4EA2B" w14:textId="77777777" w:rsidR="00114E64" w:rsidRDefault="00114E64" w:rsidP="00114E64">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多项选择题【2012年真题】</w:t>
      </w:r>
      <w:r>
        <w:rPr>
          <w:rFonts w:cs="Calibri" w:hint="eastAsia"/>
          <w:b/>
          <w:bCs/>
          <w:color w:val="FF0000"/>
          <w:sz w:val="21"/>
          <w:szCs w:val="21"/>
        </w:rPr>
        <w:t>[经典]</w:t>
      </w:r>
    </w:p>
    <w:p w14:paraId="14585362" w14:textId="77777777" w:rsidR="00114E64" w:rsidRDefault="00114E64" w:rsidP="00114E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根据对被审计单位持续经营能力的审计结论，注册会计师在判断应出具何种类型的审计报告时，下列说法中，正确的有（　　）。</w:t>
      </w:r>
    </w:p>
    <w:p w14:paraId="1B838F53" w14:textId="77777777" w:rsidR="00114E64" w:rsidRDefault="00114E64" w:rsidP="00114E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A.如果被审计单位运用持续经营假设适当但存在重大不确定性，且财务报表附注已作充分披露，应当发表无保留意见，并在审计报告中增加强调事项段</w:t>
      </w:r>
    </w:p>
    <w:p w14:paraId="211E29E3" w14:textId="77777777" w:rsidR="00114E64" w:rsidRDefault="00114E64" w:rsidP="00114E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B.如果存在多项对财务报表整体具有重要影响的重大不确定性，且财务报表附注已作充分披露，在极少数情况下，可能认为发表无法表示意见是适当的</w:t>
      </w:r>
    </w:p>
    <w:p w14:paraId="1D39AEED" w14:textId="77777777" w:rsidR="00114E64" w:rsidRDefault="00114E64" w:rsidP="00114E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C.如果存在可能导致对被审计单位持续经营能力产生重大疑虑的事项和情况，且财务报表附注未作充分披露，应当发表保留意见</w:t>
      </w:r>
    </w:p>
    <w:p w14:paraId="48F87C2F" w14:textId="77777777" w:rsidR="00114E64" w:rsidRDefault="00114E64" w:rsidP="00114E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D.如果管理层编制财务报表时运用持续经营假设不适当，应当发表否定意见</w:t>
      </w:r>
    </w:p>
    <w:p w14:paraId="7FC0F8DA" w14:textId="77777777" w:rsidR="00114E64" w:rsidRDefault="00114E64" w:rsidP="00114E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[答案]BD</w:t>
      </w:r>
    </w:p>
    <w:p w14:paraId="2917C4F9" w14:textId="77777777" w:rsidR="00114E64" w:rsidRDefault="00114E64" w:rsidP="00114E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A中，财务报表对重大不确定性已作出充分披露，注册会计师应当发表无保留意见，并在审计报告中增加以“与持续经营相关的重大不确定性”为标题的单独部分；选项C中，如果存在可能导致对被审计单位持续经营能力产生重大疑虑的事项和情况，且财务报表附注未作充分披露，应当发表保留意见或否定意见。</w:t>
      </w:r>
    </w:p>
    <w:p w14:paraId="0FEC4F04" w14:textId="77777777" w:rsidR="00114E64" w:rsidRDefault="00114E64" w:rsidP="00114E64">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简答题【模拟题】</w:t>
      </w:r>
    </w:p>
    <w:p w14:paraId="779FF5A9" w14:textId="77777777" w:rsidR="00114E64" w:rsidRDefault="00114E64" w:rsidP="00114E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要求：针对下列第（1）至（6）项，假定不考虑其他条件，代A注册会计师逐项指出审计项目组的做法是否恰当。如不恰当，说明理由。</w:t>
      </w:r>
    </w:p>
    <w:p w14:paraId="4EA050DA" w14:textId="77777777" w:rsidR="00114E64" w:rsidRDefault="00114E64" w:rsidP="00114E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A注册会计师担任A公司等多家上市公司2016年财务报表审计项目的项目质量控制复核人，与持续经营假设相关的事项摘录如下：</w:t>
      </w:r>
    </w:p>
    <w:p w14:paraId="774A89CB" w14:textId="77777777" w:rsidR="00114E64" w:rsidRDefault="00114E64" w:rsidP="00114E6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A公司通过某银行借入的大额定期借款将于未来一年内到期且预期不能展期，但管理层计划通过处置闲置生产线以保持足够的现金流量，审计项目组评价认为拟处置生产线的变现能力较强，认为该事项不构成对持续经营能力产生重大疑虑的事项。</w:t>
      </w:r>
    </w:p>
    <w:p w14:paraId="01951F58" w14:textId="77777777" w:rsidR="00114E64" w:rsidRDefault="00114E64" w:rsidP="00114E6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在评价B公司管理层对持续经营能力作出的评估所依据的假设时，审计项目组注意到未来运输成本上涨的相关因素未反映在管理层编制的预测中。与管理层讨论后，考虑到由于该因素是注册会计师通过实施审计程序从甲公司外部获取的信息，同意管理层不再对相关预测所依据的假设进行补充和修正。</w:t>
      </w:r>
    </w:p>
    <w:p w14:paraId="50E02A57" w14:textId="77777777" w:rsidR="00114E64" w:rsidRDefault="00114E64" w:rsidP="00114E6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审计项目组通过询问C公司管理层获悉，某项对C公司现有经营业务产生限制性影响的法律法规将于2019年起生效。考虑到该事项对持续经营能力产生的影响并不重大，审计项目组认为无须进一步执行其他审计程序。</w:t>
      </w:r>
    </w:p>
    <w:p w14:paraId="42C52E5D" w14:textId="77777777" w:rsidR="00114E64" w:rsidRDefault="00114E64" w:rsidP="00114E6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D公司重要客户经营状况恶化，导致坏账大幅增加，管理层在编制未来现金流量预测时，将能够自关联方处获取资金支持作为保证持续经营能力的重大假设。审计项目组查看了管理层与关联方就支出计划展开讨论的往来邮件，认可了管理层的假设和预测。</w:t>
      </w:r>
    </w:p>
    <w:p w14:paraId="2190742A" w14:textId="77777777" w:rsidR="00114E64" w:rsidRDefault="00114E64" w:rsidP="00114E6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5）E公司2016年末营运资金为负数，大额银行借款将于2017年到期，存在导致对持续经营能力产生重大疑虑的事项。审计项目组评估后认为管理层的应对计划可行，E公司持续经营能力不存在重大不确定性，无需与治理层沟通。</w:t>
      </w:r>
    </w:p>
    <w:p w14:paraId="3DC52296" w14:textId="77777777" w:rsidR="00114E64" w:rsidRDefault="00114E64" w:rsidP="00114E6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6）F公司将于2017年清算，其2016年度财务报表以清算基础编制，F公司管理层在财务报表附注中披露了该情况，审计项目组拟在对F公司财务报表出具的审计报告中增加强调事项段，提醒财务报表使用者关注该事项。</w:t>
      </w:r>
    </w:p>
    <w:p w14:paraId="4ECC983A" w14:textId="77777777" w:rsidR="00114E64" w:rsidRDefault="00114E64" w:rsidP="00114E64">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w:t>
      </w:r>
    </w:p>
    <w:p w14:paraId="19F8CAB4" w14:textId="77777777" w:rsidR="00114E64" w:rsidRDefault="00114E64" w:rsidP="00114E6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（1）恰当；</w:t>
      </w:r>
    </w:p>
    <w:p w14:paraId="788528DD" w14:textId="77777777" w:rsidR="00114E64" w:rsidRDefault="00114E64" w:rsidP="00114E6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（2）不恰当；注册会计师应当考虑管理层作出的评估是否已考虑所有相关信息，包括实施审计程序获取的信息，并要求管理层对相关预测所依据的假设作出修正。</w:t>
      </w:r>
    </w:p>
    <w:p w14:paraId="277D9F72" w14:textId="77777777" w:rsidR="00114E64" w:rsidRDefault="00114E64" w:rsidP="00114E6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（3）恰当；</w:t>
      </w:r>
    </w:p>
    <w:p w14:paraId="195AA751" w14:textId="77777777" w:rsidR="00114E64" w:rsidRDefault="00114E64" w:rsidP="00114E6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（4）不恰当；注册会计师需要考虑自该关联方处获得书面确认和有能力提供资金支持的证据。</w:t>
      </w:r>
    </w:p>
    <w:p w14:paraId="45D18C2B" w14:textId="77777777" w:rsidR="00114E64" w:rsidRDefault="00114E64" w:rsidP="00114E6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（5）不恰当；存在导致对持续经营能力产生重大疑虑的事项，注册会计师应当与治理层进行沟通。</w:t>
      </w:r>
    </w:p>
    <w:p w14:paraId="12FB1AE0" w14:textId="77777777" w:rsidR="00114E64" w:rsidRDefault="00114E64" w:rsidP="00114E64">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（6）恰当。</w:t>
      </w:r>
    </w:p>
    <w:p w14:paraId="4642C144" w14:textId="77777777" w:rsidR="00114E64" w:rsidRDefault="00114E64" w:rsidP="00114E64">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09FD28E5" w14:textId="77777777" w:rsidR="00114E64" w:rsidRDefault="00114E64" w:rsidP="00114E64">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"http://webupload.admin.dongao.com/biz/handout/img/2019/20190629/20190629201905270004.png"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8" type="#_x0000_t75" style="width:420pt;height:296.25pt">
            <v:imagedata r:id="rId13" r:href="rId14"/>
          </v:shape>
        </w:pict>
      </w:r>
      <w:r>
        <w:rPr>
          <w:rFonts w:ascii="Calibri" w:eastAsia="微软雅黑" w:hAnsi="Calibri" w:cs="Calibri"/>
          <w:color w:val="3F3F3F"/>
          <w:sz w:val="21"/>
          <w:szCs w:val="21"/>
        </w:rPr>
        <w:fldChar w:fldCharType="end"/>
      </w:r>
    </w:p>
    <w:p w14:paraId="50168ED7" w14:textId="77777777" w:rsidR="00114E64" w:rsidRDefault="00114E64" w:rsidP="00114E64">
      <w:pPr>
        <w:shd w:val="clear" w:color="auto" w:fill="FFFFFF"/>
        <w:rPr>
          <w:rFonts w:ascii="微软雅黑" w:eastAsia="微软雅黑" w:hAnsi="微软雅黑" w:cs="宋体"/>
          <w:color w:val="3F3F3F"/>
          <w:szCs w:val="21"/>
        </w:rPr>
      </w:pPr>
    </w:p>
    <w:p w14:paraId="0C72AA0C" w14:textId="77777777" w:rsidR="00271D8C" w:rsidRPr="00114E64" w:rsidRDefault="00271D8C" w:rsidP="00114E64">
      <w:pPr>
        <w:rPr>
          <w:rFonts w:hint="eastAsia"/>
        </w:rPr>
      </w:pPr>
    </w:p>
    <w:sectPr w:rsidR="00271D8C" w:rsidRPr="00114E64" w:rsidSect="001F62DD">
      <w:headerReference w:type="default" r:id="rId15"/>
      <w:footerReference w:type="default" r:id="rId16"/>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2796D" w14:textId="77777777" w:rsidR="00F02769" w:rsidRDefault="00F02769" w:rsidP="00CD53C5">
      <w:r>
        <w:separator/>
      </w:r>
    </w:p>
  </w:endnote>
  <w:endnote w:type="continuationSeparator" w:id="0">
    <w:p w14:paraId="31E28C1B" w14:textId="77777777" w:rsidR="00F02769" w:rsidRDefault="00F02769"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4BDAAFEF" w14:textId="77777777" w:rsidTr="007B0BFD">
      <w:trPr>
        <w:trHeight w:val="274"/>
      </w:trPr>
      <w:tc>
        <w:tcPr>
          <w:tcW w:w="2050" w:type="dxa"/>
          <w:shd w:val="clear" w:color="auto" w:fill="auto"/>
          <w:vAlign w:val="center"/>
        </w:tcPr>
        <w:p w14:paraId="2275993C"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9" type="#_x0000_t75" style="width:90.75pt;height:26.25pt;visibility:visible">
                <v:imagedata r:id="rId1" o:title=""/>
              </v:shape>
            </w:pict>
          </w:r>
        </w:p>
      </w:tc>
      <w:tc>
        <w:tcPr>
          <w:tcW w:w="3742" w:type="dxa"/>
          <w:shd w:val="clear" w:color="auto" w:fill="auto"/>
          <w:vAlign w:val="center"/>
        </w:tcPr>
        <w:p w14:paraId="148453EA"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3393E591"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1F9C4FE0"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F23CF7" w14:textId="77777777" w:rsidR="00F02769" w:rsidRDefault="00F02769" w:rsidP="00CD53C5">
      <w:r>
        <w:separator/>
      </w:r>
    </w:p>
  </w:footnote>
  <w:footnote w:type="continuationSeparator" w:id="0">
    <w:p w14:paraId="486E5901" w14:textId="77777777" w:rsidR="00F02769" w:rsidRDefault="00F02769"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7E84D435" w14:textId="77777777" w:rsidTr="007B0BFD">
      <w:trPr>
        <w:trHeight w:val="501"/>
      </w:trPr>
      <w:tc>
        <w:tcPr>
          <w:tcW w:w="4272" w:type="dxa"/>
          <w:shd w:val="clear" w:color="auto" w:fill="auto"/>
          <w:vAlign w:val="center"/>
        </w:tcPr>
        <w:p w14:paraId="50C26327" w14:textId="77777777" w:rsidR="001545C6" w:rsidRPr="001F62DD" w:rsidRDefault="00114E64"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4C629F44" w14:textId="77777777" w:rsidR="001545C6" w:rsidRPr="004D61E7" w:rsidRDefault="00114E64"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第十七章</w:t>
          </w:r>
          <w:r>
            <w:rPr>
              <w:rFonts w:ascii="微软雅黑" w:eastAsia="微软雅黑" w:hAnsi="微软雅黑"/>
              <w:sz w:val="24"/>
              <w:szCs w:val="24"/>
            </w:rPr>
            <w:t>+其他特殊项目的审计</w:t>
          </w:r>
        </w:p>
      </w:tc>
    </w:tr>
  </w:tbl>
  <w:p w14:paraId="48CDF3A8"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14E64"/>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077E2"/>
    <w:rsid w:val="00D14EEC"/>
    <w:rsid w:val="00D40C69"/>
    <w:rsid w:val="00DA0E67"/>
    <w:rsid w:val="00DC6EA5"/>
    <w:rsid w:val="00E27FEA"/>
    <w:rsid w:val="00E91A26"/>
    <w:rsid w:val="00EC2EA7"/>
    <w:rsid w:val="00ED764B"/>
    <w:rsid w:val="00F02769"/>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09E7B29"/>
  <w15:docId w15:val="{BC80F54B-050F-4B10-BFE8-357508764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18745525">
      <w:bodyDiv w:val="1"/>
      <w:marLeft w:val="0"/>
      <w:marRight w:val="0"/>
      <w:marTop w:val="0"/>
      <w:marBottom w:val="0"/>
      <w:divBdr>
        <w:top w:val="none" w:sz="0" w:space="0" w:color="auto"/>
        <w:left w:val="none" w:sz="0" w:space="0" w:color="auto"/>
        <w:bottom w:val="none" w:sz="0" w:space="0" w:color="auto"/>
        <w:right w:val="none" w:sz="0" w:space="0" w:color="auto"/>
      </w:divBdr>
      <w:divsChild>
        <w:div w:id="524054482">
          <w:marLeft w:val="0"/>
          <w:marRight w:val="0"/>
          <w:marTop w:val="0"/>
          <w:marBottom w:val="0"/>
          <w:divBdr>
            <w:top w:val="none" w:sz="0" w:space="0" w:color="auto"/>
            <w:left w:val="none" w:sz="0" w:space="0" w:color="auto"/>
            <w:bottom w:val="none" w:sz="0" w:space="0" w:color="auto"/>
            <w:right w:val="none" w:sz="0" w:space="0" w:color="auto"/>
          </w:divBdr>
        </w:div>
        <w:div w:id="835530695">
          <w:marLeft w:val="0"/>
          <w:marRight w:val="0"/>
          <w:marTop w:val="0"/>
          <w:marBottom w:val="0"/>
          <w:divBdr>
            <w:top w:val="none" w:sz="0" w:space="0" w:color="auto"/>
            <w:left w:val="none" w:sz="0" w:space="0" w:color="auto"/>
            <w:bottom w:val="none" w:sz="0" w:space="0" w:color="auto"/>
            <w:right w:val="none" w:sz="0" w:space="0" w:color="auto"/>
          </w:divBdr>
        </w:div>
        <w:div w:id="1593658636">
          <w:marLeft w:val="0"/>
          <w:marRight w:val="0"/>
          <w:marTop w:val="0"/>
          <w:marBottom w:val="0"/>
          <w:divBdr>
            <w:top w:val="none" w:sz="0" w:space="0" w:color="auto"/>
            <w:left w:val="none" w:sz="0" w:space="0" w:color="auto"/>
            <w:bottom w:val="none" w:sz="0" w:space="0" w:color="auto"/>
            <w:right w:val="none" w:sz="0" w:space="0" w:color="auto"/>
          </w:divBdr>
        </w:div>
        <w:div w:id="1695616554">
          <w:marLeft w:val="0"/>
          <w:marRight w:val="0"/>
          <w:marTop w:val="0"/>
          <w:marBottom w:val="0"/>
          <w:divBdr>
            <w:top w:val="none" w:sz="0" w:space="0" w:color="auto"/>
            <w:left w:val="none" w:sz="0" w:space="0" w:color="auto"/>
            <w:bottom w:val="none" w:sz="0" w:space="0" w:color="auto"/>
            <w:right w:val="none" w:sz="0" w:space="0" w:color="auto"/>
          </w:divBdr>
        </w:div>
        <w:div w:id="2110463375">
          <w:marLeft w:val="0"/>
          <w:marRight w:val="0"/>
          <w:marTop w:val="0"/>
          <w:marBottom w:val="0"/>
          <w:divBdr>
            <w:top w:val="none" w:sz="0" w:space="0" w:color="auto"/>
            <w:left w:val="none" w:sz="0" w:space="0" w:color="auto"/>
            <w:bottom w:val="none" w:sz="0" w:space="0" w:color="auto"/>
            <w:right w:val="none" w:sz="0" w:space="0" w:color="auto"/>
          </w:divBdr>
          <w:divsChild>
            <w:div w:id="1518498063">
              <w:marLeft w:val="0"/>
              <w:marRight w:val="0"/>
              <w:marTop w:val="0"/>
              <w:marBottom w:val="0"/>
              <w:divBdr>
                <w:top w:val="none" w:sz="0" w:space="0" w:color="auto"/>
                <w:left w:val="none" w:sz="0" w:space="0" w:color="auto"/>
                <w:bottom w:val="none" w:sz="0" w:space="0" w:color="auto"/>
                <w:right w:val="none" w:sz="0" w:space="0" w:color="auto"/>
              </w:divBdr>
            </w:div>
            <w:div w:id="1925526635">
              <w:marLeft w:val="0"/>
              <w:marRight w:val="0"/>
              <w:marTop w:val="0"/>
              <w:marBottom w:val="0"/>
              <w:divBdr>
                <w:top w:val="none" w:sz="0" w:space="0" w:color="auto"/>
                <w:left w:val="none" w:sz="0" w:space="0" w:color="auto"/>
                <w:bottom w:val="none" w:sz="0" w:space="0" w:color="auto"/>
                <w:right w:val="none" w:sz="0" w:space="0" w:color="auto"/>
              </w:divBdr>
            </w:div>
          </w:divsChild>
        </w:div>
        <w:div w:id="2111008270">
          <w:marLeft w:val="0"/>
          <w:marRight w:val="0"/>
          <w:marTop w:val="0"/>
          <w:marBottom w:val="0"/>
          <w:divBdr>
            <w:top w:val="none" w:sz="0" w:space="0" w:color="auto"/>
            <w:left w:val="none" w:sz="0" w:space="0" w:color="auto"/>
            <w:bottom w:val="none" w:sz="0" w:space="0" w:color="auto"/>
            <w:right w:val="none" w:sz="0" w:space="0" w:color="auto"/>
          </w:divBdr>
        </w:div>
      </w:divsChild>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710034106">
      <w:bodyDiv w:val="1"/>
      <w:marLeft w:val="0"/>
      <w:marRight w:val="0"/>
      <w:marTop w:val="0"/>
      <w:marBottom w:val="0"/>
      <w:divBdr>
        <w:top w:val="none" w:sz="0" w:space="0" w:color="auto"/>
        <w:left w:val="none" w:sz="0" w:space="0" w:color="auto"/>
        <w:bottom w:val="none" w:sz="0" w:space="0" w:color="auto"/>
        <w:right w:val="none" w:sz="0" w:space="0" w:color="auto"/>
      </w:divBdr>
      <w:divsChild>
        <w:div w:id="155610724">
          <w:marLeft w:val="0"/>
          <w:marRight w:val="0"/>
          <w:marTop w:val="0"/>
          <w:marBottom w:val="0"/>
          <w:divBdr>
            <w:top w:val="none" w:sz="0" w:space="0" w:color="auto"/>
            <w:left w:val="none" w:sz="0" w:space="0" w:color="auto"/>
            <w:bottom w:val="none" w:sz="0" w:space="0" w:color="auto"/>
            <w:right w:val="none" w:sz="0" w:space="0" w:color="auto"/>
          </w:divBdr>
          <w:divsChild>
            <w:div w:id="10354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629/20190629201905175001.pn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webupload.admin.dongao.com/biz/handout/img/2019/20190629/20190629201905956003.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http://webupload.admin.dongao.com/biz/handout/img/2019/20190629/20190629201905504002.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webupload.admin.dongao.com/biz/handout/img/2019/20190629/20190629201905270004.p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6EFF4-F09F-4290-89C6-BF5EF267D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682</Words>
  <Characters>3888</Characters>
  <Application>Microsoft Office Word</Application>
  <DocSecurity>0</DocSecurity>
  <Lines>32</Lines>
  <Paragraphs>9</Paragraphs>
  <ScaleCrop>false</ScaleCrop>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