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47136D" w14:textId="77777777" w:rsidR="00C13AC5" w:rsidRDefault="00C13AC5" w:rsidP="00C13AC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2"/>
          <w:szCs w:val="52"/>
        </w:rPr>
        <w:t>第五编·第十八章·完成审计工作</w:t>
      </w:r>
    </w:p>
    <w:p w14:paraId="0EC0FB17" w14:textId="77777777" w:rsidR="00C13AC5" w:rsidRDefault="00C13AC5" w:rsidP="00C13AC5">
      <w:pPr>
        <w:pStyle w:val="aa"/>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1C6D6791" w14:textId="77777777" w:rsidR="00C13AC5" w:rsidRDefault="00C13AC5" w:rsidP="00C13AC5">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2C2AE0B9" w14:textId="77777777" w:rsidR="00C13AC5" w:rsidRDefault="00C13AC5" w:rsidP="00C13AC5">
      <w:pPr>
        <w:pStyle w:val="aa"/>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03FBD1C8" w14:textId="77777777" w:rsidR="00C13AC5" w:rsidRDefault="00C13AC5" w:rsidP="00C13AC5">
      <w:pPr>
        <w:pStyle w:val="aa"/>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8505" w:type="dxa"/>
        <w:jc w:val="center"/>
        <w:tblCellMar>
          <w:left w:w="0" w:type="dxa"/>
          <w:right w:w="0" w:type="dxa"/>
        </w:tblCellMar>
        <w:tblLook w:val="04A0" w:firstRow="1" w:lastRow="0" w:firstColumn="1" w:lastColumn="0" w:noHBand="0" w:noVBand="1"/>
      </w:tblPr>
      <w:tblGrid>
        <w:gridCol w:w="1518"/>
        <w:gridCol w:w="6987"/>
      </w:tblGrid>
      <w:tr w:rsidR="00C13AC5" w14:paraId="6A8340E1" w14:textId="77777777" w:rsidTr="00C13AC5">
        <w:trPr>
          <w:trHeight w:val="541"/>
          <w:jc w:val="center"/>
        </w:trPr>
        <w:tc>
          <w:tcPr>
            <w:tcW w:w="151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EAB9E73"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98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8EA95D7"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4分/卷</w:t>
            </w:r>
          </w:p>
        </w:tc>
      </w:tr>
      <w:tr w:rsidR="00C13AC5" w14:paraId="2572900B" w14:textId="77777777" w:rsidTr="00C13AC5">
        <w:trPr>
          <w:trHeight w:val="541"/>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5CE788"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F2B268C"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单选题、多选题、综合题</w:t>
            </w:r>
          </w:p>
        </w:tc>
      </w:tr>
      <w:tr w:rsidR="00C13AC5" w14:paraId="68D53E9B" w14:textId="77777777" w:rsidTr="00C13AC5">
        <w:trPr>
          <w:trHeight w:val="541"/>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70CBEE7"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F0473A3"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实务性中</w:t>
            </w:r>
          </w:p>
        </w:tc>
      </w:tr>
      <w:tr w:rsidR="00C13AC5" w14:paraId="45EA72B5" w14:textId="77777777" w:rsidTr="00C13AC5">
        <w:trPr>
          <w:trHeight w:val="1910"/>
          <w:jc w:val="center"/>
        </w:trPr>
        <w:tc>
          <w:tcPr>
            <w:tcW w:w="151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CFAD07"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98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52DD4E3" w14:textId="77777777" w:rsidR="00C13AC5" w:rsidRDefault="00C13AC5" w:rsidP="00C13AC5">
            <w:pPr>
              <w:pStyle w:val="aa"/>
              <w:tabs>
                <w:tab w:val="num" w:pos="720"/>
              </w:tabs>
              <w:spacing w:before="0" w:beforeAutospacing="0" w:after="0" w:afterAutospacing="0"/>
              <w:ind w:left="420" w:hanging="42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对于复核工作底稿和书面声明的内容，需要以记忆为主</w:t>
            </w:r>
          </w:p>
          <w:p w14:paraId="5A4CDF28" w14:textId="77777777" w:rsidR="00C13AC5" w:rsidRDefault="00C13AC5" w:rsidP="00C13AC5">
            <w:pPr>
              <w:pStyle w:val="aa"/>
              <w:tabs>
                <w:tab w:val="num" w:pos="720"/>
              </w:tabs>
              <w:spacing w:before="0" w:beforeAutospacing="0" w:after="0" w:afterAutospacing="0"/>
              <w:ind w:left="420" w:hanging="42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对于未更正错报的评价，可以与重要性、审计报告相结合，并融入基本的会计知识，考查综合题</w:t>
            </w:r>
          </w:p>
          <w:p w14:paraId="5219E170" w14:textId="77777777" w:rsidR="00C13AC5" w:rsidRDefault="00C13AC5" w:rsidP="00C13AC5">
            <w:pPr>
              <w:pStyle w:val="aa"/>
              <w:tabs>
                <w:tab w:val="num" w:pos="720"/>
              </w:tabs>
              <w:spacing w:before="0" w:beforeAutospacing="0" w:after="0" w:afterAutospacing="0"/>
              <w:ind w:left="420" w:hanging="42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对于期后事项，是本章学习难度较大的内容，需要准确划分层次，理清基本概念，并重视借助真题进行学习与练习</w:t>
            </w:r>
          </w:p>
        </w:tc>
      </w:tr>
    </w:tbl>
    <w:p w14:paraId="4E3F6E9B" w14:textId="77777777" w:rsidR="00C13AC5" w:rsidRDefault="00C13AC5" w:rsidP="00C13AC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考点和典题</w:t>
      </w:r>
    </w:p>
    <w:p w14:paraId="72831CE0"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"http://webupload.admin.dongao.com/biz/handout/img/2019/20190702/20190702163509368001.png"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75pt;height:135.75pt">
            <v:imagedata r:id="rId7" r:href="rId8"/>
          </v:shape>
        </w:pict>
      </w:r>
      <w:r>
        <w:rPr>
          <w:rFonts w:ascii="Calibri" w:eastAsia="微软雅黑" w:hAnsi="Calibri" w:cs="Calibri"/>
          <w:color w:val="3F3F3F"/>
          <w:sz w:val="21"/>
          <w:szCs w:val="21"/>
        </w:rPr>
        <w:fldChar w:fldCharType="end"/>
      </w:r>
    </w:p>
    <w:p w14:paraId="2AF7C526" w14:textId="77777777" w:rsidR="00C13AC5" w:rsidRDefault="00C13AC5" w:rsidP="00C13AC5">
      <w:pPr>
        <w:pStyle w:val="aa"/>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完成审计工作概述</w:t>
      </w:r>
    </w:p>
    <w:p w14:paraId="7E52FB5F"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一、评价审计过程中发现的错报</w:t>
      </w:r>
      <w:r>
        <w:rPr>
          <w:rFonts w:cs="Calibri" w:hint="eastAsia"/>
          <w:b/>
          <w:bCs/>
          <w:color w:val="FF0000"/>
          <w:sz w:val="21"/>
          <w:szCs w:val="21"/>
        </w:rPr>
        <w:t>（※※）</w:t>
      </w:r>
    </w:p>
    <w:p w14:paraId="50827109"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二、复核审计工作底稿和财务报表</w:t>
      </w:r>
      <w:r>
        <w:rPr>
          <w:rFonts w:cs="Calibri" w:hint="eastAsia"/>
          <w:b/>
          <w:bCs/>
          <w:color w:val="FF0000"/>
          <w:sz w:val="21"/>
          <w:szCs w:val="21"/>
        </w:rPr>
        <w:t>（※）</w:t>
      </w:r>
    </w:p>
    <w:p w14:paraId="3737341F"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一、评价审计过程中发现的错报</w:t>
      </w:r>
    </w:p>
    <w:p w14:paraId="5BD75889"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"http://webupload.admin.dongao.com/biz/handout/img/2019/20190702/20190702163509363002.png"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6" type="#_x0000_t75" style="width:420pt;height:272.25pt">
            <v:imagedata r:id="rId9" r:href="rId10"/>
          </v:shape>
        </w:pict>
      </w:r>
      <w:r>
        <w:rPr>
          <w:rFonts w:ascii="Calibri" w:eastAsia="微软雅黑" w:hAnsi="Calibri" w:cs="Calibri"/>
          <w:color w:val="3F3F3F"/>
          <w:sz w:val="21"/>
          <w:szCs w:val="21"/>
        </w:rPr>
        <w:fldChar w:fldCharType="end"/>
      </w:r>
    </w:p>
    <w:p w14:paraId="6F6C6059"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1.错报的沟通和更正</w:t>
      </w:r>
    </w:p>
    <w:p w14:paraId="2BB93BB5"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（1）沟通：除非法律法规禁止，注册会计师</w:t>
      </w:r>
      <w:r>
        <w:rPr>
          <w:rFonts w:cs="Calibri" w:hint="eastAsia"/>
          <w:b/>
          <w:bCs/>
          <w:color w:val="FF0000"/>
          <w:sz w:val="21"/>
          <w:szCs w:val="21"/>
        </w:rPr>
        <w:t>应当</w:t>
      </w:r>
      <w:r>
        <w:rPr>
          <w:rFonts w:cs="Calibri" w:hint="eastAsia"/>
          <w:color w:val="3F3F3F"/>
          <w:sz w:val="21"/>
          <w:szCs w:val="21"/>
        </w:rPr>
        <w:t>及时将审计过程中累积的所有错报与适当层级的管理层进行沟通。注册会计师还应当要求管理层更正这些错报。</w:t>
      </w:r>
    </w:p>
    <w:p w14:paraId="7C344E84"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（2）更正：管理层</w:t>
      </w:r>
      <w:r>
        <w:rPr>
          <w:rFonts w:cs="Calibri" w:hint="eastAsia"/>
          <w:b/>
          <w:bCs/>
          <w:color w:val="FF0000"/>
          <w:sz w:val="21"/>
          <w:szCs w:val="21"/>
        </w:rPr>
        <w:t>更正所有累积的错报</w:t>
      </w:r>
      <w:r>
        <w:rPr>
          <w:rFonts w:cs="Calibri" w:hint="eastAsia"/>
          <w:color w:val="3F3F3F"/>
          <w:sz w:val="21"/>
          <w:szCs w:val="21"/>
        </w:rPr>
        <w:t>（</w:t>
      </w:r>
      <w:r>
        <w:rPr>
          <w:rFonts w:cs="Calibri" w:hint="eastAsia"/>
          <w:b/>
          <w:bCs/>
          <w:color w:val="FF0000"/>
          <w:sz w:val="21"/>
          <w:szCs w:val="21"/>
        </w:rPr>
        <w:t>包括</w:t>
      </w:r>
      <w:r>
        <w:rPr>
          <w:rFonts w:cs="Calibri" w:hint="eastAsia"/>
          <w:color w:val="3F3F3F"/>
          <w:sz w:val="21"/>
          <w:szCs w:val="21"/>
        </w:rPr>
        <w:t>注册会计师通报的错报），能够保持会计账簿和记录的准确性。如果管理层拒绝更正沟通的部分或全部错报，注册会计师应当了解管理层不更正错报的理由，并在评价财务报表整体是否不存在重大错报时考虑该理由。</w:t>
      </w:r>
    </w:p>
    <w:p w14:paraId="7DB50DE4"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2.评价未更正错报的影响</w:t>
      </w:r>
    </w:p>
    <w:p w14:paraId="25E2F26B"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（1）对重要性作出修改</w:t>
      </w:r>
    </w:p>
    <w:tbl>
      <w:tblPr>
        <w:tblW w:w="8505" w:type="dxa"/>
        <w:jc w:val="center"/>
        <w:tblCellMar>
          <w:left w:w="0" w:type="dxa"/>
          <w:right w:w="0" w:type="dxa"/>
        </w:tblCellMar>
        <w:tblLook w:val="04A0" w:firstRow="1" w:lastRow="0" w:firstColumn="1" w:lastColumn="0" w:noHBand="0" w:noVBand="1"/>
      </w:tblPr>
      <w:tblGrid>
        <w:gridCol w:w="917"/>
        <w:gridCol w:w="7588"/>
      </w:tblGrid>
      <w:tr w:rsidR="00C13AC5" w14:paraId="0FDC8095" w14:textId="77777777" w:rsidTr="00C13AC5">
        <w:trPr>
          <w:trHeight w:val="464"/>
          <w:jc w:val="center"/>
        </w:trPr>
        <w:tc>
          <w:tcPr>
            <w:tcW w:w="91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E7ABFD3" w14:textId="77777777" w:rsidR="00C13AC5" w:rsidRDefault="00C13AC5" w:rsidP="00C13AC5">
            <w:pPr>
              <w:rPr>
                <w:rFonts w:eastAsia="微软雅黑" w:cs="Calibri"/>
                <w:color w:val="3F3F3F"/>
                <w:szCs w:val="21"/>
              </w:rPr>
            </w:pPr>
          </w:p>
        </w:tc>
        <w:tc>
          <w:tcPr>
            <w:tcW w:w="758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61DCA09"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C13AC5" w14:paraId="01A6F391" w14:textId="77777777" w:rsidTr="00C13AC5">
        <w:trPr>
          <w:trHeight w:val="2400"/>
          <w:jc w:val="center"/>
        </w:trPr>
        <w:tc>
          <w:tcPr>
            <w:tcW w:w="9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93D8848"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情形</w:t>
            </w:r>
          </w:p>
        </w:tc>
        <w:tc>
          <w:tcPr>
            <w:tcW w:w="7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8A1F5D0"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a）注册会计师在确定重要性时，通常依据对被审计单位财务结果的估计，因为此时可能</w:t>
            </w:r>
            <w:r>
              <w:rPr>
                <w:rFonts w:cs="Calibri" w:hint="eastAsia"/>
                <w:b/>
                <w:bCs/>
                <w:color w:val="FF0000"/>
                <w:sz w:val="21"/>
                <w:szCs w:val="21"/>
              </w:rPr>
              <w:t>尚不知道</w:t>
            </w:r>
            <w:r>
              <w:rPr>
                <w:rFonts w:cs="Calibri" w:hint="eastAsia"/>
                <w:color w:val="333333"/>
                <w:sz w:val="21"/>
                <w:szCs w:val="21"/>
              </w:rPr>
              <w:t>实际的财务结果</w:t>
            </w:r>
          </w:p>
          <w:p w14:paraId="28602D97"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b）在评价未更正错报的影响之前，注册会计师</w:t>
            </w:r>
            <w:r>
              <w:rPr>
                <w:rFonts w:cs="Calibri" w:hint="eastAsia"/>
                <w:b/>
                <w:bCs/>
                <w:color w:val="FF0000"/>
                <w:sz w:val="21"/>
                <w:szCs w:val="21"/>
              </w:rPr>
              <w:t>可能有必要</w:t>
            </w:r>
            <w:r>
              <w:rPr>
                <w:rFonts w:cs="Calibri" w:hint="eastAsia"/>
                <w:color w:val="333333"/>
                <w:sz w:val="21"/>
                <w:szCs w:val="21"/>
              </w:rPr>
              <w:t>依据</w:t>
            </w:r>
            <w:r>
              <w:rPr>
                <w:rFonts w:cs="Calibri" w:hint="eastAsia"/>
                <w:b/>
                <w:bCs/>
                <w:color w:val="FF0000"/>
                <w:sz w:val="21"/>
                <w:szCs w:val="21"/>
              </w:rPr>
              <w:t>实际的财务结果</w:t>
            </w:r>
            <w:r>
              <w:rPr>
                <w:rFonts w:cs="Calibri" w:hint="eastAsia"/>
                <w:color w:val="333333"/>
                <w:sz w:val="21"/>
                <w:szCs w:val="21"/>
              </w:rPr>
              <w:t>对重要性作出修改</w:t>
            </w:r>
          </w:p>
          <w:p w14:paraId="0CC1CB75"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c）如果在审计过程中</w:t>
            </w:r>
            <w:r>
              <w:rPr>
                <w:rFonts w:cs="Calibri" w:hint="eastAsia"/>
                <w:b/>
                <w:bCs/>
                <w:color w:val="FF0000"/>
                <w:sz w:val="21"/>
                <w:szCs w:val="21"/>
              </w:rPr>
              <w:t>获知</w:t>
            </w:r>
            <w:r>
              <w:rPr>
                <w:rFonts w:cs="Calibri" w:hint="eastAsia"/>
                <w:color w:val="333333"/>
                <w:sz w:val="21"/>
                <w:szCs w:val="21"/>
              </w:rPr>
              <w:t>了某项信息，而该信息可能导致注册会计师确定与原来不同的财务报表整体重要性或者特定类别交易、账户余额或披露的一个或多个重要性水平（如适用），注册会计师</w:t>
            </w:r>
            <w:r>
              <w:rPr>
                <w:rFonts w:cs="Calibri" w:hint="eastAsia"/>
                <w:b/>
                <w:bCs/>
                <w:color w:val="FF0000"/>
                <w:sz w:val="21"/>
                <w:szCs w:val="21"/>
              </w:rPr>
              <w:t>应当</w:t>
            </w:r>
            <w:r>
              <w:rPr>
                <w:rFonts w:cs="Calibri" w:hint="eastAsia"/>
                <w:color w:val="333333"/>
                <w:sz w:val="21"/>
                <w:szCs w:val="21"/>
              </w:rPr>
              <w:t>予以修改</w:t>
            </w:r>
          </w:p>
        </w:tc>
      </w:tr>
      <w:tr w:rsidR="00C13AC5" w14:paraId="2DAF56AC" w14:textId="77777777" w:rsidTr="00C13AC5">
        <w:trPr>
          <w:trHeight w:val="1408"/>
          <w:jc w:val="center"/>
        </w:trPr>
        <w:tc>
          <w:tcPr>
            <w:tcW w:w="91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CDAADA8"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影响</w:t>
            </w:r>
          </w:p>
        </w:tc>
        <w:tc>
          <w:tcPr>
            <w:tcW w:w="758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44F7C5"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如果对重要性或重要性水平的重新评价导致需要确定</w:t>
            </w:r>
            <w:r>
              <w:rPr>
                <w:rFonts w:cs="Calibri" w:hint="eastAsia"/>
                <w:b/>
                <w:bCs/>
                <w:color w:val="FF0000"/>
                <w:sz w:val="21"/>
                <w:szCs w:val="21"/>
              </w:rPr>
              <w:t>较低的金额</w:t>
            </w:r>
            <w:r>
              <w:rPr>
                <w:rFonts w:cs="Calibri" w:hint="eastAsia"/>
                <w:color w:val="333333"/>
                <w:sz w:val="21"/>
                <w:szCs w:val="21"/>
              </w:rPr>
              <w:t>，则应</w:t>
            </w:r>
            <w:r>
              <w:rPr>
                <w:rFonts w:cs="Calibri" w:hint="eastAsia"/>
                <w:b/>
                <w:bCs/>
                <w:color w:val="FF0000"/>
                <w:sz w:val="21"/>
                <w:szCs w:val="21"/>
              </w:rPr>
              <w:t>重新考虑</w:t>
            </w:r>
            <w:r>
              <w:rPr>
                <w:rFonts w:cs="Calibri" w:hint="eastAsia"/>
                <w:color w:val="333333"/>
                <w:sz w:val="21"/>
                <w:szCs w:val="21"/>
              </w:rPr>
              <w:t>：</w:t>
            </w:r>
          </w:p>
          <w:p w14:paraId="2CE241F8"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a）实际执行的重要性</w:t>
            </w:r>
          </w:p>
          <w:p w14:paraId="7F09953E"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b）进一步审计程序的性质、时间安排和范围的适当性</w:t>
            </w:r>
          </w:p>
        </w:tc>
      </w:tr>
    </w:tbl>
    <w:p w14:paraId="3A9CD4BC"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（2）评价未更正错报</w:t>
      </w:r>
      <w:r>
        <w:rPr>
          <w:rFonts w:cs="Calibri" w:hint="eastAsia"/>
          <w:b/>
          <w:bCs/>
          <w:color w:val="FF0000"/>
          <w:sz w:val="21"/>
          <w:szCs w:val="21"/>
        </w:rPr>
        <w:t>【综合题考点】</w:t>
      </w:r>
    </w:p>
    <w:tbl>
      <w:tblPr>
        <w:tblW w:w="8505" w:type="dxa"/>
        <w:jc w:val="center"/>
        <w:tblCellMar>
          <w:left w:w="0" w:type="dxa"/>
          <w:right w:w="0" w:type="dxa"/>
        </w:tblCellMar>
        <w:tblLook w:val="04A0" w:firstRow="1" w:lastRow="0" w:firstColumn="1" w:lastColumn="0" w:noHBand="0" w:noVBand="1"/>
      </w:tblPr>
      <w:tblGrid>
        <w:gridCol w:w="1626"/>
        <w:gridCol w:w="6879"/>
      </w:tblGrid>
      <w:tr w:rsidR="00C13AC5" w14:paraId="052F5145" w14:textId="77777777" w:rsidTr="00C13AC5">
        <w:trPr>
          <w:trHeight w:val="537"/>
          <w:jc w:val="center"/>
        </w:trPr>
        <w:tc>
          <w:tcPr>
            <w:tcW w:w="16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D99F861"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评价内容</w:t>
            </w:r>
          </w:p>
        </w:tc>
        <w:tc>
          <w:tcPr>
            <w:tcW w:w="6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DA710A"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C13AC5" w14:paraId="74871A94" w14:textId="77777777" w:rsidTr="00C13AC5">
        <w:trPr>
          <w:trHeight w:val="1170"/>
          <w:jc w:val="center"/>
        </w:trPr>
        <w:tc>
          <w:tcPr>
            <w:tcW w:w="16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34D863B"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单项错报</w:t>
            </w:r>
          </w:p>
        </w:tc>
        <w:tc>
          <w:tcPr>
            <w:tcW w:w="6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2347D2"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注册会计师需要考虑每一单项错报，以评价其对相关类别的交易、账户余额或披露的影响，包括是否超过特定类别的交易、账户余额或披露的重要性水平（如适用）</w:t>
            </w:r>
          </w:p>
        </w:tc>
      </w:tr>
    </w:tbl>
    <w:p w14:paraId="7E13A80F"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"http://webupload.admin.dongao.com/biz/handout/img/2019/20190702/20190702163509790003.png"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7" type="#_x0000_t75" style="width:420pt;height:268.5pt">
            <v:imagedata r:id="rId11" r:href="rId12"/>
          </v:shape>
        </w:pict>
      </w:r>
      <w:r>
        <w:rPr>
          <w:rFonts w:ascii="Calibri" w:eastAsia="微软雅黑" w:hAnsi="Calibri"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626"/>
        <w:gridCol w:w="6879"/>
      </w:tblGrid>
      <w:tr w:rsidR="00C13AC5" w14:paraId="6D6C3B1A" w14:textId="77777777" w:rsidTr="00C13AC5">
        <w:trPr>
          <w:trHeight w:val="601"/>
          <w:jc w:val="center"/>
        </w:trPr>
        <w:tc>
          <w:tcPr>
            <w:tcW w:w="16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32330DF"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评价内容</w:t>
            </w:r>
          </w:p>
        </w:tc>
        <w:tc>
          <w:tcPr>
            <w:tcW w:w="6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816CABC"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C13AC5" w14:paraId="504B1544" w14:textId="77777777" w:rsidTr="00C13AC5">
        <w:trPr>
          <w:trHeight w:val="1877"/>
          <w:jc w:val="center"/>
        </w:trPr>
        <w:tc>
          <w:tcPr>
            <w:tcW w:w="16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C24461C"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错报抵销</w:t>
            </w:r>
          </w:p>
        </w:tc>
        <w:tc>
          <w:tcPr>
            <w:tcW w:w="6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6A28F24"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a）如果注册会计师认为某一单项错报是重大的，则该项错报</w:t>
            </w:r>
            <w:r>
              <w:rPr>
                <w:rFonts w:cs="Calibri" w:hint="eastAsia"/>
                <w:b/>
                <w:bCs/>
                <w:color w:val="FF0000"/>
                <w:sz w:val="21"/>
                <w:szCs w:val="21"/>
              </w:rPr>
              <w:t>不太可能</w:t>
            </w:r>
            <w:r>
              <w:rPr>
                <w:rFonts w:cs="Calibri" w:hint="eastAsia"/>
                <w:color w:val="333333"/>
                <w:sz w:val="21"/>
                <w:szCs w:val="21"/>
              </w:rPr>
              <w:t>被其他错报抵销</w:t>
            </w:r>
          </w:p>
          <w:p w14:paraId="655A325D"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b）对于同一账户余额或同一类别的交易内部的错报，这种抵销</w:t>
            </w:r>
            <w:r>
              <w:rPr>
                <w:rFonts w:cs="Calibri" w:hint="eastAsia"/>
                <w:b/>
                <w:bCs/>
                <w:color w:val="FF0000"/>
                <w:sz w:val="21"/>
                <w:szCs w:val="21"/>
              </w:rPr>
              <w:t>可能是适当的</w:t>
            </w:r>
            <w:r>
              <w:rPr>
                <w:rFonts w:cs="Calibri" w:hint="eastAsia"/>
                <w:color w:val="333333"/>
                <w:sz w:val="21"/>
                <w:szCs w:val="21"/>
              </w:rPr>
              <w:t>。然而，在得出抵销非重大错报是适当的这一结论之前，需要考虑可能存在其他</w:t>
            </w:r>
            <w:r>
              <w:rPr>
                <w:rFonts w:cs="Calibri" w:hint="eastAsia"/>
                <w:b/>
                <w:bCs/>
                <w:color w:val="FF0000"/>
                <w:sz w:val="21"/>
                <w:szCs w:val="21"/>
              </w:rPr>
              <w:t>未被发现</w:t>
            </w:r>
            <w:r>
              <w:rPr>
                <w:rFonts w:cs="Calibri" w:hint="eastAsia"/>
                <w:color w:val="333333"/>
                <w:sz w:val="21"/>
                <w:szCs w:val="21"/>
              </w:rPr>
              <w:t>的错报的风险</w:t>
            </w:r>
          </w:p>
        </w:tc>
      </w:tr>
    </w:tbl>
    <w:p w14:paraId="6B7BB8BA"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"http://webupload.admin.dongao.com/biz/handout/img/2019/20190702/20190702163509591004.png"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8" type="#_x0000_t75" style="width:364.5pt;height:165pt">
            <v:imagedata r:id="rId13" r:href="rId14"/>
          </v:shape>
        </w:pict>
      </w:r>
      <w:r>
        <w:rPr>
          <w:rFonts w:ascii="Calibri" w:eastAsia="微软雅黑" w:hAnsi="Calibri" w:cs="Calibri"/>
          <w:color w:val="3F3F3F"/>
          <w:sz w:val="21"/>
          <w:szCs w:val="21"/>
        </w:rPr>
        <w:fldChar w:fldCharType="end"/>
      </w:r>
    </w:p>
    <w:p w14:paraId="046AAE69"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"http://webupload.admin.dongao.com/biz/handout/img/2019/20190702/20190702163509832005.png"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29" type="#_x0000_t75" style="width:399.75pt;height:181.5pt">
            <v:imagedata r:id="rId15" r:href="rId16"/>
          </v:shape>
        </w:pict>
      </w:r>
      <w:r>
        <w:rPr>
          <w:rFonts w:ascii="Calibri" w:eastAsia="微软雅黑" w:hAnsi="Calibri" w:cs="Calibri"/>
          <w:color w:val="3F3F3F"/>
          <w:sz w:val="21"/>
          <w:szCs w:val="21"/>
        </w:rPr>
        <w:fldChar w:fldCharType="end"/>
      </w:r>
    </w:p>
    <w:tbl>
      <w:tblPr>
        <w:tblW w:w="8505" w:type="dxa"/>
        <w:jc w:val="center"/>
        <w:tblCellMar>
          <w:left w:w="0" w:type="dxa"/>
          <w:right w:w="0" w:type="dxa"/>
        </w:tblCellMar>
        <w:tblLook w:val="04A0" w:firstRow="1" w:lastRow="0" w:firstColumn="1" w:lastColumn="0" w:noHBand="0" w:noVBand="1"/>
      </w:tblPr>
      <w:tblGrid>
        <w:gridCol w:w="1626"/>
        <w:gridCol w:w="6879"/>
      </w:tblGrid>
      <w:tr w:rsidR="00C13AC5" w14:paraId="4C512CE7" w14:textId="77777777" w:rsidTr="00C13AC5">
        <w:trPr>
          <w:trHeight w:val="474"/>
          <w:jc w:val="center"/>
        </w:trPr>
        <w:tc>
          <w:tcPr>
            <w:tcW w:w="16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BB1A8EC"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评价内容</w:t>
            </w:r>
          </w:p>
        </w:tc>
        <w:tc>
          <w:tcPr>
            <w:tcW w:w="6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9AA10BE"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C13AC5" w14:paraId="0DE96B93" w14:textId="77777777" w:rsidTr="00C13AC5">
        <w:trPr>
          <w:trHeight w:val="3393"/>
          <w:jc w:val="center"/>
        </w:trPr>
        <w:tc>
          <w:tcPr>
            <w:tcW w:w="16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3478A0"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分类错报</w:t>
            </w:r>
          </w:p>
        </w:tc>
        <w:tc>
          <w:tcPr>
            <w:tcW w:w="6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50482BE"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a）确定一项分类错报是否重大，需要进行定性评估。例如，分类错报对负债或其他合同条款的影响，对单个财务报表项目或小计数的影响，以及对关键比率的影响</w:t>
            </w:r>
          </w:p>
          <w:p w14:paraId="09188D17"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b）反之，注册会计师识别出某项应付账款误计入其他应付款的错报，金额</w:t>
            </w:r>
            <w:r>
              <w:rPr>
                <w:rFonts w:cs="Calibri" w:hint="eastAsia"/>
                <w:b/>
                <w:bCs/>
                <w:color w:val="FF0000"/>
                <w:sz w:val="21"/>
                <w:szCs w:val="21"/>
              </w:rPr>
              <w:t>超过</w:t>
            </w:r>
            <w:r>
              <w:rPr>
                <w:rFonts w:cs="Calibri" w:hint="eastAsia"/>
                <w:color w:val="333333"/>
                <w:sz w:val="21"/>
                <w:szCs w:val="21"/>
              </w:rPr>
              <w:t>财务报表整体的重要性。由于该错报</w:t>
            </w:r>
            <w:r>
              <w:rPr>
                <w:rFonts w:cs="Calibri" w:hint="eastAsia"/>
                <w:b/>
                <w:bCs/>
                <w:color w:val="FF0000"/>
                <w:sz w:val="21"/>
                <w:szCs w:val="21"/>
              </w:rPr>
              <w:t>不影响经营业绩和关键财务指标</w:t>
            </w:r>
            <w:r>
              <w:rPr>
                <w:rFonts w:cs="Calibri" w:hint="eastAsia"/>
                <w:color w:val="333333"/>
                <w:sz w:val="21"/>
                <w:szCs w:val="21"/>
              </w:rPr>
              <w:t>，注册会计师认为该项错报不重大。再如，被审计单位没有及时将资产负债表日已达到可使用状态的在建工程转入固定资产，金额超过财务报表整体的重要性，相关折旧金额较小。注册会计师在考虑相关定性因素之后，认为该错报对固定资产账户余额及财务报表整体均不产生重大影响，认为该项错报不是重大错报</w:t>
            </w:r>
          </w:p>
        </w:tc>
      </w:tr>
    </w:tbl>
    <w:p w14:paraId="4ED08D11" w14:textId="77777777" w:rsidR="00C13AC5" w:rsidRPr="00C13AC5" w:rsidRDefault="00C13AC5" w:rsidP="00C13AC5">
      <w:pPr>
        <w:rPr>
          <w:vanish/>
          <w:sz w:val="18"/>
          <w:szCs w:val="18"/>
        </w:rPr>
      </w:pPr>
    </w:p>
    <w:tbl>
      <w:tblPr>
        <w:tblW w:w="8505" w:type="dxa"/>
        <w:jc w:val="center"/>
        <w:tblCellMar>
          <w:left w:w="0" w:type="dxa"/>
          <w:right w:w="0" w:type="dxa"/>
        </w:tblCellMar>
        <w:tblLook w:val="04A0" w:firstRow="1" w:lastRow="0" w:firstColumn="1" w:lastColumn="0" w:noHBand="0" w:noVBand="1"/>
      </w:tblPr>
      <w:tblGrid>
        <w:gridCol w:w="1626"/>
        <w:gridCol w:w="6879"/>
      </w:tblGrid>
      <w:tr w:rsidR="00C13AC5" w14:paraId="04F17253" w14:textId="77777777" w:rsidTr="00C13AC5">
        <w:trPr>
          <w:trHeight w:val="381"/>
          <w:jc w:val="center"/>
        </w:trPr>
        <w:tc>
          <w:tcPr>
            <w:tcW w:w="162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C09487"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评价内容</w:t>
            </w:r>
          </w:p>
        </w:tc>
        <w:tc>
          <w:tcPr>
            <w:tcW w:w="687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40EC03B"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要点</w:t>
            </w:r>
          </w:p>
        </w:tc>
      </w:tr>
      <w:tr w:rsidR="00C13AC5" w14:paraId="624184CE" w14:textId="77777777" w:rsidTr="00C13AC5">
        <w:trPr>
          <w:trHeight w:val="1206"/>
          <w:jc w:val="center"/>
        </w:trPr>
        <w:tc>
          <w:tcPr>
            <w:tcW w:w="16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DBB9A4B"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错报性质</w:t>
            </w:r>
          </w:p>
        </w:tc>
        <w:tc>
          <w:tcPr>
            <w:tcW w:w="6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11AF54D"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即使某些错报</w:t>
            </w:r>
            <w:r>
              <w:rPr>
                <w:rFonts w:cs="Calibri" w:hint="eastAsia"/>
                <w:b/>
                <w:bCs/>
                <w:color w:val="FF0000"/>
                <w:sz w:val="21"/>
                <w:szCs w:val="21"/>
              </w:rPr>
              <w:t>低于</w:t>
            </w:r>
            <w:r>
              <w:rPr>
                <w:rFonts w:cs="Calibri" w:hint="eastAsia"/>
                <w:color w:val="333333"/>
                <w:sz w:val="21"/>
                <w:szCs w:val="21"/>
              </w:rPr>
              <w:t>财务报表整体的重要性，但因与这些错报相关的某些情况，在将其单独或连同在审计过程中累积的其他错报一并考虑时，注册会计师也可能将这些错报评价为</w:t>
            </w:r>
            <w:r>
              <w:rPr>
                <w:rFonts w:cs="Calibri" w:hint="eastAsia"/>
                <w:b/>
                <w:bCs/>
                <w:color w:val="FF0000"/>
                <w:sz w:val="21"/>
                <w:szCs w:val="21"/>
              </w:rPr>
              <w:t>重大错报</w:t>
            </w:r>
          </w:p>
        </w:tc>
      </w:tr>
      <w:tr w:rsidR="00C13AC5" w14:paraId="2FF07A3F" w14:textId="77777777" w:rsidTr="00C13AC5">
        <w:trPr>
          <w:trHeight w:val="982"/>
          <w:jc w:val="center"/>
        </w:trPr>
        <w:tc>
          <w:tcPr>
            <w:tcW w:w="162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90BA04" w14:textId="77777777" w:rsidR="00C13AC5" w:rsidRDefault="00C13AC5" w:rsidP="00C13AC5">
            <w:pPr>
              <w:pStyle w:val="aa"/>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以前错报</w:t>
            </w:r>
          </w:p>
        </w:tc>
        <w:tc>
          <w:tcPr>
            <w:tcW w:w="687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3CE37F" w14:textId="77777777" w:rsidR="00C13AC5" w:rsidRDefault="00C13AC5" w:rsidP="00C13AC5">
            <w:pPr>
              <w:pStyle w:val="aa"/>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注册会计师</w:t>
            </w:r>
            <w:r>
              <w:rPr>
                <w:rFonts w:cs="Calibri" w:hint="eastAsia"/>
                <w:b/>
                <w:bCs/>
                <w:color w:val="FF0000"/>
                <w:sz w:val="21"/>
                <w:szCs w:val="21"/>
              </w:rPr>
              <w:t>应当考虑</w:t>
            </w:r>
            <w:r>
              <w:rPr>
                <w:rFonts w:cs="Calibri" w:hint="eastAsia"/>
                <w:color w:val="333333"/>
                <w:sz w:val="21"/>
                <w:szCs w:val="21"/>
              </w:rPr>
              <w:t>与以前期间相关的未更正错报对相关类别的交易、账户余额或披露以及财务报表整体的影响</w:t>
            </w:r>
          </w:p>
        </w:tc>
      </w:tr>
    </w:tbl>
    <w:p w14:paraId="378E8726" w14:textId="77777777" w:rsidR="00C13AC5" w:rsidRDefault="00C13AC5" w:rsidP="00C13AC5">
      <w:pPr>
        <w:pStyle w:val="aa"/>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"http://webupload.admin.dongao.com/biz/handout/img/2019/20190702/20190702163509890006.png"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_x0000_i1030" type="#_x0000_t75" style="width:402.75pt;height:192.75pt">
            <v:imagedata r:id="rId17" r:href="rId18"/>
          </v:shape>
        </w:pict>
      </w:r>
      <w:r>
        <w:rPr>
          <w:rFonts w:ascii="Calibri" w:eastAsia="微软雅黑" w:hAnsi="Calibri" w:cs="Calibri"/>
          <w:color w:val="3F3F3F"/>
          <w:sz w:val="21"/>
          <w:szCs w:val="21"/>
        </w:rPr>
        <w:fldChar w:fldCharType="end"/>
      </w:r>
    </w:p>
    <w:p w14:paraId="71E3827C" w14:textId="77777777" w:rsidR="00C13AC5" w:rsidRDefault="00C13AC5" w:rsidP="00C13AC5">
      <w:pPr>
        <w:pStyle w:val="aa"/>
        <w:shd w:val="clear" w:color="auto" w:fill="FFFFFF"/>
        <w:spacing w:before="0" w:beforeAutospacing="0" w:after="0" w:afterAutospacing="0"/>
        <w:ind w:firstLine="316"/>
        <w:jc w:val="both"/>
        <w:rPr>
          <w:rFonts w:ascii="Calibri" w:eastAsia="微软雅黑" w:hAnsi="Calibri" w:cs="Calibri"/>
          <w:color w:val="3F3F3F"/>
          <w:sz w:val="21"/>
          <w:szCs w:val="21"/>
        </w:rPr>
      </w:pPr>
      <w:r>
        <w:rPr>
          <w:rFonts w:cs="Calibri" w:hint="eastAsia"/>
          <w:b/>
          <w:bCs/>
          <w:color w:val="FF0000"/>
          <w:sz w:val="21"/>
          <w:szCs w:val="21"/>
        </w:rPr>
        <w:t>【小金敲黑板】</w:t>
      </w:r>
    </w:p>
    <w:p w14:paraId="4011CC67"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有关评价未更正错报的内容，考试中通常与</w:t>
      </w:r>
      <w:r>
        <w:rPr>
          <w:rFonts w:cs="Calibri" w:hint="eastAsia"/>
          <w:b/>
          <w:bCs/>
          <w:color w:val="FF0000"/>
          <w:sz w:val="21"/>
          <w:szCs w:val="21"/>
        </w:rPr>
        <w:t>第二章</w:t>
      </w:r>
      <w:r>
        <w:rPr>
          <w:rFonts w:cs="Calibri" w:hint="eastAsia"/>
          <w:color w:val="3F3F3F"/>
          <w:sz w:val="21"/>
          <w:szCs w:val="21"/>
        </w:rPr>
        <w:t>结合考查，同学们需要</w:t>
      </w:r>
      <w:r>
        <w:rPr>
          <w:rFonts w:cs="Calibri" w:hint="eastAsia"/>
          <w:b/>
          <w:bCs/>
          <w:color w:val="FF0000"/>
          <w:sz w:val="21"/>
          <w:szCs w:val="21"/>
        </w:rPr>
        <w:t>前后链接</w:t>
      </w:r>
      <w:r>
        <w:rPr>
          <w:rFonts w:cs="Calibri" w:hint="eastAsia"/>
          <w:color w:val="3F3F3F"/>
          <w:sz w:val="21"/>
          <w:szCs w:val="21"/>
        </w:rPr>
        <w:t>：</w:t>
      </w:r>
    </w:p>
    <w:p w14:paraId="05DB60EA"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a）重要性的概念；</w:t>
      </w:r>
    </w:p>
    <w:p w14:paraId="4C21AE26"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b）明显微小错报临界值的概念；</w:t>
      </w:r>
    </w:p>
    <w:p w14:paraId="4322CA09"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c）错报的概念。</w:t>
      </w:r>
    </w:p>
    <w:p w14:paraId="28AD9A21"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（3）沟通未更正错报</w:t>
      </w:r>
    </w:p>
    <w:p w14:paraId="26FEBC2E"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除非法律法规禁止，注册会计师应当与治理层沟通未更正错报，以及这些错报单独或汇总起来可能对审计意见产生的影响。在沟通时，注册会计师应当逐项指明重大的未更正错报。注册会计师应当要求被审计单位更正未更正错报。</w:t>
      </w:r>
    </w:p>
    <w:p w14:paraId="15860289"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b）注册会计师应当与治理层沟通与以前期间相关的未更正错报对相关类别的交易、账户余额或披露以及财务报表整体的影响。</w:t>
      </w:r>
    </w:p>
    <w:p w14:paraId="511C02BB"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真题和模拟题精讲</w:t>
      </w:r>
    </w:p>
    <w:p w14:paraId="3AA1AC48"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多项选择题【2011年真题】</w:t>
      </w:r>
    </w:p>
    <w:p w14:paraId="675B12A8"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在评价未更正错报的影响时，下列说法中，注册会计师认为正确的有（　　）。</w:t>
      </w:r>
    </w:p>
    <w:p w14:paraId="2BE7A255"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A.未更正错报的金额不得超过明显微小错报的临界值</w:t>
      </w:r>
    </w:p>
    <w:p w14:paraId="704B4E8C"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B.注册会计师应当从金额和性质两方面确定未更正错报是否重大</w:t>
      </w:r>
    </w:p>
    <w:p w14:paraId="14114F7E"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C.注册会计师应当要求被审计单位更正未更正错报</w:t>
      </w:r>
    </w:p>
    <w:p w14:paraId="77234759"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D.注册会计师应当考虑与以前期间相关的未更正错报对相关类别的交易、账户余额或披露以及财务报表整体的影响</w:t>
      </w:r>
    </w:p>
    <w:p w14:paraId="1F75127A"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[答案]BCD</w:t>
      </w:r>
    </w:p>
    <w:p w14:paraId="69529095"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[点评]选项A中，未更正错报是指审计过程中</w:t>
      </w:r>
      <w:r>
        <w:rPr>
          <w:rFonts w:cs="Calibri" w:hint="eastAsia"/>
          <w:b/>
          <w:bCs/>
          <w:color w:val="FF0000"/>
          <w:sz w:val="21"/>
          <w:szCs w:val="21"/>
        </w:rPr>
        <w:t>累积的</w:t>
      </w:r>
      <w:r>
        <w:rPr>
          <w:rFonts w:cs="Calibri" w:hint="eastAsia"/>
          <w:color w:val="3F3F3F"/>
          <w:sz w:val="21"/>
          <w:szCs w:val="21"/>
        </w:rPr>
        <w:t>且管理层未予更正的错报，因此，未更正错报均</w:t>
      </w:r>
      <w:r>
        <w:rPr>
          <w:rFonts w:cs="Calibri" w:hint="eastAsia"/>
          <w:b/>
          <w:bCs/>
          <w:color w:val="FF0000"/>
          <w:sz w:val="21"/>
          <w:szCs w:val="21"/>
        </w:rPr>
        <w:t>高于明显微小错报临界值</w:t>
      </w:r>
      <w:r>
        <w:rPr>
          <w:rFonts w:cs="Calibri" w:hint="eastAsia"/>
          <w:color w:val="3F3F3F"/>
          <w:sz w:val="21"/>
          <w:szCs w:val="21"/>
        </w:rPr>
        <w:t>。</w:t>
      </w:r>
    </w:p>
    <w:p w14:paraId="1F81A229" w14:textId="77777777" w:rsidR="00C13AC5" w:rsidRDefault="00C13AC5" w:rsidP="00C13AC5">
      <w:pPr>
        <w:pStyle w:val="aa"/>
        <w:shd w:val="clear" w:color="auto" w:fill="FFFFFF"/>
        <w:spacing w:before="0" w:beforeAutospacing="0" w:after="0" w:afterAutospacing="0"/>
        <w:ind w:firstLine="422"/>
        <w:jc w:val="both"/>
        <w:rPr>
          <w:rFonts w:ascii="Calibri" w:eastAsia="微软雅黑" w:hAnsi="Calibri" w:cs="Calibri"/>
          <w:color w:val="3F3F3F"/>
          <w:sz w:val="21"/>
          <w:szCs w:val="21"/>
        </w:rPr>
      </w:pPr>
      <w:r>
        <w:rPr>
          <w:rFonts w:cs="Calibri" w:hint="eastAsia"/>
          <w:b/>
          <w:bCs/>
          <w:color w:val="3F3F3F"/>
          <w:sz w:val="21"/>
          <w:szCs w:val="21"/>
        </w:rPr>
        <w:t>简答题【改编自历年真题】</w:t>
      </w:r>
    </w:p>
    <w:p w14:paraId="4B36C64D"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要求：针对下列第（1）–（5）项，假定不考虑其他条件，指出A注册会计师的做法是否恰当。如不恰当，简要说明理由。</w:t>
      </w:r>
    </w:p>
    <w:p w14:paraId="0F6255C9"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上市公司甲公司是ABC会计师事务所的常年审计客户，A注册会计师负责审计甲公司2016年度财务报表，确定财务报表整体的重要性为250万元。以下是审计过程中对错报相关事项的摘录：</w:t>
      </w:r>
    </w:p>
    <w:p w14:paraId="4A81C361"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（1）甲公司2016年末非流动负债余额中包括一年内到期的长期借款2500万元，占非流动负债总额的50%。A注册会计师认为，该错报对利润表没有影响，不属于重大错报，同意管理层不予调整。</w:t>
      </w:r>
    </w:p>
    <w:p w14:paraId="6F314564"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甲公司为乙公司的银行借款提供全额信用担保。2016年11月1日，乙公司因经营严重亏损，进行破产清算，无力偿还已到期的该笔银行借款。银行于2016年12月1日向法院起诉，要求甲公司承担连带责任，支付借款本息共计1000万元。甲公司咨询法律顾问后得知，甲公司很有可能败诉。对上述事实，甲公司已在2016年度财务报表按规定予以披露，未进行其他账务处理。A注册会计师认为处理恰当。</w:t>
      </w:r>
    </w:p>
    <w:p w14:paraId="503FEF69"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（3）甲公司某项应付账款被误计入其他应付款，其金额高于财务报表整体的重要性，因此项错报不影响甲公司的经营业绩和关键财务指标，A注册会计师同意管理层不予调整。</w:t>
      </w:r>
    </w:p>
    <w:p w14:paraId="3FD06024"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2016年，甲公司推出销售返利制度，并在ERP系统中开发了返利管理模块，A注册会计师对甲公司某组成部分执行审计时发现，因系统参数设置有误，导致选取的测试项目少计返利2万元。A注册会计师认为该错报低于明显微小错报临界值，可忽略不计。</w:t>
      </w:r>
    </w:p>
    <w:p w14:paraId="38052C7B"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（5）甲公司期末在建工程余额中的仓库实际已于2016年6月交付使用，A注册会计师认为该事项属于资产负债表项目的分类错报，不影响甲公司的经营业绩，同意管理层不予调整。</w:t>
      </w:r>
    </w:p>
    <w:p w14:paraId="398837A3"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[答案]</w:t>
      </w:r>
    </w:p>
    <w:p w14:paraId="39CB3099"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（1）不恰当。该分类错报对其所影响的账户重大。/很可能影响关键财务指标（如营运资金），应作为重大错报。</w:t>
      </w:r>
    </w:p>
    <w:p w14:paraId="431422E4"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（2）不恰当。A注册会计师应提请被审计单位计提预计负债和营业外支出。</w:t>
      </w:r>
    </w:p>
    <w:p w14:paraId="768B5F57"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（3）恰当。</w:t>
      </w:r>
    </w:p>
    <w:p w14:paraId="5BD576A1"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（4）不恰当。该错报为系统性错报。/该错报可能发生于其他组成部分。</w:t>
      </w:r>
    </w:p>
    <w:p w14:paraId="2734D93A"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（5）不恰当。A注册会计师应当考虑在建工程延迟转固而少计提折旧的影响。</w:t>
      </w:r>
    </w:p>
    <w:p w14:paraId="317E5EA3" w14:textId="77777777" w:rsidR="00C13AC5" w:rsidRDefault="00C13AC5" w:rsidP="00C13AC5">
      <w:pPr>
        <w:pStyle w:val="aa"/>
        <w:shd w:val="clear" w:color="auto" w:fill="FFFFFF"/>
        <w:spacing w:before="0" w:beforeAutospacing="0" w:after="0" w:afterAutospacing="0"/>
        <w:ind w:firstLine="420"/>
        <w:jc w:val="both"/>
        <w:rPr>
          <w:rFonts w:ascii="Calibri" w:eastAsia="微软雅黑" w:hAnsi="Calibri" w:cs="Calibri"/>
          <w:color w:val="3F3F3F"/>
          <w:sz w:val="21"/>
          <w:szCs w:val="21"/>
        </w:rPr>
      </w:pPr>
      <w:r>
        <w:rPr>
          <w:rFonts w:cs="Calibri" w:hint="eastAsia"/>
          <w:color w:val="3F3F3F"/>
          <w:sz w:val="21"/>
          <w:szCs w:val="21"/>
        </w:rPr>
        <w:t>3.书面声明</w:t>
      </w:r>
    </w:p>
    <w:p w14:paraId="58016184"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（1）注册会计师</w:t>
      </w:r>
      <w:r>
        <w:rPr>
          <w:rFonts w:cs="Calibri" w:hint="eastAsia"/>
          <w:b/>
          <w:bCs/>
          <w:color w:val="FF0000"/>
          <w:sz w:val="21"/>
          <w:szCs w:val="21"/>
        </w:rPr>
        <w:t>应当要求</w:t>
      </w:r>
      <w:r>
        <w:rPr>
          <w:rFonts w:cs="Calibri" w:hint="eastAsia"/>
          <w:color w:val="3F3F3F"/>
          <w:sz w:val="21"/>
          <w:szCs w:val="21"/>
        </w:rPr>
        <w:t>管理层和治理层提供书面声明，说明其是否认为未更正错报单独或汇总起来对财务报表整体的影响</w:t>
      </w:r>
      <w:r>
        <w:rPr>
          <w:rFonts w:cs="Calibri" w:hint="eastAsia"/>
          <w:b/>
          <w:bCs/>
          <w:color w:val="FF0000"/>
          <w:sz w:val="21"/>
          <w:szCs w:val="21"/>
        </w:rPr>
        <w:t>不重大</w:t>
      </w:r>
      <w:r>
        <w:rPr>
          <w:rFonts w:cs="Calibri" w:hint="eastAsia"/>
          <w:color w:val="3F3F3F"/>
          <w:sz w:val="21"/>
          <w:szCs w:val="21"/>
        </w:rPr>
        <w:t>，未更正错报项目的</w:t>
      </w:r>
      <w:r>
        <w:rPr>
          <w:rFonts w:cs="Calibri" w:hint="eastAsia"/>
          <w:b/>
          <w:bCs/>
          <w:color w:val="FF0000"/>
          <w:sz w:val="21"/>
          <w:szCs w:val="21"/>
        </w:rPr>
        <w:t>概要</w:t>
      </w:r>
      <w:r>
        <w:rPr>
          <w:rFonts w:cs="Calibri" w:hint="eastAsia"/>
          <w:color w:val="3F3F3F"/>
          <w:sz w:val="21"/>
          <w:szCs w:val="21"/>
        </w:rPr>
        <w:t>应当包含在书面声明中或附在其后。</w:t>
      </w:r>
    </w:p>
    <w:p w14:paraId="4806D7AC" w14:textId="77777777" w:rsidR="00C13AC5" w:rsidRDefault="00C13AC5" w:rsidP="00C13AC5">
      <w:pPr>
        <w:pStyle w:val="aa"/>
        <w:shd w:val="clear" w:color="auto" w:fill="FFFFFF"/>
        <w:spacing w:before="0" w:beforeAutospacing="0" w:after="0" w:afterAutospacing="0"/>
        <w:ind w:firstLine="315"/>
        <w:jc w:val="both"/>
        <w:rPr>
          <w:rFonts w:ascii="Calibri" w:eastAsia="微软雅黑" w:hAnsi="Calibri" w:cs="Calibri"/>
          <w:color w:val="3F3F3F"/>
          <w:sz w:val="21"/>
          <w:szCs w:val="21"/>
        </w:rPr>
      </w:pPr>
      <w:r>
        <w:rPr>
          <w:rFonts w:cs="Calibri" w:hint="eastAsia"/>
          <w:color w:val="3F3F3F"/>
          <w:sz w:val="21"/>
          <w:szCs w:val="21"/>
        </w:rPr>
        <w:t>（2）即使注册会计师获取了管理层和治理层可能并</w:t>
      </w:r>
      <w:r>
        <w:rPr>
          <w:rFonts w:cs="Calibri" w:hint="eastAsia"/>
          <w:b/>
          <w:bCs/>
          <w:color w:val="FF0000"/>
          <w:sz w:val="21"/>
          <w:szCs w:val="21"/>
        </w:rPr>
        <w:t>不认为</w:t>
      </w:r>
      <w:r>
        <w:rPr>
          <w:rFonts w:cs="Calibri" w:hint="eastAsia"/>
          <w:color w:val="3F3F3F"/>
          <w:sz w:val="21"/>
          <w:szCs w:val="21"/>
        </w:rPr>
        <w:t>注册会计师提出的某些未更正的错报是错报这一声明，注册会计师</w:t>
      </w:r>
      <w:r>
        <w:rPr>
          <w:rFonts w:cs="Calibri" w:hint="eastAsia"/>
          <w:b/>
          <w:bCs/>
          <w:color w:val="FF0000"/>
          <w:sz w:val="21"/>
          <w:szCs w:val="21"/>
        </w:rPr>
        <w:t>仍需要</w:t>
      </w:r>
      <w:r>
        <w:rPr>
          <w:rFonts w:cs="Calibri" w:hint="eastAsia"/>
          <w:color w:val="3F3F3F"/>
          <w:sz w:val="21"/>
          <w:szCs w:val="21"/>
        </w:rPr>
        <w:t>对未更正错报的影响形成结论。</w:t>
      </w:r>
    </w:p>
    <w:p w14:paraId="498CCFB4" w14:textId="77777777" w:rsidR="00C13AC5" w:rsidRDefault="00C13AC5" w:rsidP="00C13AC5">
      <w:pPr>
        <w:shd w:val="clear" w:color="auto" w:fill="FFFFFF"/>
        <w:rPr>
          <w:rFonts w:ascii="微软雅黑" w:eastAsia="微软雅黑" w:hAnsi="微软雅黑" w:cs="宋体"/>
          <w:color w:val="3F3F3F"/>
          <w:szCs w:val="21"/>
        </w:rPr>
      </w:pPr>
    </w:p>
    <w:p w14:paraId="3A090DA6" w14:textId="77777777" w:rsidR="00271D8C" w:rsidRPr="00C13AC5" w:rsidRDefault="00271D8C" w:rsidP="00C13AC5">
      <w:pPr>
        <w:rPr>
          <w:rFonts w:hint="eastAsia"/>
        </w:rPr>
      </w:pPr>
    </w:p>
    <w:sectPr w:rsidR="00271D8C" w:rsidRPr="00C13AC5" w:rsidSect="001F62DD">
      <w:headerReference w:type="default" r:id="rId19"/>
      <w:footerReference w:type="default" r:id="rId20"/>
      <w:pgSz w:w="11906" w:h="16838"/>
      <w:pgMar w:top="340" w:right="680" w:bottom="340" w:left="1134" w:header="113" w:footer="22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F0045D" w14:textId="77777777" w:rsidR="00E20DD5" w:rsidRDefault="00E20DD5" w:rsidP="00CD53C5">
      <w:r>
        <w:separator/>
      </w:r>
    </w:p>
  </w:endnote>
  <w:endnote w:type="continuationSeparator" w:id="0">
    <w:p w14:paraId="3B9AC124" w14:textId="77777777" w:rsidR="00E20DD5" w:rsidRDefault="00E20DD5" w:rsidP="00CD5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90" w:type="dxa"/>
      <w:tblBorders>
        <w:top w:val="single" w:sz="4" w:space="0" w:color="auto"/>
      </w:tblBorders>
      <w:tblCellMar>
        <w:top w:w="113" w:type="dxa"/>
      </w:tblCellMar>
      <w:tblLook w:val="04A0" w:firstRow="1" w:lastRow="0" w:firstColumn="1" w:lastColumn="0" w:noHBand="0" w:noVBand="1"/>
    </w:tblPr>
    <w:tblGrid>
      <w:gridCol w:w="2050"/>
      <w:gridCol w:w="3742"/>
      <w:gridCol w:w="4398"/>
    </w:tblGrid>
    <w:tr w:rsidR="00BE7176" w:rsidRPr="004D61E7" w14:paraId="4FD70363" w14:textId="77777777" w:rsidTr="007B0BFD">
      <w:trPr>
        <w:trHeight w:val="274"/>
      </w:trPr>
      <w:tc>
        <w:tcPr>
          <w:tcW w:w="2050" w:type="dxa"/>
          <w:shd w:val="clear" w:color="auto" w:fill="auto"/>
          <w:vAlign w:val="center"/>
        </w:tcPr>
        <w:p w14:paraId="426B421B" w14:textId="77777777" w:rsidR="00BE7176" w:rsidRPr="004D61E7" w:rsidRDefault="004D61E7" w:rsidP="004D61E7">
          <w:pPr>
            <w:jc w:val="left"/>
            <w:rPr>
              <w:rFonts w:ascii="楷体" w:eastAsia="楷体" w:hAnsi="楷体"/>
              <w:b/>
              <w:sz w:val="28"/>
              <w:szCs w:val="28"/>
            </w:rPr>
          </w:pPr>
          <w:r w:rsidRPr="00707A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31" type="#_x0000_t75" style="width:90.75pt;height:26.25pt;visibility:visible">
                <v:imagedata r:id="rId1" o:title=""/>
              </v:shape>
            </w:pict>
          </w:r>
        </w:p>
      </w:tc>
      <w:tc>
        <w:tcPr>
          <w:tcW w:w="3742" w:type="dxa"/>
          <w:shd w:val="clear" w:color="auto" w:fill="auto"/>
          <w:vAlign w:val="center"/>
        </w:tcPr>
        <w:p w14:paraId="27D3CFC4" w14:textId="77777777" w:rsidR="00BE7176" w:rsidRPr="004D61E7" w:rsidRDefault="00BE7176" w:rsidP="004D61E7">
          <w:pPr>
            <w:jc w:val="left"/>
            <w:rPr>
              <w:rFonts w:ascii="楷体" w:eastAsia="楷体" w:hAnsi="楷体"/>
              <w:b/>
              <w:sz w:val="28"/>
              <w:szCs w:val="28"/>
            </w:rPr>
          </w:pPr>
          <w:r w:rsidRPr="004D61E7">
            <w:rPr>
              <w:rFonts w:ascii="微软雅黑" w:eastAsia="微软雅黑" w:hAnsi="微软雅黑" w:hint="eastAsia"/>
              <w:szCs w:val="21"/>
            </w:rPr>
            <w:t>原创</w:t>
          </w:r>
          <w:r w:rsidRPr="004D61E7">
            <w:rPr>
              <w:rFonts w:ascii="微软雅黑" w:eastAsia="微软雅黑" w:hAnsi="微软雅黑"/>
              <w:szCs w:val="21"/>
            </w:rPr>
            <w:t>不易</w:t>
          </w:r>
          <w:r w:rsidRPr="004D61E7">
            <w:rPr>
              <w:rFonts w:ascii="微软雅黑" w:eastAsia="微软雅黑" w:hAnsi="微软雅黑" w:hint="eastAsia"/>
              <w:szCs w:val="21"/>
            </w:rPr>
            <w:t>，侵权</w:t>
          </w:r>
          <w:r w:rsidRPr="004D61E7">
            <w:rPr>
              <w:rFonts w:ascii="微软雅黑" w:eastAsia="微软雅黑" w:hAnsi="微软雅黑"/>
              <w:szCs w:val="21"/>
            </w:rPr>
            <w:t>必究</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r w:rsidRPr="004D61E7">
            <w:rPr>
              <w:rFonts w:ascii="微软雅黑" w:eastAsia="微软雅黑" w:hAnsi="微软雅黑" w:hint="eastAsia"/>
              <w:szCs w:val="21"/>
            </w:rPr>
            <w:t xml:space="preserve">            </w:t>
          </w:r>
          <w:r w:rsidRPr="004D61E7">
            <w:rPr>
              <w:rFonts w:ascii="微软雅黑" w:eastAsia="微软雅黑" w:hAnsi="微软雅黑"/>
              <w:szCs w:val="21"/>
            </w:rPr>
            <w:t xml:space="preserve">       </w:t>
          </w:r>
        </w:p>
      </w:tc>
      <w:tc>
        <w:tcPr>
          <w:tcW w:w="4398" w:type="dxa"/>
          <w:shd w:val="clear" w:color="auto" w:fill="auto"/>
          <w:vAlign w:val="center"/>
        </w:tcPr>
        <w:p w14:paraId="03D65066" w14:textId="77777777" w:rsidR="00BE7176" w:rsidRPr="004D61E7" w:rsidRDefault="004D61E7" w:rsidP="004D61E7">
          <w:pPr>
            <w:jc w:val="right"/>
            <w:rPr>
              <w:rFonts w:ascii="微软雅黑" w:eastAsia="微软雅黑" w:hAnsi="微软雅黑"/>
              <w:szCs w:val="21"/>
            </w:rPr>
          </w:pPr>
          <w:r w:rsidRPr="004D61E7">
            <w:rPr>
              <w:rFonts w:ascii="微软雅黑" w:eastAsia="微软雅黑" w:hAnsi="微软雅黑" w:hint="eastAsia"/>
              <w:szCs w:val="21"/>
              <w:lang w:val="zh-CN"/>
            </w:rPr>
            <w:t>第</w:t>
          </w:r>
          <w:r w:rsidRPr="004D61E7">
            <w:rPr>
              <w:rFonts w:ascii="微软雅黑" w:eastAsia="微软雅黑" w:hAnsi="微软雅黑"/>
              <w:szCs w:val="21"/>
            </w:rPr>
            <w:fldChar w:fldCharType="begin"/>
          </w:r>
          <w:r w:rsidRPr="004D61E7">
            <w:rPr>
              <w:rFonts w:ascii="微软雅黑" w:eastAsia="微软雅黑" w:hAnsi="微软雅黑"/>
              <w:szCs w:val="21"/>
            </w:rPr>
            <w:instrText>PAGE  \* Arabic  \* MERGEFORMAT</w:instrText>
          </w:r>
          <w:r w:rsidRPr="004D61E7">
            <w:rPr>
              <w:rFonts w:ascii="微软雅黑" w:eastAsia="微软雅黑" w:hAnsi="微软雅黑"/>
              <w:szCs w:val="21"/>
            </w:rPr>
            <w:fldChar w:fldCharType="separate"/>
          </w:r>
          <w:r w:rsidRPr="004D61E7">
            <w:rPr>
              <w:rFonts w:ascii="微软雅黑" w:eastAsia="微软雅黑" w:hAnsi="微软雅黑"/>
              <w:szCs w:val="21"/>
            </w:rPr>
            <w:t>1</w:t>
          </w:r>
          <w:r w:rsidRPr="004D61E7">
            <w:rPr>
              <w:rFonts w:ascii="微软雅黑" w:eastAsia="微软雅黑" w:hAnsi="微软雅黑"/>
              <w:szCs w:val="21"/>
            </w:rPr>
            <w:fldChar w:fldCharType="end"/>
          </w:r>
          <w:r w:rsidRPr="004D61E7">
            <w:rPr>
              <w:rFonts w:ascii="微软雅黑" w:eastAsia="微软雅黑" w:hAnsi="微软雅黑" w:hint="eastAsia"/>
              <w:szCs w:val="21"/>
            </w:rPr>
            <w:t>页</w:t>
          </w:r>
        </w:p>
      </w:tc>
    </w:tr>
  </w:tbl>
  <w:p w14:paraId="06A9DEDC" w14:textId="77777777" w:rsidR="00BE7176" w:rsidRPr="00397E03" w:rsidRDefault="00BE7176">
    <w:pPr>
      <w:pStyle w:val="a5"/>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D6A4E" w14:textId="77777777" w:rsidR="00E20DD5" w:rsidRDefault="00E20DD5" w:rsidP="00CD53C5">
      <w:r>
        <w:separator/>
      </w:r>
    </w:p>
  </w:footnote>
  <w:footnote w:type="continuationSeparator" w:id="0">
    <w:p w14:paraId="325C76D4" w14:textId="77777777" w:rsidR="00E20DD5" w:rsidRDefault="00E20DD5" w:rsidP="00CD53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221" w:type="dxa"/>
      <w:tblBorders>
        <w:bottom w:val="single" w:sz="4" w:space="0" w:color="auto"/>
      </w:tblBorders>
      <w:tblCellMar>
        <w:bottom w:w="57" w:type="dxa"/>
      </w:tblCellMar>
      <w:tblLook w:val="04A0" w:firstRow="1" w:lastRow="0" w:firstColumn="1" w:lastColumn="0" w:noHBand="0" w:noVBand="1"/>
    </w:tblPr>
    <w:tblGrid>
      <w:gridCol w:w="4272"/>
      <w:gridCol w:w="5949"/>
    </w:tblGrid>
    <w:tr w:rsidR="001545C6" w:rsidRPr="004D61E7" w14:paraId="5F13E413" w14:textId="77777777" w:rsidTr="007B0BFD">
      <w:trPr>
        <w:trHeight w:val="501"/>
      </w:trPr>
      <w:tc>
        <w:tcPr>
          <w:tcW w:w="4272" w:type="dxa"/>
          <w:shd w:val="clear" w:color="auto" w:fill="auto"/>
          <w:vAlign w:val="center"/>
        </w:tcPr>
        <w:p w14:paraId="332B2AB9" w14:textId="77777777" w:rsidR="001545C6" w:rsidRPr="001F62DD" w:rsidRDefault="00C13AC5" w:rsidP="004D61E7">
          <w:pPr>
            <w:jc w:val="left"/>
            <w:rPr>
              <w:rFonts w:ascii="微软雅黑" w:eastAsia="微软雅黑" w:hAnsi="微软雅黑"/>
              <w:sz w:val="22"/>
            </w:rPr>
          </w:pPr>
          <w:r>
            <w:rPr>
              <w:rFonts w:ascii="微软雅黑" w:eastAsia="微软雅黑" w:hAnsi="微软雅黑"/>
              <w:sz w:val="22"/>
            </w:rPr>
            <w:t>审计（2019）考试辅导</w:t>
          </w:r>
        </w:p>
      </w:tc>
      <w:tc>
        <w:tcPr>
          <w:tcW w:w="5949" w:type="dxa"/>
          <w:shd w:val="clear" w:color="auto" w:fill="auto"/>
          <w:vAlign w:val="center"/>
        </w:tcPr>
        <w:p w14:paraId="1A12D220" w14:textId="77777777" w:rsidR="001545C6" w:rsidRPr="004D61E7" w:rsidRDefault="00C13AC5" w:rsidP="00105A9A">
          <w:pPr>
            <w:wordWrap w:val="0"/>
            <w:jc w:val="right"/>
            <w:rPr>
              <w:rFonts w:ascii="微软雅黑" w:eastAsia="微软雅黑" w:hAnsi="微软雅黑"/>
              <w:sz w:val="24"/>
              <w:szCs w:val="24"/>
            </w:rPr>
          </w:pPr>
          <w:r>
            <w:rPr>
              <w:rFonts w:ascii="微软雅黑" w:eastAsia="微软雅黑" w:hAnsi="微软雅黑" w:hint="eastAsia"/>
              <w:sz w:val="24"/>
              <w:szCs w:val="24"/>
            </w:rPr>
            <w:t>第十八章</w:t>
          </w:r>
          <w:r>
            <w:rPr>
              <w:rFonts w:ascii="微软雅黑" w:eastAsia="微软雅黑" w:hAnsi="微软雅黑"/>
              <w:sz w:val="24"/>
              <w:szCs w:val="24"/>
            </w:rPr>
            <w:t>+完成审计工作</w:t>
          </w:r>
        </w:p>
      </w:tc>
    </w:tr>
  </w:tbl>
  <w:p w14:paraId="19218D90" w14:textId="77777777" w:rsidR="00207831" w:rsidRPr="000F3412" w:rsidRDefault="00207831" w:rsidP="001545C6">
    <w:pPr>
      <w:pStyle w:val="a3"/>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grammar="clean"/>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A0F56"/>
    <w:rsid w:val="007A684A"/>
    <w:rsid w:val="007B0BFD"/>
    <w:rsid w:val="007B5B2A"/>
    <w:rsid w:val="007E2E24"/>
    <w:rsid w:val="00831407"/>
    <w:rsid w:val="008C2E60"/>
    <w:rsid w:val="008D6C45"/>
    <w:rsid w:val="0093134D"/>
    <w:rsid w:val="009E3A31"/>
    <w:rsid w:val="009E72DE"/>
    <w:rsid w:val="00A00175"/>
    <w:rsid w:val="00A42D54"/>
    <w:rsid w:val="00A81E54"/>
    <w:rsid w:val="00A8418D"/>
    <w:rsid w:val="00A84ABB"/>
    <w:rsid w:val="00AA2B40"/>
    <w:rsid w:val="00AA617F"/>
    <w:rsid w:val="00AD308A"/>
    <w:rsid w:val="00B35C5C"/>
    <w:rsid w:val="00B36C6D"/>
    <w:rsid w:val="00B57A07"/>
    <w:rsid w:val="00B672D4"/>
    <w:rsid w:val="00B81282"/>
    <w:rsid w:val="00BC5CEC"/>
    <w:rsid w:val="00BD730E"/>
    <w:rsid w:val="00BE7176"/>
    <w:rsid w:val="00C13AC5"/>
    <w:rsid w:val="00C24F0C"/>
    <w:rsid w:val="00C42B60"/>
    <w:rsid w:val="00C64789"/>
    <w:rsid w:val="00CA0928"/>
    <w:rsid w:val="00CD53C5"/>
    <w:rsid w:val="00CE33B2"/>
    <w:rsid w:val="00D14EEC"/>
    <w:rsid w:val="00D40C69"/>
    <w:rsid w:val="00DA0E67"/>
    <w:rsid w:val="00DC6EA5"/>
    <w:rsid w:val="00E20DD5"/>
    <w:rsid w:val="00E27FEA"/>
    <w:rsid w:val="00E91A26"/>
    <w:rsid w:val="00EC2EA7"/>
    <w:rsid w:val="00ED764B"/>
    <w:rsid w:val="00F4489B"/>
    <w:rsid w:val="00F86E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405A8C53"/>
  <w15:docId w15:val="{DE8DBDE9-6D8A-4A83-946E-649CCA3DC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D53C5"/>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D53C5"/>
    <w:rPr>
      <w:sz w:val="18"/>
      <w:szCs w:val="18"/>
    </w:rPr>
  </w:style>
  <w:style w:type="paragraph" w:styleId="a5">
    <w:name w:val="footer"/>
    <w:basedOn w:val="a"/>
    <w:link w:val="a6"/>
    <w:uiPriority w:val="99"/>
    <w:unhideWhenUsed/>
    <w:rsid w:val="00CD53C5"/>
    <w:pPr>
      <w:tabs>
        <w:tab w:val="center" w:pos="4153"/>
        <w:tab w:val="right" w:pos="8306"/>
      </w:tabs>
      <w:snapToGrid w:val="0"/>
      <w:jc w:val="left"/>
    </w:pPr>
    <w:rPr>
      <w:sz w:val="18"/>
      <w:szCs w:val="18"/>
    </w:rPr>
  </w:style>
  <w:style w:type="character" w:customStyle="1" w:styleId="a6">
    <w:name w:val="页脚 字符"/>
    <w:link w:val="a5"/>
    <w:uiPriority w:val="99"/>
    <w:rsid w:val="00CD53C5"/>
    <w:rPr>
      <w:sz w:val="18"/>
      <w:szCs w:val="18"/>
    </w:rPr>
  </w:style>
  <w:style w:type="paragraph" w:styleId="a7">
    <w:name w:val="Balloon Text"/>
    <w:basedOn w:val="a"/>
    <w:link w:val="a8"/>
    <w:uiPriority w:val="99"/>
    <w:semiHidden/>
    <w:unhideWhenUsed/>
    <w:rsid w:val="001403A1"/>
    <w:rPr>
      <w:sz w:val="18"/>
      <w:szCs w:val="18"/>
    </w:rPr>
  </w:style>
  <w:style w:type="character" w:customStyle="1" w:styleId="a8">
    <w:name w:val="批注框文本 字符"/>
    <w:link w:val="a7"/>
    <w:uiPriority w:val="99"/>
    <w:semiHidden/>
    <w:rsid w:val="001403A1"/>
    <w:rPr>
      <w:sz w:val="18"/>
      <w:szCs w:val="18"/>
    </w:rPr>
  </w:style>
  <w:style w:type="table" w:styleId="a9">
    <w:name w:val="Table Grid"/>
    <w:basedOn w:val="a1"/>
    <w:uiPriority w:val="59"/>
    <w:rsid w:val="002078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025D51"/>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14179">
      <w:bodyDiv w:val="1"/>
      <w:marLeft w:val="0"/>
      <w:marRight w:val="0"/>
      <w:marTop w:val="0"/>
      <w:marBottom w:val="0"/>
      <w:divBdr>
        <w:top w:val="none" w:sz="0" w:space="0" w:color="auto"/>
        <w:left w:val="none" w:sz="0" w:space="0" w:color="auto"/>
        <w:bottom w:val="none" w:sz="0" w:space="0" w:color="auto"/>
        <w:right w:val="none" w:sz="0" w:space="0" w:color="auto"/>
      </w:divBdr>
    </w:div>
    <w:div w:id="217327381">
      <w:bodyDiv w:val="1"/>
      <w:marLeft w:val="0"/>
      <w:marRight w:val="0"/>
      <w:marTop w:val="0"/>
      <w:marBottom w:val="0"/>
      <w:divBdr>
        <w:top w:val="none" w:sz="0" w:space="0" w:color="auto"/>
        <w:left w:val="none" w:sz="0" w:space="0" w:color="auto"/>
        <w:bottom w:val="none" w:sz="0" w:space="0" w:color="auto"/>
        <w:right w:val="none" w:sz="0" w:space="0" w:color="auto"/>
      </w:divBdr>
    </w:div>
    <w:div w:id="276108250">
      <w:bodyDiv w:val="1"/>
      <w:marLeft w:val="0"/>
      <w:marRight w:val="0"/>
      <w:marTop w:val="0"/>
      <w:marBottom w:val="0"/>
      <w:divBdr>
        <w:top w:val="none" w:sz="0" w:space="0" w:color="auto"/>
        <w:left w:val="none" w:sz="0" w:space="0" w:color="auto"/>
        <w:bottom w:val="none" w:sz="0" w:space="0" w:color="auto"/>
        <w:right w:val="none" w:sz="0" w:space="0" w:color="auto"/>
      </w:divBdr>
    </w:div>
    <w:div w:id="727074370">
      <w:bodyDiv w:val="1"/>
      <w:marLeft w:val="0"/>
      <w:marRight w:val="0"/>
      <w:marTop w:val="0"/>
      <w:marBottom w:val="0"/>
      <w:divBdr>
        <w:top w:val="none" w:sz="0" w:space="0" w:color="auto"/>
        <w:left w:val="none" w:sz="0" w:space="0" w:color="auto"/>
        <w:bottom w:val="none" w:sz="0" w:space="0" w:color="auto"/>
        <w:right w:val="none" w:sz="0" w:space="0" w:color="auto"/>
      </w:divBdr>
    </w:div>
    <w:div w:id="990406626">
      <w:bodyDiv w:val="1"/>
      <w:marLeft w:val="0"/>
      <w:marRight w:val="0"/>
      <w:marTop w:val="0"/>
      <w:marBottom w:val="0"/>
      <w:divBdr>
        <w:top w:val="none" w:sz="0" w:space="0" w:color="auto"/>
        <w:left w:val="none" w:sz="0" w:space="0" w:color="auto"/>
        <w:bottom w:val="none" w:sz="0" w:space="0" w:color="auto"/>
        <w:right w:val="none" w:sz="0" w:space="0" w:color="auto"/>
      </w:divBdr>
    </w:div>
    <w:div w:id="1141921938">
      <w:bodyDiv w:val="1"/>
      <w:marLeft w:val="0"/>
      <w:marRight w:val="0"/>
      <w:marTop w:val="0"/>
      <w:marBottom w:val="0"/>
      <w:divBdr>
        <w:top w:val="none" w:sz="0" w:space="0" w:color="auto"/>
        <w:left w:val="none" w:sz="0" w:space="0" w:color="auto"/>
        <w:bottom w:val="none" w:sz="0" w:space="0" w:color="auto"/>
        <w:right w:val="none" w:sz="0" w:space="0" w:color="auto"/>
      </w:divBdr>
    </w:div>
    <w:div w:id="1596326475">
      <w:bodyDiv w:val="1"/>
      <w:marLeft w:val="0"/>
      <w:marRight w:val="0"/>
      <w:marTop w:val="0"/>
      <w:marBottom w:val="0"/>
      <w:divBdr>
        <w:top w:val="none" w:sz="0" w:space="0" w:color="auto"/>
        <w:left w:val="none" w:sz="0" w:space="0" w:color="auto"/>
        <w:bottom w:val="none" w:sz="0" w:space="0" w:color="auto"/>
        <w:right w:val="none" w:sz="0" w:space="0" w:color="auto"/>
      </w:divBdr>
    </w:div>
    <w:div w:id="1755931665">
      <w:bodyDiv w:val="1"/>
      <w:marLeft w:val="0"/>
      <w:marRight w:val="0"/>
      <w:marTop w:val="0"/>
      <w:marBottom w:val="0"/>
      <w:divBdr>
        <w:top w:val="none" w:sz="0" w:space="0" w:color="auto"/>
        <w:left w:val="none" w:sz="0" w:space="0" w:color="auto"/>
        <w:bottom w:val="none" w:sz="0" w:space="0" w:color="auto"/>
        <w:right w:val="none" w:sz="0" w:space="0" w:color="auto"/>
      </w:divBdr>
    </w:div>
    <w:div w:id="1812286898">
      <w:bodyDiv w:val="1"/>
      <w:marLeft w:val="0"/>
      <w:marRight w:val="0"/>
      <w:marTop w:val="0"/>
      <w:marBottom w:val="0"/>
      <w:divBdr>
        <w:top w:val="none" w:sz="0" w:space="0" w:color="auto"/>
        <w:left w:val="none" w:sz="0" w:space="0" w:color="auto"/>
        <w:bottom w:val="none" w:sz="0" w:space="0" w:color="auto"/>
        <w:right w:val="none" w:sz="0" w:space="0" w:color="auto"/>
      </w:divBdr>
      <w:divsChild>
        <w:div w:id="1404183701">
          <w:marLeft w:val="0"/>
          <w:marRight w:val="0"/>
          <w:marTop w:val="0"/>
          <w:marBottom w:val="0"/>
          <w:divBdr>
            <w:top w:val="none" w:sz="0" w:space="0" w:color="auto"/>
            <w:left w:val="none" w:sz="0" w:space="0" w:color="auto"/>
            <w:bottom w:val="none" w:sz="0" w:space="0" w:color="auto"/>
            <w:right w:val="none" w:sz="0" w:space="0" w:color="auto"/>
          </w:divBdr>
        </w:div>
      </w:divsChild>
    </w:div>
    <w:div w:id="1981877879">
      <w:bodyDiv w:val="1"/>
      <w:marLeft w:val="0"/>
      <w:marRight w:val="0"/>
      <w:marTop w:val="0"/>
      <w:marBottom w:val="0"/>
      <w:divBdr>
        <w:top w:val="none" w:sz="0" w:space="0" w:color="auto"/>
        <w:left w:val="none" w:sz="0" w:space="0" w:color="auto"/>
        <w:bottom w:val="none" w:sz="0" w:space="0" w:color="auto"/>
        <w:right w:val="none" w:sz="0" w:space="0" w:color="auto"/>
      </w:divBdr>
      <w:divsChild>
        <w:div w:id="1588461664">
          <w:marLeft w:val="0"/>
          <w:marRight w:val="0"/>
          <w:marTop w:val="0"/>
          <w:marBottom w:val="0"/>
          <w:divBdr>
            <w:top w:val="none" w:sz="0" w:space="0" w:color="auto"/>
            <w:left w:val="none" w:sz="0" w:space="0" w:color="auto"/>
            <w:bottom w:val="none" w:sz="0" w:space="0" w:color="auto"/>
            <w:right w:val="none" w:sz="0" w:space="0" w:color="auto"/>
          </w:divBdr>
          <w:divsChild>
            <w:div w:id="296839987">
              <w:marLeft w:val="0"/>
              <w:marRight w:val="0"/>
              <w:marTop w:val="0"/>
              <w:marBottom w:val="0"/>
              <w:divBdr>
                <w:top w:val="none" w:sz="0" w:space="0" w:color="auto"/>
                <w:left w:val="none" w:sz="0" w:space="0" w:color="auto"/>
                <w:bottom w:val="none" w:sz="0" w:space="0" w:color="auto"/>
                <w:right w:val="none" w:sz="0" w:space="0" w:color="auto"/>
              </w:divBdr>
            </w:div>
            <w:div w:id="366688147">
              <w:marLeft w:val="0"/>
              <w:marRight w:val="0"/>
              <w:marTop w:val="0"/>
              <w:marBottom w:val="0"/>
              <w:divBdr>
                <w:top w:val="none" w:sz="0" w:space="0" w:color="auto"/>
                <w:left w:val="none" w:sz="0" w:space="0" w:color="auto"/>
                <w:bottom w:val="none" w:sz="0" w:space="0" w:color="auto"/>
                <w:right w:val="none" w:sz="0" w:space="0" w:color="auto"/>
              </w:divBdr>
            </w:div>
            <w:div w:id="461314489">
              <w:marLeft w:val="0"/>
              <w:marRight w:val="0"/>
              <w:marTop w:val="0"/>
              <w:marBottom w:val="0"/>
              <w:divBdr>
                <w:top w:val="none" w:sz="0" w:space="0" w:color="auto"/>
                <w:left w:val="none" w:sz="0" w:space="0" w:color="auto"/>
                <w:bottom w:val="none" w:sz="0" w:space="0" w:color="auto"/>
                <w:right w:val="none" w:sz="0" w:space="0" w:color="auto"/>
              </w:divBdr>
            </w:div>
            <w:div w:id="820460938">
              <w:marLeft w:val="0"/>
              <w:marRight w:val="0"/>
              <w:marTop w:val="0"/>
              <w:marBottom w:val="0"/>
              <w:divBdr>
                <w:top w:val="none" w:sz="0" w:space="0" w:color="auto"/>
                <w:left w:val="none" w:sz="0" w:space="0" w:color="auto"/>
                <w:bottom w:val="none" w:sz="0" w:space="0" w:color="auto"/>
                <w:right w:val="none" w:sz="0" w:space="0" w:color="auto"/>
              </w:divBdr>
            </w:div>
            <w:div w:id="903491858">
              <w:marLeft w:val="0"/>
              <w:marRight w:val="0"/>
              <w:marTop w:val="0"/>
              <w:marBottom w:val="0"/>
              <w:divBdr>
                <w:top w:val="none" w:sz="0" w:space="0" w:color="auto"/>
                <w:left w:val="none" w:sz="0" w:space="0" w:color="auto"/>
                <w:bottom w:val="none" w:sz="0" w:space="0" w:color="auto"/>
                <w:right w:val="none" w:sz="0" w:space="0" w:color="auto"/>
              </w:divBdr>
            </w:div>
            <w:div w:id="981353077">
              <w:marLeft w:val="0"/>
              <w:marRight w:val="0"/>
              <w:marTop w:val="0"/>
              <w:marBottom w:val="0"/>
              <w:divBdr>
                <w:top w:val="none" w:sz="0" w:space="0" w:color="auto"/>
                <w:left w:val="none" w:sz="0" w:space="0" w:color="auto"/>
                <w:bottom w:val="none" w:sz="0" w:space="0" w:color="auto"/>
                <w:right w:val="none" w:sz="0" w:space="0" w:color="auto"/>
              </w:divBdr>
            </w:div>
            <w:div w:id="1065684038">
              <w:marLeft w:val="0"/>
              <w:marRight w:val="0"/>
              <w:marTop w:val="0"/>
              <w:marBottom w:val="0"/>
              <w:divBdr>
                <w:top w:val="none" w:sz="0" w:space="0" w:color="auto"/>
                <w:left w:val="none" w:sz="0" w:space="0" w:color="auto"/>
                <w:bottom w:val="none" w:sz="0" w:space="0" w:color="auto"/>
                <w:right w:val="none" w:sz="0" w:space="0" w:color="auto"/>
              </w:divBdr>
            </w:div>
            <w:div w:id="1079986107">
              <w:marLeft w:val="0"/>
              <w:marRight w:val="0"/>
              <w:marTop w:val="0"/>
              <w:marBottom w:val="0"/>
              <w:divBdr>
                <w:top w:val="none" w:sz="0" w:space="0" w:color="auto"/>
                <w:left w:val="none" w:sz="0" w:space="0" w:color="auto"/>
                <w:bottom w:val="none" w:sz="0" w:space="0" w:color="auto"/>
                <w:right w:val="none" w:sz="0" w:space="0" w:color="auto"/>
              </w:divBdr>
            </w:div>
            <w:div w:id="1386022538">
              <w:marLeft w:val="0"/>
              <w:marRight w:val="0"/>
              <w:marTop w:val="0"/>
              <w:marBottom w:val="0"/>
              <w:divBdr>
                <w:top w:val="none" w:sz="0" w:space="0" w:color="auto"/>
                <w:left w:val="none" w:sz="0" w:space="0" w:color="auto"/>
                <w:bottom w:val="none" w:sz="0" w:space="0" w:color="auto"/>
                <w:right w:val="none" w:sz="0" w:space="0" w:color="auto"/>
              </w:divBdr>
            </w:div>
            <w:div w:id="1421491086">
              <w:marLeft w:val="0"/>
              <w:marRight w:val="0"/>
              <w:marTop w:val="0"/>
              <w:marBottom w:val="0"/>
              <w:divBdr>
                <w:top w:val="none" w:sz="0" w:space="0" w:color="auto"/>
                <w:left w:val="none" w:sz="0" w:space="0" w:color="auto"/>
                <w:bottom w:val="none" w:sz="0" w:space="0" w:color="auto"/>
                <w:right w:val="none" w:sz="0" w:space="0" w:color="auto"/>
              </w:divBdr>
            </w:div>
            <w:div w:id="1431007427">
              <w:marLeft w:val="0"/>
              <w:marRight w:val="0"/>
              <w:marTop w:val="0"/>
              <w:marBottom w:val="0"/>
              <w:divBdr>
                <w:top w:val="none" w:sz="0" w:space="0" w:color="auto"/>
                <w:left w:val="none" w:sz="0" w:space="0" w:color="auto"/>
                <w:bottom w:val="none" w:sz="0" w:space="0" w:color="auto"/>
                <w:right w:val="none" w:sz="0" w:space="0" w:color="auto"/>
              </w:divBdr>
            </w:div>
            <w:div w:id="1507131931">
              <w:marLeft w:val="0"/>
              <w:marRight w:val="0"/>
              <w:marTop w:val="0"/>
              <w:marBottom w:val="0"/>
              <w:divBdr>
                <w:top w:val="none" w:sz="0" w:space="0" w:color="auto"/>
                <w:left w:val="none" w:sz="0" w:space="0" w:color="auto"/>
                <w:bottom w:val="none" w:sz="0" w:space="0" w:color="auto"/>
                <w:right w:val="none" w:sz="0" w:space="0" w:color="auto"/>
              </w:divBdr>
            </w:div>
            <w:div w:id="1594968925">
              <w:marLeft w:val="0"/>
              <w:marRight w:val="0"/>
              <w:marTop w:val="0"/>
              <w:marBottom w:val="0"/>
              <w:divBdr>
                <w:top w:val="none" w:sz="0" w:space="0" w:color="auto"/>
                <w:left w:val="none" w:sz="0" w:space="0" w:color="auto"/>
                <w:bottom w:val="none" w:sz="0" w:space="0" w:color="auto"/>
                <w:right w:val="none" w:sz="0" w:space="0" w:color="auto"/>
              </w:divBdr>
            </w:div>
            <w:div w:id="1623077552">
              <w:marLeft w:val="0"/>
              <w:marRight w:val="0"/>
              <w:marTop w:val="0"/>
              <w:marBottom w:val="0"/>
              <w:divBdr>
                <w:top w:val="none" w:sz="0" w:space="0" w:color="auto"/>
                <w:left w:val="none" w:sz="0" w:space="0" w:color="auto"/>
                <w:bottom w:val="none" w:sz="0" w:space="0" w:color="auto"/>
                <w:right w:val="none" w:sz="0" w:space="0" w:color="auto"/>
              </w:divBdr>
            </w:div>
            <w:div w:id="16297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8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webupload.admin.dongao.com/biz/handout/img/2019/20190702/20190702163509368001.png" TargetMode="External"/><Relationship Id="rId13" Type="http://schemas.openxmlformats.org/officeDocument/2006/relationships/image" Target="media/image4.png"/><Relationship Id="rId18" Type="http://schemas.openxmlformats.org/officeDocument/2006/relationships/image" Target="http://webupload.admin.dongao.com/biz/handout/img/2019/20190702/20190702163509890006.p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http://webupload.admin.dongao.com/biz/handout/img/2019/20190702/20190702163509790003.png"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http://webupload.admin.dongao.com/biz/handout/img/2019/20190702/20190702163509832005.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image" Target="http://webupload.admin.dongao.com/biz/handout/img/2019/20190702/20190702163509363002.pn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webupload.admin.dongao.com/biz/handout/img/2019/20190702/20190702163509591004.pn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FDF46-7D78-4A21-8C5F-44F1F199C0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