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8883" w14:textId="77777777" w:rsidR="008E07B6" w:rsidRDefault="008E07B6" w:rsidP="008E07B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第五编·第十八章·完成审计工作</w:t>
      </w:r>
    </w:p>
    <w:p w14:paraId="45A7C89B" w14:textId="77777777" w:rsidR="008E07B6" w:rsidRDefault="008E07B6" w:rsidP="008E07B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0C7B2EF" w14:textId="77777777" w:rsidR="008E07B6" w:rsidRDefault="008E07B6" w:rsidP="008E07B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完成审计工作概述</w:t>
      </w:r>
    </w:p>
    <w:p w14:paraId="18284DC6" w14:textId="77777777" w:rsidR="008E07B6" w:rsidRDefault="008E07B6" w:rsidP="008E07B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二、复核审计工作底稿和财务报表</w:t>
      </w:r>
    </w:p>
    <w:p w14:paraId="5D3C5B54"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1.对财务报表的总体合理性进行总体复核</w:t>
      </w:r>
      <w:r>
        <w:rPr>
          <w:rFonts w:cs="Calibri" w:hint="eastAsia"/>
          <w:b/>
          <w:bCs/>
          <w:color w:val="FF0000"/>
          <w:sz w:val="21"/>
          <w:szCs w:val="21"/>
        </w:rPr>
        <w:t>[链接第3章]</w:t>
      </w:r>
    </w:p>
    <w:p w14:paraId="6F887A68" w14:textId="77777777" w:rsidR="008E07B6" w:rsidRDefault="008E07B6" w:rsidP="008E07B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"http://webupload.admin.dongao.com/biz/handout/img/2019/20190702/20190702074008896001.png"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59.75pt">
            <v:imagedata r:id="rId7" r:href="rId8"/>
          </v:shape>
        </w:pict>
      </w:r>
      <w:r>
        <w:rPr>
          <w:rFonts w:ascii="Calibri" w:eastAsia="微软雅黑" w:hAnsi="Calibri" w:cs="Calibri"/>
          <w:color w:val="3F3F3F"/>
          <w:sz w:val="21"/>
          <w:szCs w:val="21"/>
        </w:rPr>
        <w:fldChar w:fldCharType="end"/>
      </w:r>
    </w:p>
    <w:p w14:paraId="61CCE044" w14:textId="77777777" w:rsidR="008E07B6" w:rsidRDefault="008E07B6" w:rsidP="008E07B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（1）注册会计师应当在</w:t>
      </w:r>
      <w:r>
        <w:rPr>
          <w:rFonts w:cs="Calibri" w:hint="eastAsia"/>
          <w:b/>
          <w:bCs/>
          <w:color w:val="FF0000"/>
          <w:sz w:val="21"/>
          <w:szCs w:val="21"/>
        </w:rPr>
        <w:t>审计结束或临近结束</w:t>
      </w:r>
      <w:r>
        <w:rPr>
          <w:rFonts w:cs="Calibri" w:hint="eastAsia"/>
          <w:color w:val="3F3F3F"/>
          <w:sz w:val="21"/>
          <w:szCs w:val="21"/>
        </w:rPr>
        <w:t>时，运用</w:t>
      </w:r>
      <w:r>
        <w:rPr>
          <w:rFonts w:cs="Calibri" w:hint="eastAsia"/>
          <w:b/>
          <w:bCs/>
          <w:color w:val="FF0000"/>
          <w:sz w:val="21"/>
          <w:szCs w:val="21"/>
        </w:rPr>
        <w:t>分析程序</w:t>
      </w:r>
      <w:r>
        <w:rPr>
          <w:rFonts w:cs="Calibri" w:hint="eastAsia"/>
          <w:color w:val="3F3F3F"/>
          <w:sz w:val="21"/>
          <w:szCs w:val="21"/>
        </w:rPr>
        <w:t>，确定经调整后的财务报表整体是否与对被审计单位的了解一致，是否具有总体合理性；</w:t>
      </w:r>
    </w:p>
    <w:p w14:paraId="0BC46D8B" w14:textId="77777777" w:rsidR="008E07B6" w:rsidRDefault="008E07B6" w:rsidP="008E07B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（2）进行总体复核后，如果识别出以前</w:t>
      </w:r>
      <w:r>
        <w:rPr>
          <w:rFonts w:cs="Calibri" w:hint="eastAsia"/>
          <w:b/>
          <w:bCs/>
          <w:color w:val="FF0000"/>
          <w:sz w:val="21"/>
          <w:szCs w:val="21"/>
        </w:rPr>
        <w:t>未识别</w:t>
      </w:r>
      <w:r>
        <w:rPr>
          <w:rFonts w:cs="Calibri" w:hint="eastAsia"/>
          <w:color w:val="3F3F3F"/>
          <w:sz w:val="21"/>
          <w:szCs w:val="21"/>
        </w:rPr>
        <w:t>的重大错报风险，注册会计师</w:t>
      </w:r>
      <w:r>
        <w:rPr>
          <w:rFonts w:cs="Calibri" w:hint="eastAsia"/>
          <w:b/>
          <w:bCs/>
          <w:color w:val="FF0000"/>
          <w:sz w:val="21"/>
          <w:szCs w:val="21"/>
        </w:rPr>
        <w:t>应当重新考虑</w:t>
      </w:r>
      <w:r>
        <w:rPr>
          <w:rFonts w:cs="Calibri" w:hint="eastAsia"/>
          <w:color w:val="3F3F3F"/>
          <w:sz w:val="21"/>
          <w:szCs w:val="21"/>
        </w:rPr>
        <w:t>：</w:t>
      </w:r>
    </w:p>
    <w:p w14:paraId="09AB2300"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a）对全部或部分各类交易、账户余额、披露评估的风险是否恰当；</w:t>
      </w:r>
    </w:p>
    <w:p w14:paraId="056A5EA4"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b）之前计划的审计程序是否充分；</w:t>
      </w:r>
    </w:p>
    <w:p w14:paraId="5CBD706D"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c）是否有必要追加审计程序。</w:t>
      </w:r>
    </w:p>
    <w:p w14:paraId="6A8EDDF0"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2.复核审计工作底稿</w:t>
      </w:r>
      <w:r>
        <w:rPr>
          <w:rFonts w:cs="Calibri" w:hint="eastAsia"/>
          <w:b/>
          <w:bCs/>
          <w:color w:val="FF0000"/>
          <w:sz w:val="21"/>
          <w:szCs w:val="21"/>
        </w:rPr>
        <w:t>[链接第21章]</w:t>
      </w:r>
    </w:p>
    <w:p w14:paraId="05E51FF3" w14:textId="77777777" w:rsidR="008E07B6" w:rsidRDefault="008E07B6" w:rsidP="008E07B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"http://webupload.admin.dongao.com/biz/handout/img/2019/20190702/20190702074008648002.png"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03.75pt;height:75.75pt">
            <v:imagedata r:id="rId9" r:href="rId10"/>
          </v:shape>
        </w:pict>
      </w:r>
      <w:r>
        <w:rPr>
          <w:rFonts w:ascii="Calibri" w:eastAsia="微软雅黑" w:hAnsi="Calibri" w:cs="Calibri"/>
          <w:color w:val="3F3F3F"/>
          <w:sz w:val="21"/>
          <w:szCs w:val="21"/>
        </w:rPr>
        <w:fldChar w:fldCharType="end"/>
      </w:r>
    </w:p>
    <w:p w14:paraId="42076600" w14:textId="77777777" w:rsidR="008E07B6" w:rsidRDefault="008E07B6" w:rsidP="008E07B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"http://webupload.admin.dongao.com/biz/handout/img/2019/20190702/20190702074008214003.png"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396.75pt;height:176.25pt">
            <v:imagedata r:id="rId11" r:href="rId12"/>
          </v:shape>
        </w:pict>
      </w:r>
      <w:r>
        <w:rPr>
          <w:rFonts w:ascii="Calibri" w:eastAsia="微软雅黑" w:hAnsi="Calibri" w:cs="Calibri"/>
          <w:color w:val="3F3F3F"/>
          <w:sz w:val="21"/>
          <w:szCs w:val="21"/>
        </w:rPr>
        <w:fldChar w:fldCharType="end"/>
      </w:r>
    </w:p>
    <w:p w14:paraId="30E0D4BC" w14:textId="77777777" w:rsidR="008E07B6" w:rsidRDefault="008E07B6" w:rsidP="008E07B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（1）项目组内部复核</w:t>
      </w:r>
    </w:p>
    <w:tbl>
      <w:tblPr>
        <w:tblW w:w="8505" w:type="dxa"/>
        <w:jc w:val="center"/>
        <w:tblCellMar>
          <w:left w:w="0" w:type="dxa"/>
          <w:right w:w="0" w:type="dxa"/>
        </w:tblCellMar>
        <w:tblLook w:val="04A0" w:firstRow="1" w:lastRow="0" w:firstColumn="1" w:lastColumn="0" w:noHBand="0" w:noVBand="1"/>
      </w:tblPr>
      <w:tblGrid>
        <w:gridCol w:w="1129"/>
        <w:gridCol w:w="7376"/>
      </w:tblGrid>
      <w:tr w:rsidR="008E07B6" w14:paraId="60E2D718" w14:textId="77777777" w:rsidTr="008E07B6">
        <w:trPr>
          <w:trHeight w:val="444"/>
          <w:jc w:val="center"/>
        </w:trPr>
        <w:tc>
          <w:tcPr>
            <w:tcW w:w="1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4DF5C2" w14:textId="77777777" w:rsidR="008E07B6" w:rsidRDefault="008E07B6" w:rsidP="008E07B6">
            <w:pPr>
              <w:rPr>
                <w:rFonts w:eastAsia="微软雅黑" w:cs="Calibri"/>
                <w:color w:val="3F3F3F"/>
                <w:szCs w:val="21"/>
              </w:rPr>
            </w:pPr>
          </w:p>
        </w:tc>
        <w:tc>
          <w:tcPr>
            <w:tcW w:w="73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5D9D591"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8E07B6" w14:paraId="59D42B85" w14:textId="77777777" w:rsidTr="008E07B6">
        <w:trPr>
          <w:trHeight w:val="1769"/>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628F21"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复核人员</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19D5E7"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（1）通常情况下，由项目组内</w:t>
            </w:r>
            <w:r>
              <w:rPr>
                <w:rFonts w:cs="Calibri" w:hint="eastAsia"/>
                <w:b/>
                <w:bCs/>
                <w:color w:val="FF0000"/>
                <w:sz w:val="21"/>
                <w:szCs w:val="21"/>
              </w:rPr>
              <w:t>经验较多</w:t>
            </w:r>
            <w:r>
              <w:rPr>
                <w:rFonts w:cs="Calibri" w:hint="eastAsia"/>
                <w:color w:val="333333"/>
                <w:sz w:val="21"/>
                <w:szCs w:val="21"/>
              </w:rPr>
              <w:t>的人员复核经验较少的人员的工作</w:t>
            </w:r>
          </w:p>
          <w:p w14:paraId="5B2FF4EE"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（2）对较为复杂、审计风险较高的领域，需要指派经验丰富的项目组成员复核，必要时可以由项目合伙人执行复核，</w:t>
            </w:r>
            <w:r>
              <w:rPr>
                <w:rFonts w:cs="Calibri" w:hint="eastAsia"/>
                <w:b/>
                <w:bCs/>
                <w:color w:val="FF0000"/>
                <w:sz w:val="21"/>
                <w:szCs w:val="21"/>
              </w:rPr>
              <w:t>例如</w:t>
            </w:r>
            <w:r>
              <w:rPr>
                <w:rFonts w:cs="Calibri" w:hint="eastAsia"/>
                <w:color w:val="333333"/>
                <w:sz w:val="21"/>
                <w:szCs w:val="21"/>
              </w:rPr>
              <w:t>，舞弊风险的评估与应对、重大会计估计及其他复杂的会计问题、审核会议记录和重大合同、关联方关系和交易、持续经营存在的问题等</w:t>
            </w:r>
          </w:p>
        </w:tc>
      </w:tr>
      <w:tr w:rsidR="008E07B6" w14:paraId="3816A5D3" w14:textId="77777777" w:rsidTr="008E07B6">
        <w:trPr>
          <w:trHeight w:val="561"/>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967E16"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复核范围</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6FD3A2"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所有</w:t>
            </w:r>
            <w:r>
              <w:rPr>
                <w:rFonts w:cs="Calibri" w:hint="eastAsia"/>
                <w:color w:val="333333"/>
                <w:sz w:val="21"/>
                <w:szCs w:val="21"/>
              </w:rPr>
              <w:t>的审计工作底稿</w:t>
            </w:r>
            <w:r>
              <w:rPr>
                <w:rFonts w:cs="Calibri" w:hint="eastAsia"/>
                <w:b/>
                <w:bCs/>
                <w:color w:val="FF0000"/>
                <w:sz w:val="21"/>
                <w:szCs w:val="21"/>
              </w:rPr>
              <w:t>至少</w:t>
            </w:r>
            <w:r>
              <w:rPr>
                <w:rFonts w:cs="Calibri" w:hint="eastAsia"/>
                <w:color w:val="333333"/>
                <w:sz w:val="21"/>
                <w:szCs w:val="21"/>
              </w:rPr>
              <w:t>要经过</w:t>
            </w:r>
            <w:r>
              <w:rPr>
                <w:rFonts w:cs="Calibri" w:hint="eastAsia"/>
                <w:b/>
                <w:bCs/>
                <w:color w:val="FF0000"/>
                <w:sz w:val="21"/>
                <w:szCs w:val="21"/>
              </w:rPr>
              <w:t>一级复核</w:t>
            </w:r>
          </w:p>
        </w:tc>
      </w:tr>
      <w:tr w:rsidR="008E07B6" w14:paraId="4AC6CE68" w14:textId="77777777" w:rsidTr="008E07B6">
        <w:trPr>
          <w:trHeight w:val="1207"/>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E45D6D"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复核时间</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E10D44"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审计项目组内部复核贯穿审计全过程，例如，在审计</w:t>
            </w:r>
            <w:r>
              <w:rPr>
                <w:rFonts w:cs="Calibri" w:hint="eastAsia"/>
                <w:b/>
                <w:bCs/>
                <w:color w:val="FF0000"/>
                <w:sz w:val="21"/>
                <w:szCs w:val="21"/>
              </w:rPr>
              <w:t>计划</w:t>
            </w:r>
            <w:r>
              <w:rPr>
                <w:rFonts w:cs="Calibri" w:hint="eastAsia"/>
                <w:color w:val="333333"/>
                <w:sz w:val="21"/>
                <w:szCs w:val="21"/>
              </w:rPr>
              <w:t>阶段复核记录审计策略和审计计划的工作底稿，在审计</w:t>
            </w:r>
            <w:r>
              <w:rPr>
                <w:rFonts w:cs="Calibri" w:hint="eastAsia"/>
                <w:b/>
                <w:bCs/>
                <w:color w:val="FF0000"/>
                <w:sz w:val="21"/>
                <w:szCs w:val="21"/>
              </w:rPr>
              <w:t>执行</w:t>
            </w:r>
            <w:r>
              <w:rPr>
                <w:rFonts w:cs="Calibri" w:hint="eastAsia"/>
                <w:color w:val="333333"/>
                <w:sz w:val="21"/>
                <w:szCs w:val="21"/>
              </w:rPr>
              <w:t>阶段复核记录控制测试和实质性程序的工作底稿，在审计</w:t>
            </w:r>
            <w:r>
              <w:rPr>
                <w:rFonts w:cs="Calibri" w:hint="eastAsia"/>
                <w:b/>
                <w:bCs/>
                <w:color w:val="FF0000"/>
                <w:sz w:val="21"/>
                <w:szCs w:val="21"/>
              </w:rPr>
              <w:t>完成</w:t>
            </w:r>
            <w:r>
              <w:rPr>
                <w:rFonts w:cs="Calibri" w:hint="eastAsia"/>
                <w:color w:val="333333"/>
                <w:sz w:val="21"/>
                <w:szCs w:val="21"/>
              </w:rPr>
              <w:t>阶段复核记录重大事项、审计调整及未更正错报的工作底稿等</w:t>
            </w:r>
          </w:p>
        </w:tc>
      </w:tr>
    </w:tbl>
    <w:p w14:paraId="47E94A6A" w14:textId="77777777" w:rsidR="008E07B6" w:rsidRPr="008E07B6" w:rsidRDefault="008E07B6" w:rsidP="008E07B6">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273"/>
        <w:gridCol w:w="1048"/>
        <w:gridCol w:w="6184"/>
      </w:tblGrid>
      <w:tr w:rsidR="008E07B6" w14:paraId="2540DCAF" w14:textId="77777777" w:rsidTr="008E07B6">
        <w:trPr>
          <w:trHeight w:val="340"/>
          <w:jc w:val="center"/>
        </w:trPr>
        <w:tc>
          <w:tcPr>
            <w:tcW w:w="12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D8AE28" w14:textId="77777777" w:rsidR="008E07B6" w:rsidRDefault="008E07B6" w:rsidP="008E07B6">
            <w:pPr>
              <w:rPr>
                <w:rFonts w:ascii="微软雅黑" w:eastAsia="微软雅黑" w:hAnsi="微软雅黑" w:cs="宋体"/>
                <w:color w:val="3F3F3F"/>
                <w:szCs w:val="21"/>
              </w:rPr>
            </w:pPr>
          </w:p>
        </w:tc>
        <w:tc>
          <w:tcPr>
            <w:tcW w:w="704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29E12B8"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8E07B6" w14:paraId="14A50673" w14:textId="77777777" w:rsidTr="008E07B6">
        <w:trPr>
          <w:jc w:val="center"/>
        </w:trPr>
        <w:tc>
          <w:tcPr>
            <w:tcW w:w="124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EF61F"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项目合伙人复核</w:t>
            </w:r>
          </w:p>
          <w:p w14:paraId="0A14E738"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【简答题考点】</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F70EA8"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内容</w:t>
            </w:r>
          </w:p>
        </w:tc>
        <w:tc>
          <w:tcPr>
            <w:tcW w:w="6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FA2F87"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（1）对</w:t>
            </w:r>
            <w:r>
              <w:rPr>
                <w:rFonts w:cs="Calibri" w:hint="eastAsia"/>
                <w:b/>
                <w:bCs/>
                <w:color w:val="FF0000"/>
                <w:sz w:val="21"/>
                <w:szCs w:val="21"/>
              </w:rPr>
              <w:t>关键领域</w:t>
            </w:r>
            <w:r>
              <w:rPr>
                <w:rFonts w:cs="Calibri" w:hint="eastAsia"/>
                <w:color w:val="333333"/>
                <w:sz w:val="21"/>
                <w:szCs w:val="21"/>
              </w:rPr>
              <w:t>的判断，尤其是执业过程中识别出的疑难问题或争议事项</w:t>
            </w:r>
          </w:p>
          <w:p w14:paraId="06FE287C"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（2）特别风险</w:t>
            </w:r>
          </w:p>
          <w:p w14:paraId="5F63D9BD"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（3）项目合伙人认为重要的</w:t>
            </w:r>
            <w:r>
              <w:rPr>
                <w:rFonts w:cs="Calibri" w:hint="eastAsia"/>
                <w:b/>
                <w:bCs/>
                <w:color w:val="FF0000"/>
                <w:sz w:val="21"/>
                <w:szCs w:val="21"/>
              </w:rPr>
              <w:t>其他</w:t>
            </w:r>
            <w:r>
              <w:rPr>
                <w:rFonts w:cs="Calibri" w:hint="eastAsia"/>
                <w:color w:val="333333"/>
                <w:sz w:val="21"/>
                <w:szCs w:val="21"/>
              </w:rPr>
              <w:t>领域</w:t>
            </w:r>
          </w:p>
        </w:tc>
      </w:tr>
      <w:tr w:rsidR="008E07B6" w14:paraId="4401B7F1" w14:textId="77777777" w:rsidTr="008E07B6">
        <w:trPr>
          <w:jc w:val="center"/>
        </w:trPr>
        <w:tc>
          <w:tcPr>
            <w:tcW w:w="0" w:type="auto"/>
            <w:vMerge/>
            <w:tcBorders>
              <w:top w:val="nil"/>
              <w:left w:val="single" w:sz="8" w:space="0" w:color="auto"/>
              <w:bottom w:val="single" w:sz="8" w:space="0" w:color="auto"/>
              <w:right w:val="single" w:sz="8" w:space="0" w:color="auto"/>
            </w:tcBorders>
            <w:vAlign w:val="center"/>
            <w:hideMark/>
          </w:tcPr>
          <w:p w14:paraId="19F514A4" w14:textId="77777777" w:rsidR="008E07B6" w:rsidRDefault="008E07B6" w:rsidP="008E07B6">
            <w:pPr>
              <w:rPr>
                <w:rFonts w:eastAsia="微软雅黑" w:cs="Calibri"/>
                <w:color w:val="333333"/>
                <w:szCs w:val="21"/>
              </w:rPr>
            </w:pP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258728"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6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BEF07C"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（1）不应委托他人复核</w:t>
            </w:r>
          </w:p>
          <w:p w14:paraId="041C8E8E"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（2）项目合伙人</w:t>
            </w:r>
            <w:r>
              <w:rPr>
                <w:rFonts w:cs="Calibri" w:hint="eastAsia"/>
                <w:b/>
                <w:bCs/>
                <w:color w:val="FF0000"/>
                <w:sz w:val="21"/>
                <w:szCs w:val="21"/>
              </w:rPr>
              <w:t>无须</w:t>
            </w:r>
            <w:r>
              <w:rPr>
                <w:rFonts w:cs="Calibri" w:hint="eastAsia"/>
                <w:color w:val="333333"/>
                <w:sz w:val="21"/>
                <w:szCs w:val="21"/>
              </w:rPr>
              <w:t>复核所有审计工作底稿</w:t>
            </w:r>
          </w:p>
          <w:p w14:paraId="56959854"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（3）在审计报告日或审计报告日</w:t>
            </w:r>
            <w:r>
              <w:rPr>
                <w:rFonts w:cs="Calibri" w:hint="eastAsia"/>
                <w:b/>
                <w:bCs/>
                <w:color w:val="FF0000"/>
                <w:sz w:val="21"/>
                <w:szCs w:val="21"/>
              </w:rPr>
              <w:t>之前</w:t>
            </w:r>
            <w:r>
              <w:rPr>
                <w:rFonts w:cs="Calibri" w:hint="eastAsia"/>
                <w:color w:val="333333"/>
                <w:sz w:val="21"/>
                <w:szCs w:val="21"/>
              </w:rPr>
              <w:t>，项目合伙人应当通过</w:t>
            </w:r>
            <w:r>
              <w:rPr>
                <w:rFonts w:cs="Calibri" w:hint="eastAsia"/>
                <w:b/>
                <w:bCs/>
                <w:color w:val="FF0000"/>
                <w:sz w:val="21"/>
                <w:szCs w:val="21"/>
              </w:rPr>
              <w:t>复核审计工作底稿</w:t>
            </w:r>
            <w:r>
              <w:rPr>
                <w:rFonts w:cs="Calibri" w:hint="eastAsia"/>
                <w:color w:val="333333"/>
                <w:sz w:val="21"/>
                <w:szCs w:val="21"/>
              </w:rPr>
              <w:t>和与项目组讨论，确信已获取充分、适当的审计证据，支持得出的结论和拟出具的审计报告</w:t>
            </w:r>
          </w:p>
        </w:tc>
      </w:tr>
      <w:tr w:rsidR="008E07B6" w14:paraId="73FA5ABD" w14:textId="77777777" w:rsidTr="008E07B6">
        <w:trPr>
          <w:trHeight w:val="496"/>
          <w:jc w:val="center"/>
        </w:trPr>
        <w:tc>
          <w:tcPr>
            <w:tcW w:w="0" w:type="auto"/>
            <w:vMerge/>
            <w:tcBorders>
              <w:top w:val="nil"/>
              <w:left w:val="single" w:sz="8" w:space="0" w:color="auto"/>
              <w:bottom w:val="single" w:sz="8" w:space="0" w:color="auto"/>
              <w:right w:val="single" w:sz="8" w:space="0" w:color="auto"/>
            </w:tcBorders>
            <w:vAlign w:val="center"/>
            <w:hideMark/>
          </w:tcPr>
          <w:p w14:paraId="10FA61D5" w14:textId="77777777" w:rsidR="008E07B6" w:rsidRDefault="008E07B6" w:rsidP="008E07B6">
            <w:pPr>
              <w:rPr>
                <w:rFonts w:eastAsia="微软雅黑" w:cs="Calibri"/>
                <w:color w:val="333333"/>
                <w:szCs w:val="21"/>
              </w:rPr>
            </w:pP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87F494"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记录</w:t>
            </w:r>
          </w:p>
        </w:tc>
        <w:tc>
          <w:tcPr>
            <w:tcW w:w="6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EC78E"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项目合伙人应记录复核的</w:t>
            </w:r>
            <w:r>
              <w:rPr>
                <w:rFonts w:cs="Calibri" w:hint="eastAsia"/>
                <w:b/>
                <w:bCs/>
                <w:color w:val="FF0000"/>
                <w:sz w:val="21"/>
                <w:szCs w:val="21"/>
              </w:rPr>
              <w:t>范围和时间</w:t>
            </w:r>
          </w:p>
        </w:tc>
      </w:tr>
    </w:tbl>
    <w:p w14:paraId="667801CA" w14:textId="77777777" w:rsidR="008E07B6" w:rsidRDefault="008E07B6" w:rsidP="008E07B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4E98969" w14:textId="77777777" w:rsidR="008E07B6" w:rsidRDefault="008E07B6" w:rsidP="008E07B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单项选择题【2016年真题】</w:t>
      </w:r>
    </w:p>
    <w:p w14:paraId="2E49519E"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下列有关项目合伙人复核的说法中，错误的是（　　）。</w:t>
      </w:r>
    </w:p>
    <w:p w14:paraId="4DCCF762"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A.项目合伙人无须复核所有审计工作底稿</w:t>
      </w:r>
    </w:p>
    <w:p w14:paraId="4B3B5466"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B.项目合伙人通常需要复核项目组对关键领域所做的判断</w:t>
      </w:r>
    </w:p>
    <w:p w14:paraId="3E21B92D"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C.项目合伙人应当复核与重大错报风险相关的所有审计工作底稿</w:t>
      </w:r>
    </w:p>
    <w:p w14:paraId="2EC9D14F"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D.项目合伙人应当在审计工作底稿中记录复核的范围和时间</w:t>
      </w:r>
    </w:p>
    <w:p w14:paraId="0F6F9500"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46B3D78C"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[点评]项目合伙人复核的内容包括：（1）对关键领域所作的判断，尤其是执行业务过程中识别出的疑难问题或争议事项；（2）特别风险；（3）项目合伙人认为重要的其他领域。选项C错误。</w:t>
      </w:r>
    </w:p>
    <w:p w14:paraId="7C60F8B0" w14:textId="77777777" w:rsidR="008E07B6" w:rsidRDefault="008E07B6" w:rsidP="008E07B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（2）项目质量控制复核</w:t>
      </w:r>
    </w:p>
    <w:tbl>
      <w:tblPr>
        <w:tblW w:w="8505" w:type="dxa"/>
        <w:jc w:val="center"/>
        <w:tblCellMar>
          <w:left w:w="0" w:type="dxa"/>
          <w:right w:w="0" w:type="dxa"/>
        </w:tblCellMar>
        <w:tblLook w:val="04A0" w:firstRow="1" w:lastRow="0" w:firstColumn="1" w:lastColumn="0" w:noHBand="0" w:noVBand="1"/>
      </w:tblPr>
      <w:tblGrid>
        <w:gridCol w:w="1129"/>
        <w:gridCol w:w="7376"/>
      </w:tblGrid>
      <w:tr w:rsidR="008E07B6" w14:paraId="7FAA1A2A" w14:textId="77777777" w:rsidTr="008E07B6">
        <w:trPr>
          <w:trHeight w:val="527"/>
          <w:jc w:val="center"/>
        </w:trPr>
        <w:tc>
          <w:tcPr>
            <w:tcW w:w="1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31682E" w14:textId="77777777" w:rsidR="008E07B6" w:rsidRDefault="008E07B6" w:rsidP="008E07B6">
            <w:pPr>
              <w:rPr>
                <w:rFonts w:eastAsia="微软雅黑" w:cs="Calibri"/>
                <w:color w:val="3F3F3F"/>
                <w:szCs w:val="21"/>
              </w:rPr>
            </w:pPr>
          </w:p>
        </w:tc>
        <w:tc>
          <w:tcPr>
            <w:tcW w:w="73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5768A73"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8E07B6" w14:paraId="7F0981DE" w14:textId="77777777" w:rsidTr="008E07B6">
        <w:trPr>
          <w:trHeight w:val="786"/>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BACCE5"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复核人员</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534EFA"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安排经验丰富的注册会计师担任项目质量控制复核人员，例如：有一定执业经验的合伙人，或专门负责质量控制复核的注册会计师等</w:t>
            </w:r>
          </w:p>
        </w:tc>
      </w:tr>
      <w:tr w:rsidR="008E07B6" w14:paraId="51819136" w14:textId="77777777" w:rsidTr="008E07B6">
        <w:trPr>
          <w:trHeight w:val="840"/>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C81291"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复核要求</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7D1453"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项目质量控制复核人员应当客观地评价项目组作出的重大判断以及在编制审计报告时得出的结论</w:t>
            </w:r>
          </w:p>
        </w:tc>
      </w:tr>
      <w:tr w:rsidR="008E07B6" w14:paraId="76FE99EE" w14:textId="77777777" w:rsidTr="008E07B6">
        <w:trPr>
          <w:trHeight w:val="1122"/>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ACB562"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复核时间</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B7589A"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（1）只有完成了项目质量控制复核，</w:t>
            </w:r>
            <w:r>
              <w:rPr>
                <w:rFonts w:cs="Calibri" w:hint="eastAsia"/>
                <w:b/>
                <w:bCs/>
                <w:color w:val="FF0000"/>
                <w:sz w:val="21"/>
                <w:szCs w:val="21"/>
              </w:rPr>
              <w:t>才能签署</w:t>
            </w:r>
            <w:r>
              <w:rPr>
                <w:rFonts w:cs="Calibri" w:hint="eastAsia"/>
                <w:color w:val="333333"/>
                <w:sz w:val="21"/>
                <w:szCs w:val="21"/>
              </w:rPr>
              <w:t>审计报告</w:t>
            </w:r>
          </w:p>
          <w:p w14:paraId="22CEEA48"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（2）审计报告的日期</w:t>
            </w:r>
            <w:r>
              <w:rPr>
                <w:rFonts w:cs="Calibri" w:hint="eastAsia"/>
                <w:b/>
                <w:bCs/>
                <w:color w:val="FF0000"/>
                <w:sz w:val="21"/>
                <w:szCs w:val="21"/>
              </w:rPr>
              <w:t>不得早于</w:t>
            </w:r>
            <w:r>
              <w:rPr>
                <w:rFonts w:cs="Calibri" w:hint="eastAsia"/>
                <w:color w:val="333333"/>
                <w:sz w:val="21"/>
                <w:szCs w:val="21"/>
              </w:rPr>
              <w:t>注册会计师获取充分、适当的审计证据，并在此基础上对财务报表形成审计意见的日期</w:t>
            </w:r>
          </w:p>
        </w:tc>
      </w:tr>
    </w:tbl>
    <w:p w14:paraId="20642E22" w14:textId="77777777" w:rsidR="008E07B6" w:rsidRPr="008E07B6" w:rsidRDefault="008E07B6" w:rsidP="008E07B6">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1129"/>
        <w:gridCol w:w="7376"/>
      </w:tblGrid>
      <w:tr w:rsidR="008E07B6" w14:paraId="2582645E" w14:textId="77777777" w:rsidTr="008E07B6">
        <w:trPr>
          <w:trHeight w:val="643"/>
          <w:jc w:val="center"/>
        </w:trPr>
        <w:tc>
          <w:tcPr>
            <w:tcW w:w="1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4A8CC4" w14:textId="77777777" w:rsidR="008E07B6" w:rsidRDefault="008E07B6" w:rsidP="008E07B6">
            <w:pPr>
              <w:rPr>
                <w:rFonts w:ascii="微软雅黑" w:eastAsia="微软雅黑" w:hAnsi="微软雅黑" w:cs="宋体"/>
                <w:color w:val="3F3F3F"/>
                <w:szCs w:val="21"/>
              </w:rPr>
            </w:pPr>
          </w:p>
        </w:tc>
        <w:tc>
          <w:tcPr>
            <w:tcW w:w="73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0720CE"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8E07B6" w14:paraId="0DF0A2BE" w14:textId="77777777" w:rsidTr="008E07B6">
        <w:trPr>
          <w:trHeight w:val="3676"/>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512259"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复核范围</w:t>
            </w:r>
          </w:p>
          <w:p w14:paraId="419F6CA6" w14:textId="77777777" w:rsidR="008E07B6" w:rsidRDefault="008E07B6" w:rsidP="008E07B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[4+3]</w:t>
            </w:r>
          </w:p>
        </w:tc>
        <w:tc>
          <w:tcPr>
            <w:tcW w:w="7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17FE9D"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（1）与项目合伙人讨论重大事项</w:t>
            </w:r>
          </w:p>
          <w:p w14:paraId="5F8F8C7F"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（2）复核财务报表和拟出具的审计报告</w:t>
            </w:r>
          </w:p>
          <w:p w14:paraId="210DDE92"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（3）复核选取的与项目组作出的重大判断和得出的结论相关的审计工作底稿</w:t>
            </w:r>
          </w:p>
          <w:p w14:paraId="2C20593D"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（4）评价在编制审计报告时得出的结论，并考虑拟出具审计报告的恰当性</w:t>
            </w:r>
          </w:p>
          <w:p w14:paraId="700C3699"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对于</w:t>
            </w:r>
            <w:r>
              <w:rPr>
                <w:rFonts w:cs="Calibri" w:hint="eastAsia"/>
                <w:b/>
                <w:bCs/>
                <w:color w:val="FF0000"/>
                <w:sz w:val="21"/>
                <w:szCs w:val="21"/>
              </w:rPr>
              <w:t>上市实体</w:t>
            </w:r>
            <w:r>
              <w:rPr>
                <w:rFonts w:cs="Calibri" w:hint="eastAsia"/>
                <w:color w:val="333333"/>
                <w:sz w:val="21"/>
                <w:szCs w:val="21"/>
              </w:rPr>
              <w:t>财务报表审计，项目质量控制复核人员在实施项目质量控制复核时，</w:t>
            </w:r>
            <w:r>
              <w:rPr>
                <w:rFonts w:cs="Calibri" w:hint="eastAsia"/>
                <w:b/>
                <w:bCs/>
                <w:color w:val="FF0000"/>
                <w:sz w:val="21"/>
                <w:szCs w:val="21"/>
              </w:rPr>
              <w:t>还应当考虑</w:t>
            </w:r>
            <w:r>
              <w:rPr>
                <w:rFonts w:cs="Calibri" w:hint="eastAsia"/>
                <w:color w:val="333333"/>
                <w:sz w:val="21"/>
                <w:szCs w:val="21"/>
              </w:rPr>
              <w:t>：</w:t>
            </w:r>
          </w:p>
          <w:p w14:paraId="1F9789B0"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（5）审计项目组就具体审计业务对会计师事务所独立性作出的评价</w:t>
            </w:r>
          </w:p>
          <w:p w14:paraId="1389F364"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（6）审计项目组是否已就涉及意见分歧的事项，或者其他疑难问题或争议事项进行适当咨询，以及咨询得出的结论</w:t>
            </w:r>
          </w:p>
          <w:p w14:paraId="2E4AFDA0" w14:textId="77777777" w:rsidR="008E07B6" w:rsidRDefault="008E07B6" w:rsidP="008E07B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（7）选取的用于复核的审计工作底稿，是否反映了审计项目组针对重大判断执行的工作，以及是否支持得出的结论</w:t>
            </w:r>
          </w:p>
        </w:tc>
      </w:tr>
    </w:tbl>
    <w:p w14:paraId="63A00EAA" w14:textId="77777777" w:rsidR="008E07B6" w:rsidRDefault="008E07B6" w:rsidP="008E07B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E5F8014" w14:textId="77777777" w:rsidR="008E07B6" w:rsidRDefault="008E07B6" w:rsidP="008E07B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多项选择题【2016年真题】</w:t>
      </w:r>
    </w:p>
    <w:p w14:paraId="00C13D76"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下列各项中，上市实体的项目质量控制复核人应当执行的有（　　）。</w:t>
      </w:r>
    </w:p>
    <w:p w14:paraId="105F8234"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A.与项目合伙人讨论重大事项</w:t>
      </w:r>
    </w:p>
    <w:p w14:paraId="3B12D06C"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B.复核与重大错报风险相关的所有审计工作底稿</w:t>
      </w:r>
    </w:p>
    <w:p w14:paraId="5BD281CF"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C.复核财务报表和拟出具的审计报告</w:t>
      </w:r>
    </w:p>
    <w:p w14:paraId="35CAB7C5"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D.考虑项目组就具体审计业务对会计事务所独立性作出的评价</w:t>
      </w:r>
    </w:p>
    <w:p w14:paraId="3CF8C4AD"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[答案]ACD</w:t>
      </w:r>
    </w:p>
    <w:p w14:paraId="2E9DFEF5" w14:textId="77777777" w:rsidR="008E07B6" w:rsidRDefault="008E07B6" w:rsidP="008E07B6">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7E4ADC3C" w14:textId="77777777" w:rsidR="008E07B6" w:rsidRDefault="008E07B6" w:rsidP="008E07B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有关复核审计工作底稿的内容，考试中通常与第21章结合，考查</w:t>
      </w:r>
      <w:r>
        <w:rPr>
          <w:rFonts w:cs="Calibri" w:hint="eastAsia"/>
          <w:b/>
          <w:bCs/>
          <w:color w:val="FF0000"/>
          <w:sz w:val="21"/>
          <w:szCs w:val="21"/>
        </w:rPr>
        <w:t>简答题</w:t>
      </w:r>
      <w:r>
        <w:rPr>
          <w:rFonts w:cs="Calibri" w:hint="eastAsia"/>
          <w:color w:val="3F3F3F"/>
          <w:sz w:val="21"/>
          <w:szCs w:val="21"/>
        </w:rPr>
        <w:t>，我们将在第21章做习题演练。</w:t>
      </w:r>
    </w:p>
    <w:p w14:paraId="18EFE4D5" w14:textId="77777777" w:rsidR="008E07B6" w:rsidRDefault="008E07B6" w:rsidP="008E07B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62A7CBF" w14:textId="77777777" w:rsidR="008E07B6" w:rsidRDefault="008E07B6" w:rsidP="008E07B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"http://webupload.admin.dongao.com/biz/handout/img/2019/20190702/20190702074008125004.png"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3in">
            <v:imagedata r:id="rId13" r:href="rId14"/>
          </v:shape>
        </w:pict>
      </w:r>
      <w:r>
        <w:rPr>
          <w:rFonts w:ascii="Calibri" w:eastAsia="微软雅黑" w:hAnsi="Calibri" w:cs="Calibri"/>
          <w:color w:val="3F3F3F"/>
          <w:sz w:val="21"/>
          <w:szCs w:val="21"/>
        </w:rPr>
        <w:fldChar w:fldCharType="end"/>
      </w:r>
    </w:p>
    <w:p w14:paraId="67007C28" w14:textId="77777777" w:rsidR="008E07B6" w:rsidRDefault="008E07B6" w:rsidP="008E07B6">
      <w:pPr>
        <w:shd w:val="clear" w:color="auto" w:fill="FFFFFF"/>
        <w:rPr>
          <w:rFonts w:ascii="微软雅黑" w:eastAsia="微软雅黑" w:hAnsi="微软雅黑" w:cs="宋体"/>
          <w:color w:val="3F3F3F"/>
          <w:szCs w:val="21"/>
        </w:rPr>
      </w:pPr>
    </w:p>
    <w:p w14:paraId="18A80365" w14:textId="77777777" w:rsidR="00271D8C" w:rsidRPr="008E07B6" w:rsidRDefault="00271D8C" w:rsidP="008E07B6">
      <w:pPr>
        <w:rPr>
          <w:rFonts w:hint="eastAsia"/>
        </w:rPr>
      </w:pPr>
    </w:p>
    <w:sectPr w:rsidR="00271D8C" w:rsidRPr="008E07B6"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A2495" w14:textId="77777777" w:rsidR="003E573E" w:rsidRDefault="003E573E" w:rsidP="00CD53C5">
      <w:r>
        <w:separator/>
      </w:r>
    </w:p>
  </w:endnote>
  <w:endnote w:type="continuationSeparator" w:id="0">
    <w:p w14:paraId="4E31A351" w14:textId="77777777" w:rsidR="003E573E" w:rsidRDefault="003E573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EDCC231" w14:textId="77777777" w:rsidTr="007B0BFD">
      <w:trPr>
        <w:trHeight w:val="274"/>
      </w:trPr>
      <w:tc>
        <w:tcPr>
          <w:tcW w:w="2050" w:type="dxa"/>
          <w:shd w:val="clear" w:color="auto" w:fill="auto"/>
          <w:vAlign w:val="center"/>
        </w:tcPr>
        <w:p w14:paraId="10D8C37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66CFF9C2"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3AD6A88"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612A306"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6ECA6" w14:textId="77777777" w:rsidR="003E573E" w:rsidRDefault="003E573E" w:rsidP="00CD53C5">
      <w:r>
        <w:separator/>
      </w:r>
    </w:p>
  </w:footnote>
  <w:footnote w:type="continuationSeparator" w:id="0">
    <w:p w14:paraId="7F959D66" w14:textId="77777777" w:rsidR="003E573E" w:rsidRDefault="003E573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9947BB6" w14:textId="77777777" w:rsidTr="007B0BFD">
      <w:trPr>
        <w:trHeight w:val="501"/>
      </w:trPr>
      <w:tc>
        <w:tcPr>
          <w:tcW w:w="4272" w:type="dxa"/>
          <w:shd w:val="clear" w:color="auto" w:fill="auto"/>
          <w:vAlign w:val="center"/>
        </w:tcPr>
        <w:p w14:paraId="52676B16" w14:textId="77777777" w:rsidR="001545C6" w:rsidRPr="001F62DD" w:rsidRDefault="008E07B6"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4841131" w14:textId="77777777" w:rsidR="001545C6" w:rsidRPr="004D61E7" w:rsidRDefault="008E07B6"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第十八章</w:t>
          </w:r>
          <w:r>
            <w:rPr>
              <w:rFonts w:ascii="微软雅黑" w:eastAsia="微软雅黑" w:hAnsi="微软雅黑"/>
              <w:sz w:val="24"/>
              <w:szCs w:val="24"/>
            </w:rPr>
            <w:t>+完成审计工作</w:t>
          </w:r>
        </w:p>
      </w:tc>
    </w:tr>
  </w:tbl>
  <w:p w14:paraId="105AD913"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2F6D2C"/>
    <w:rsid w:val="00354CB5"/>
    <w:rsid w:val="00361200"/>
    <w:rsid w:val="00396A53"/>
    <w:rsid w:val="00397E03"/>
    <w:rsid w:val="003E573E"/>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8E07B6"/>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E0AC27"/>
  <w15:docId w15:val="{F68971EB-F66E-4B8C-BA14-6DA5FD09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157306497">
      <w:bodyDiv w:val="1"/>
      <w:marLeft w:val="0"/>
      <w:marRight w:val="0"/>
      <w:marTop w:val="0"/>
      <w:marBottom w:val="0"/>
      <w:divBdr>
        <w:top w:val="none" w:sz="0" w:space="0" w:color="auto"/>
        <w:left w:val="none" w:sz="0" w:space="0" w:color="auto"/>
        <w:bottom w:val="none" w:sz="0" w:space="0" w:color="auto"/>
        <w:right w:val="none" w:sz="0" w:space="0" w:color="auto"/>
      </w:divBdr>
      <w:divsChild>
        <w:div w:id="1726024089">
          <w:marLeft w:val="0"/>
          <w:marRight w:val="0"/>
          <w:marTop w:val="0"/>
          <w:marBottom w:val="0"/>
          <w:divBdr>
            <w:top w:val="none" w:sz="0" w:space="0" w:color="auto"/>
            <w:left w:val="none" w:sz="0" w:space="0" w:color="auto"/>
            <w:bottom w:val="none" w:sz="0" w:space="0" w:color="auto"/>
            <w:right w:val="none" w:sz="0" w:space="0" w:color="auto"/>
          </w:divBdr>
          <w:divsChild>
            <w:div w:id="385683330">
              <w:marLeft w:val="0"/>
              <w:marRight w:val="0"/>
              <w:marTop w:val="0"/>
              <w:marBottom w:val="0"/>
              <w:divBdr>
                <w:top w:val="none" w:sz="0" w:space="0" w:color="auto"/>
                <w:left w:val="none" w:sz="0" w:space="0" w:color="auto"/>
                <w:bottom w:val="none" w:sz="0" w:space="0" w:color="auto"/>
                <w:right w:val="none" w:sz="0" w:space="0" w:color="auto"/>
              </w:divBdr>
            </w:div>
            <w:div w:id="488981741">
              <w:marLeft w:val="0"/>
              <w:marRight w:val="0"/>
              <w:marTop w:val="0"/>
              <w:marBottom w:val="0"/>
              <w:divBdr>
                <w:top w:val="none" w:sz="0" w:space="0" w:color="auto"/>
                <w:left w:val="none" w:sz="0" w:space="0" w:color="auto"/>
                <w:bottom w:val="none" w:sz="0" w:space="0" w:color="auto"/>
                <w:right w:val="none" w:sz="0" w:space="0" w:color="auto"/>
              </w:divBdr>
            </w:div>
            <w:div w:id="1013798271">
              <w:marLeft w:val="0"/>
              <w:marRight w:val="0"/>
              <w:marTop w:val="0"/>
              <w:marBottom w:val="0"/>
              <w:divBdr>
                <w:top w:val="none" w:sz="0" w:space="0" w:color="auto"/>
                <w:left w:val="none" w:sz="0" w:space="0" w:color="auto"/>
                <w:bottom w:val="none" w:sz="0" w:space="0" w:color="auto"/>
                <w:right w:val="none" w:sz="0" w:space="0" w:color="auto"/>
              </w:divBdr>
            </w:div>
            <w:div w:id="1315452401">
              <w:marLeft w:val="0"/>
              <w:marRight w:val="0"/>
              <w:marTop w:val="0"/>
              <w:marBottom w:val="0"/>
              <w:divBdr>
                <w:top w:val="none" w:sz="0" w:space="0" w:color="auto"/>
                <w:left w:val="none" w:sz="0" w:space="0" w:color="auto"/>
                <w:bottom w:val="none" w:sz="0" w:space="0" w:color="auto"/>
                <w:right w:val="none" w:sz="0" w:space="0" w:color="auto"/>
              </w:divBdr>
            </w:div>
            <w:div w:id="1322084099">
              <w:marLeft w:val="0"/>
              <w:marRight w:val="0"/>
              <w:marTop w:val="0"/>
              <w:marBottom w:val="0"/>
              <w:divBdr>
                <w:top w:val="none" w:sz="0" w:space="0" w:color="auto"/>
                <w:left w:val="none" w:sz="0" w:space="0" w:color="auto"/>
                <w:bottom w:val="none" w:sz="0" w:space="0" w:color="auto"/>
                <w:right w:val="none" w:sz="0" w:space="0" w:color="auto"/>
              </w:divBdr>
            </w:div>
            <w:div w:id="1565409462">
              <w:marLeft w:val="0"/>
              <w:marRight w:val="0"/>
              <w:marTop w:val="0"/>
              <w:marBottom w:val="0"/>
              <w:divBdr>
                <w:top w:val="none" w:sz="0" w:space="0" w:color="auto"/>
                <w:left w:val="none" w:sz="0" w:space="0" w:color="auto"/>
                <w:bottom w:val="none" w:sz="0" w:space="0" w:color="auto"/>
                <w:right w:val="none" w:sz="0" w:space="0" w:color="auto"/>
              </w:divBdr>
            </w:div>
            <w:div w:id="1748262050">
              <w:marLeft w:val="0"/>
              <w:marRight w:val="0"/>
              <w:marTop w:val="0"/>
              <w:marBottom w:val="0"/>
              <w:divBdr>
                <w:top w:val="none" w:sz="0" w:space="0" w:color="auto"/>
                <w:left w:val="none" w:sz="0" w:space="0" w:color="auto"/>
                <w:bottom w:val="none" w:sz="0" w:space="0" w:color="auto"/>
                <w:right w:val="none" w:sz="0" w:space="0" w:color="auto"/>
              </w:divBdr>
            </w:div>
            <w:div w:id="1815440072">
              <w:marLeft w:val="0"/>
              <w:marRight w:val="0"/>
              <w:marTop w:val="0"/>
              <w:marBottom w:val="0"/>
              <w:divBdr>
                <w:top w:val="none" w:sz="0" w:space="0" w:color="auto"/>
                <w:left w:val="none" w:sz="0" w:space="0" w:color="auto"/>
                <w:bottom w:val="none" w:sz="0" w:space="0" w:color="auto"/>
                <w:right w:val="none" w:sz="0" w:space="0" w:color="auto"/>
              </w:divBdr>
            </w:div>
            <w:div w:id="20174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2/20190702074008896001.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02/20190702074008214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702/20190702074008648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02/20190702074008125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55BC-4735-4A12-A83E-6AB32A36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