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7BB2EA" w14:textId="77777777" w:rsidR="0014294B" w:rsidRDefault="0014294B" w:rsidP="0014294B">
      <w:pPr>
        <w:pStyle w:val="aa"/>
        <w:shd w:val="clear" w:color="auto" w:fill="FFFFFF"/>
        <w:spacing w:before="312" w:beforeAutospacing="0" w:after="312" w:afterAutospacing="0"/>
        <w:jc w:val="center"/>
        <w:rPr>
          <w:rFonts w:ascii="Calibri" w:eastAsia="微软雅黑" w:hAnsi="Calibri" w:cs="Calibri"/>
          <w:color w:val="3F3F3F"/>
          <w:sz w:val="21"/>
          <w:szCs w:val="21"/>
        </w:rPr>
      </w:pPr>
      <w:r>
        <w:rPr>
          <w:rFonts w:ascii="楷体" w:eastAsia="楷体" w:hAnsi="楷体" w:cs="Calibri" w:hint="eastAsia"/>
          <w:b/>
          <w:bCs/>
          <w:color w:val="3F3F3F"/>
          <w:sz w:val="52"/>
          <w:szCs w:val="52"/>
        </w:rPr>
        <w:t>第六编·第二十章·企业内部控制审计</w:t>
      </w:r>
    </w:p>
    <w:p w14:paraId="3E8B9E70" w14:textId="77777777" w:rsidR="0014294B" w:rsidRDefault="0014294B" w:rsidP="0014294B">
      <w:pPr>
        <w:pStyle w:val="aa"/>
        <w:shd w:val="clear" w:color="auto" w:fill="FFFFFF"/>
        <w:spacing w:before="0" w:beforeAutospacing="0" w:after="0" w:afterAutospacing="0"/>
        <w:jc w:val="center"/>
        <w:rPr>
          <w:color w:val="3F3F3F"/>
        </w:rPr>
      </w:pPr>
      <w:r>
        <w:rPr>
          <w:rFonts w:ascii="Symbol" w:hAnsi="Symbol"/>
          <w:color w:val="3F3F3F"/>
          <w:sz w:val="28"/>
          <w:szCs w:val="28"/>
        </w:rPr>
        <w:t></w:t>
      </w:r>
      <w:r>
        <w:rPr>
          <w:rFonts w:ascii="Times New Roman" w:hAnsi="Times New Roman" w:cs="Times New Roman"/>
          <w:color w:val="3F3F3F"/>
          <w:sz w:val="14"/>
          <w:szCs w:val="14"/>
        </w:rPr>
        <w:t xml:space="preserve">          </w:t>
      </w:r>
      <w:r>
        <w:rPr>
          <w:rFonts w:hint="eastAsia"/>
          <w:color w:val="3F3F3F"/>
          <w:sz w:val="28"/>
          <w:szCs w:val="28"/>
        </w:rPr>
        <w:t>考情和方法</w:t>
      </w:r>
    </w:p>
    <w:p w14:paraId="0D4A09F4" w14:textId="77777777" w:rsidR="0014294B" w:rsidRDefault="0014294B" w:rsidP="0014294B">
      <w:pPr>
        <w:pStyle w:val="aa"/>
        <w:shd w:val="clear" w:color="auto" w:fill="FFFFFF"/>
        <w:spacing w:before="0" w:beforeAutospacing="0" w:after="0" w:afterAutospacing="0"/>
        <w:jc w:val="center"/>
        <w:rPr>
          <w:rFonts w:hint="eastAsia"/>
          <w:color w:val="3F3F3F"/>
        </w:rPr>
      </w:pPr>
      <w:r>
        <w:rPr>
          <w:rFonts w:ascii="Symbol" w:hAnsi="Symbol"/>
          <w:color w:val="3F3F3F"/>
          <w:sz w:val="28"/>
          <w:szCs w:val="28"/>
        </w:rPr>
        <w:t></w:t>
      </w:r>
      <w:r>
        <w:rPr>
          <w:rFonts w:ascii="Times New Roman" w:hAnsi="Times New Roman" w:cs="Times New Roman"/>
          <w:color w:val="3F3F3F"/>
          <w:sz w:val="14"/>
          <w:szCs w:val="14"/>
        </w:rPr>
        <w:t xml:space="preserve">          </w:t>
      </w:r>
      <w:r>
        <w:rPr>
          <w:rFonts w:hint="eastAsia"/>
          <w:color w:val="3F3F3F"/>
          <w:sz w:val="28"/>
          <w:szCs w:val="28"/>
        </w:rPr>
        <w:t>考点和典题</w:t>
      </w:r>
    </w:p>
    <w:p w14:paraId="6C6C9241" w14:textId="77777777" w:rsidR="0014294B" w:rsidRDefault="0014294B" w:rsidP="0014294B">
      <w:pPr>
        <w:pStyle w:val="aa"/>
        <w:shd w:val="clear" w:color="auto" w:fill="FFFFFF"/>
        <w:spacing w:before="0" w:beforeAutospacing="0" w:after="0" w:afterAutospacing="0"/>
        <w:jc w:val="center"/>
        <w:rPr>
          <w:rFonts w:hint="eastAsia"/>
          <w:color w:val="3F3F3F"/>
        </w:rPr>
      </w:pPr>
      <w:r>
        <w:rPr>
          <w:rFonts w:ascii="Symbol" w:hAnsi="Symbol"/>
          <w:color w:val="3F3F3F"/>
          <w:sz w:val="28"/>
          <w:szCs w:val="28"/>
        </w:rPr>
        <w:t></w:t>
      </w:r>
      <w:r>
        <w:rPr>
          <w:rFonts w:ascii="Times New Roman" w:hAnsi="Times New Roman" w:cs="Times New Roman"/>
          <w:color w:val="3F3F3F"/>
          <w:sz w:val="14"/>
          <w:szCs w:val="14"/>
        </w:rPr>
        <w:t xml:space="preserve">          </w:t>
      </w:r>
      <w:r>
        <w:rPr>
          <w:rFonts w:hint="eastAsia"/>
          <w:color w:val="3F3F3F"/>
          <w:sz w:val="28"/>
          <w:szCs w:val="28"/>
        </w:rPr>
        <w:t>脉络和复习</w:t>
      </w:r>
    </w:p>
    <w:p w14:paraId="1C33C5CC" w14:textId="77777777" w:rsidR="0014294B" w:rsidRDefault="0014294B" w:rsidP="0014294B">
      <w:pPr>
        <w:pStyle w:val="aa"/>
        <w:shd w:val="clear" w:color="auto" w:fill="FFFFFF"/>
        <w:spacing w:before="312" w:beforeAutospacing="0" w:after="312" w:afterAutospacing="0"/>
        <w:jc w:val="center"/>
        <w:rPr>
          <w:rFonts w:ascii="Calibri" w:eastAsia="微软雅黑" w:hAnsi="Calibri" w:cs="Calibri" w:hint="eastAsia"/>
          <w:color w:val="3F3F3F"/>
          <w:sz w:val="21"/>
          <w:szCs w:val="21"/>
        </w:rPr>
      </w:pPr>
      <w:r>
        <w:rPr>
          <w:rFonts w:cs="Calibri" w:hint="eastAsia"/>
          <w:b/>
          <w:bCs/>
          <w:color w:val="3F3F3F"/>
          <w:sz w:val="28"/>
          <w:szCs w:val="28"/>
        </w:rPr>
        <w:t>考情和方法</w:t>
      </w:r>
    </w:p>
    <w:tbl>
      <w:tblPr>
        <w:tblW w:w="8500" w:type="dxa"/>
        <w:jc w:val="center"/>
        <w:tblCellMar>
          <w:left w:w="0" w:type="dxa"/>
          <w:right w:w="0" w:type="dxa"/>
        </w:tblCellMar>
        <w:tblLook w:val="04A0" w:firstRow="1" w:lastRow="0" w:firstColumn="1" w:lastColumn="0" w:noHBand="0" w:noVBand="1"/>
      </w:tblPr>
      <w:tblGrid>
        <w:gridCol w:w="1460"/>
        <w:gridCol w:w="7040"/>
      </w:tblGrid>
      <w:tr w:rsidR="0014294B" w14:paraId="7B81F534" w14:textId="77777777" w:rsidTr="0014294B">
        <w:trPr>
          <w:trHeight w:val="188"/>
          <w:jc w:val="center"/>
        </w:trPr>
        <w:tc>
          <w:tcPr>
            <w:tcW w:w="146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0937D218" w14:textId="77777777" w:rsidR="0014294B" w:rsidRDefault="0014294B" w:rsidP="0014294B">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平均考分</w:t>
            </w:r>
          </w:p>
        </w:tc>
        <w:tc>
          <w:tcPr>
            <w:tcW w:w="704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3D8391ED" w14:textId="77777777" w:rsidR="0014294B" w:rsidRDefault="0014294B" w:rsidP="0014294B">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5分/卷</w:t>
            </w:r>
          </w:p>
        </w:tc>
      </w:tr>
      <w:tr w:rsidR="0014294B" w14:paraId="5FA0177C" w14:textId="77777777" w:rsidTr="0014294B">
        <w:trPr>
          <w:trHeight w:val="292"/>
          <w:jc w:val="center"/>
        </w:trPr>
        <w:tc>
          <w:tcPr>
            <w:tcW w:w="146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43A8D05D" w14:textId="77777777" w:rsidR="0014294B" w:rsidRDefault="0014294B" w:rsidP="0014294B">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考题预测</w:t>
            </w:r>
          </w:p>
        </w:tc>
        <w:tc>
          <w:tcPr>
            <w:tcW w:w="704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E4E5F05" w14:textId="77777777" w:rsidR="0014294B" w:rsidRDefault="0014294B" w:rsidP="0014294B">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单选题、多选题、简答题</w:t>
            </w:r>
          </w:p>
        </w:tc>
      </w:tr>
      <w:tr w:rsidR="0014294B" w14:paraId="65976CE3" w14:textId="77777777" w:rsidTr="0014294B">
        <w:trPr>
          <w:trHeight w:val="253"/>
          <w:jc w:val="center"/>
        </w:trPr>
        <w:tc>
          <w:tcPr>
            <w:tcW w:w="146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1BB1D3A1" w14:textId="77777777" w:rsidR="0014294B" w:rsidRDefault="0014294B" w:rsidP="0014294B">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实务强度</w:t>
            </w:r>
          </w:p>
        </w:tc>
        <w:tc>
          <w:tcPr>
            <w:tcW w:w="704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0108A54" w14:textId="77777777" w:rsidR="0014294B" w:rsidRDefault="0014294B" w:rsidP="0014294B">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实务性低</w:t>
            </w:r>
          </w:p>
        </w:tc>
      </w:tr>
      <w:tr w:rsidR="0014294B" w14:paraId="558F03EC" w14:textId="77777777" w:rsidTr="0014294B">
        <w:trPr>
          <w:trHeight w:val="2407"/>
          <w:jc w:val="center"/>
        </w:trPr>
        <w:tc>
          <w:tcPr>
            <w:tcW w:w="146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7D393F64" w14:textId="77777777" w:rsidR="0014294B" w:rsidRDefault="0014294B" w:rsidP="0014294B">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复习方法</w:t>
            </w:r>
          </w:p>
        </w:tc>
        <w:tc>
          <w:tcPr>
            <w:tcW w:w="704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841D3FF" w14:textId="77777777" w:rsidR="0014294B" w:rsidRDefault="0014294B" w:rsidP="0014294B">
            <w:pPr>
              <w:pStyle w:val="aa"/>
              <w:spacing w:before="0" w:beforeAutospacing="0" w:after="0" w:afterAutospacing="0"/>
              <w:rPr>
                <w:color w:val="333333"/>
              </w:rPr>
            </w:pPr>
            <w:r>
              <w:rPr>
                <w:rFonts w:hint="eastAsia"/>
                <w:color w:val="333333"/>
              </w:rPr>
              <w:t>•本章学习需要重视理论和基本概念</w:t>
            </w:r>
          </w:p>
          <w:p w14:paraId="306E8A12" w14:textId="77777777" w:rsidR="0014294B" w:rsidRDefault="0014294B" w:rsidP="0014294B">
            <w:pPr>
              <w:pStyle w:val="aa"/>
              <w:spacing w:before="0" w:beforeAutospacing="0" w:after="0" w:afterAutospacing="0"/>
              <w:jc w:val="both"/>
              <w:rPr>
                <w:rFonts w:ascii="Calibri" w:eastAsia="微软雅黑" w:hAnsi="Calibri" w:cs="Calibri" w:hint="eastAsia"/>
                <w:color w:val="333333"/>
                <w:sz w:val="21"/>
                <w:szCs w:val="21"/>
              </w:rPr>
            </w:pPr>
            <w:r>
              <w:rPr>
                <w:rFonts w:cs="Calibri" w:hint="eastAsia"/>
                <w:color w:val="333333"/>
                <w:sz w:val="21"/>
                <w:szCs w:val="21"/>
              </w:rPr>
              <w:t>•由于可参考的真题有限，在学习本章，考生需要对教材涉及的知识点进行地毯式复习，并注重与了解被审计单位的内部控制、控制测试以及审计循环相联系</w:t>
            </w:r>
          </w:p>
          <w:p w14:paraId="1BB3A35E" w14:textId="77777777" w:rsidR="0014294B" w:rsidRDefault="0014294B" w:rsidP="0014294B">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除教材内容外，本章相关的准绳性文件主要包括《企业内部控制审计指引》、《企业内部控制审计指引实施意见》和《企业内部控制审计问题解答》，其中部分重点内容对理解教材和应对考试均比较重要，将在基础班予以适当补充</w:t>
            </w:r>
          </w:p>
        </w:tc>
      </w:tr>
    </w:tbl>
    <w:p w14:paraId="6A96461B" w14:textId="77777777" w:rsidR="0014294B" w:rsidRDefault="0014294B" w:rsidP="0014294B">
      <w:pPr>
        <w:pStyle w:val="aa"/>
        <w:shd w:val="clear" w:color="auto" w:fill="FFFFFF"/>
        <w:spacing w:before="312" w:beforeAutospacing="0" w:after="312" w:afterAutospacing="0"/>
        <w:jc w:val="center"/>
        <w:rPr>
          <w:rFonts w:ascii="Calibri" w:eastAsia="微软雅黑" w:hAnsi="Calibri" w:cs="Calibri"/>
          <w:color w:val="3F3F3F"/>
          <w:sz w:val="21"/>
          <w:szCs w:val="21"/>
        </w:rPr>
      </w:pPr>
      <w:r>
        <w:rPr>
          <w:rFonts w:cs="Calibri" w:hint="eastAsia"/>
          <w:b/>
          <w:bCs/>
          <w:color w:val="3F3F3F"/>
          <w:sz w:val="28"/>
          <w:szCs w:val="28"/>
        </w:rPr>
        <w:t>考点和典题</w:t>
      </w:r>
    </w:p>
    <w:p w14:paraId="220C5DB1" w14:textId="77777777" w:rsidR="0014294B" w:rsidRDefault="0014294B" w:rsidP="0014294B">
      <w:pPr>
        <w:pStyle w:val="aa"/>
        <w:shd w:val="clear" w:color="auto" w:fill="FFFFFF"/>
        <w:spacing w:before="0" w:beforeAutospacing="0" w:after="0" w:afterAutospacing="0"/>
        <w:jc w:val="center"/>
        <w:rPr>
          <w:rFonts w:ascii="Calibri" w:eastAsia="微软雅黑" w:hAnsi="Calibri" w:cs="Calibri"/>
          <w:color w:val="3F3F3F"/>
          <w:sz w:val="21"/>
          <w:szCs w:val="21"/>
        </w:rPr>
      </w:pPr>
      <w:r>
        <w:rPr>
          <w:rFonts w:cs="Calibri"/>
          <w:color w:val="3F3F3F"/>
          <w:sz w:val="21"/>
          <w:szCs w:val="21"/>
        </w:rPr>
        <w:fldChar w:fldCharType="begin"/>
      </w:r>
      <w:r>
        <w:rPr>
          <w:rFonts w:cs="Calibri"/>
          <w:color w:val="3F3F3F"/>
          <w:sz w:val="21"/>
          <w:szCs w:val="21"/>
        </w:rPr>
        <w:instrText xml:space="preserve"> INCLUDEPICTURE "http://webupload.admin.dongao.com/biz/handout/img/2019/20190710/20190710162406786001.png" \* MERGEFORMATINET </w:instrText>
      </w:r>
      <w:r>
        <w:rPr>
          <w:rFonts w:cs="Calibri"/>
          <w:color w:val="3F3F3F"/>
          <w:sz w:val="21"/>
          <w:szCs w:val="21"/>
        </w:rPr>
        <w:fldChar w:fldCharType="separate"/>
      </w:r>
      <w:r>
        <w:rPr>
          <w:rFonts w:cs="Calibri"/>
          <w:color w:val="3F3F3F"/>
          <w:sz w:val="21"/>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0pt;height:189pt">
            <v:imagedata r:id="rId7" r:href="rId8"/>
          </v:shape>
        </w:pict>
      </w:r>
      <w:r>
        <w:rPr>
          <w:rFonts w:cs="Calibri"/>
          <w:color w:val="3F3F3F"/>
          <w:sz w:val="21"/>
          <w:szCs w:val="21"/>
        </w:rPr>
        <w:fldChar w:fldCharType="end"/>
      </w:r>
    </w:p>
    <w:p w14:paraId="4F7307A5" w14:textId="77777777" w:rsidR="0014294B" w:rsidRDefault="0014294B" w:rsidP="0014294B">
      <w:pPr>
        <w:pStyle w:val="aa"/>
        <w:shd w:val="clear" w:color="auto" w:fill="FFFFFF"/>
        <w:spacing w:before="312" w:beforeAutospacing="0" w:after="312" w:afterAutospacing="0"/>
        <w:jc w:val="center"/>
        <w:rPr>
          <w:rFonts w:ascii="Calibri" w:eastAsia="微软雅黑" w:hAnsi="Calibri" w:cs="Calibri"/>
          <w:color w:val="3F3F3F"/>
          <w:sz w:val="21"/>
          <w:szCs w:val="21"/>
        </w:rPr>
      </w:pPr>
      <w:r>
        <w:rPr>
          <w:rFonts w:cs="Calibri" w:hint="eastAsia"/>
          <w:b/>
          <w:bCs/>
          <w:color w:val="3F3F3F"/>
          <w:sz w:val="28"/>
          <w:szCs w:val="28"/>
        </w:rPr>
        <w:t>第一部分　内部控制审计的基本理论</w:t>
      </w:r>
    </w:p>
    <w:p w14:paraId="0AF93590" w14:textId="77777777" w:rsidR="0014294B" w:rsidRDefault="0014294B" w:rsidP="0014294B">
      <w:pPr>
        <w:pStyle w:val="aa"/>
        <w:shd w:val="clear" w:color="auto" w:fill="FFFFFF"/>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3F3F3F"/>
          <w:sz w:val="21"/>
          <w:szCs w:val="21"/>
        </w:rPr>
        <w:t>一、内部控制审计的概念</w:t>
      </w:r>
      <w:r>
        <w:rPr>
          <w:rFonts w:cs="Calibri" w:hint="eastAsia"/>
          <w:b/>
          <w:bCs/>
          <w:color w:val="FF0000"/>
          <w:sz w:val="21"/>
          <w:szCs w:val="21"/>
        </w:rPr>
        <w:t>（※※）</w:t>
      </w:r>
    </w:p>
    <w:p w14:paraId="15888904" w14:textId="77777777" w:rsidR="0014294B" w:rsidRDefault="0014294B" w:rsidP="0014294B">
      <w:pPr>
        <w:pStyle w:val="aa"/>
        <w:shd w:val="clear" w:color="auto" w:fill="FFFFFF"/>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3F3F3F"/>
          <w:sz w:val="21"/>
          <w:szCs w:val="21"/>
        </w:rPr>
        <w:lastRenderedPageBreak/>
        <w:t>二、内部控制审计与财务报表审计的辨析</w:t>
      </w:r>
      <w:r>
        <w:rPr>
          <w:rFonts w:cs="Calibri" w:hint="eastAsia"/>
          <w:b/>
          <w:bCs/>
          <w:color w:val="FF0000"/>
          <w:sz w:val="21"/>
          <w:szCs w:val="21"/>
        </w:rPr>
        <w:t>（※※）</w:t>
      </w:r>
    </w:p>
    <w:p w14:paraId="31FD1EAB" w14:textId="77777777" w:rsidR="0014294B" w:rsidRDefault="0014294B" w:rsidP="0014294B">
      <w:pPr>
        <w:pStyle w:val="aa"/>
        <w:shd w:val="clear" w:color="auto" w:fill="FFFFFF"/>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3F3F3F"/>
          <w:sz w:val="21"/>
          <w:szCs w:val="21"/>
        </w:rPr>
        <w:t>三、整合审计</w:t>
      </w:r>
      <w:r>
        <w:rPr>
          <w:rFonts w:cs="Calibri" w:hint="eastAsia"/>
          <w:b/>
          <w:bCs/>
          <w:color w:val="FF0000"/>
          <w:sz w:val="21"/>
          <w:szCs w:val="21"/>
        </w:rPr>
        <w:t>（※※）</w:t>
      </w:r>
    </w:p>
    <w:p w14:paraId="568E5325" w14:textId="77777777" w:rsidR="0014294B" w:rsidRDefault="0014294B" w:rsidP="0014294B">
      <w:pPr>
        <w:pStyle w:val="aa"/>
        <w:shd w:val="clear" w:color="auto" w:fill="FFFFFF"/>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3F3F3F"/>
          <w:sz w:val="21"/>
          <w:szCs w:val="21"/>
        </w:rPr>
        <w:t>四、控制有效性测试的相关理论</w:t>
      </w:r>
      <w:r>
        <w:rPr>
          <w:rFonts w:cs="Calibri" w:hint="eastAsia"/>
          <w:b/>
          <w:bCs/>
          <w:color w:val="FF0000"/>
          <w:sz w:val="21"/>
          <w:szCs w:val="21"/>
        </w:rPr>
        <w:t>（※※）</w:t>
      </w:r>
    </w:p>
    <w:p w14:paraId="2D18A828" w14:textId="77777777" w:rsidR="0014294B" w:rsidRDefault="0014294B" w:rsidP="0014294B">
      <w:pPr>
        <w:pStyle w:val="aa"/>
        <w:shd w:val="clear" w:color="auto" w:fill="FFFFFF"/>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3F3F3F"/>
          <w:sz w:val="21"/>
          <w:szCs w:val="21"/>
        </w:rPr>
        <w:t>一、内部控制审计的概念</w:t>
      </w:r>
    </w:p>
    <w:p w14:paraId="25F7C7B9" w14:textId="77777777" w:rsidR="0014294B" w:rsidRDefault="0014294B" w:rsidP="0014294B">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1.内部控制审计的含义</w:t>
      </w:r>
    </w:p>
    <w:p w14:paraId="2DB5B8BC" w14:textId="77777777" w:rsidR="0014294B" w:rsidRDefault="0014294B" w:rsidP="0014294B">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内部控制审计，是指会计师事务所接受委托，对特定</w:t>
      </w:r>
      <w:r>
        <w:rPr>
          <w:rFonts w:cs="Calibri" w:hint="eastAsia"/>
          <w:b/>
          <w:bCs/>
          <w:color w:val="FF0000"/>
          <w:sz w:val="21"/>
          <w:szCs w:val="21"/>
        </w:rPr>
        <w:t>基准日</w:t>
      </w:r>
      <w:r>
        <w:rPr>
          <w:rFonts w:cs="Calibri" w:hint="eastAsia"/>
          <w:color w:val="3F3F3F"/>
          <w:sz w:val="21"/>
          <w:szCs w:val="21"/>
        </w:rPr>
        <w:t>内部控制设计与运行的有效性进行审计。其中，</w:t>
      </w:r>
      <w:r>
        <w:rPr>
          <w:rFonts w:cs="Calibri" w:hint="eastAsia"/>
          <w:b/>
          <w:bCs/>
          <w:color w:val="FF0000"/>
          <w:sz w:val="21"/>
          <w:szCs w:val="21"/>
        </w:rPr>
        <w:t>财务报告内部控制审计</w:t>
      </w:r>
      <w:r>
        <w:rPr>
          <w:rFonts w:cs="Calibri" w:hint="eastAsia"/>
          <w:color w:val="3F3F3F"/>
          <w:sz w:val="21"/>
          <w:szCs w:val="21"/>
        </w:rPr>
        <w:t>是服务的核心要求。</w:t>
      </w:r>
    </w:p>
    <w:p w14:paraId="2F7CC470" w14:textId="77777777" w:rsidR="0014294B" w:rsidRDefault="0014294B" w:rsidP="0014294B">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2.相关内部控制的含义</w:t>
      </w:r>
    </w:p>
    <w:p w14:paraId="6088C2BE" w14:textId="77777777" w:rsidR="0014294B" w:rsidRDefault="0014294B" w:rsidP="0014294B">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（1）</w:t>
      </w:r>
      <w:r>
        <w:rPr>
          <w:rFonts w:cs="Calibri" w:hint="eastAsia"/>
          <w:b/>
          <w:bCs/>
          <w:color w:val="FF0000"/>
          <w:sz w:val="21"/>
          <w:szCs w:val="21"/>
        </w:rPr>
        <w:t>财务报告内部控制</w:t>
      </w:r>
      <w:r>
        <w:rPr>
          <w:rFonts w:cs="Calibri" w:hint="eastAsia"/>
          <w:color w:val="3F3F3F"/>
          <w:sz w:val="21"/>
          <w:szCs w:val="21"/>
        </w:rPr>
        <w:t>，是指公司的董事会、监事会、经理层及全体员工实施的旨在合理保证财务报告及相关信息真实、完整而设计和运行的内部控制，以及用于保护资产安全的内部控制中与财务报告可靠性目标相关的控制。</w:t>
      </w:r>
    </w:p>
    <w:p w14:paraId="79A3ECDB" w14:textId="77777777" w:rsidR="0014294B" w:rsidRDefault="0014294B" w:rsidP="0014294B">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（2）</w:t>
      </w:r>
      <w:r>
        <w:rPr>
          <w:rFonts w:cs="Calibri" w:hint="eastAsia"/>
          <w:b/>
          <w:bCs/>
          <w:color w:val="FF0000"/>
          <w:sz w:val="21"/>
          <w:szCs w:val="21"/>
        </w:rPr>
        <w:t>非财务报告内部控制</w:t>
      </w:r>
      <w:r>
        <w:rPr>
          <w:rFonts w:cs="Calibri" w:hint="eastAsia"/>
          <w:color w:val="3F3F3F"/>
          <w:sz w:val="21"/>
          <w:szCs w:val="21"/>
        </w:rPr>
        <w:t>，是指除财务报告内部控制之外的其他控制，通常是指为了合理保证经营的效率效果、遵守法律法规、实现发展战略而设计和运行的控制，以及用于保护资产安全的内部控制中与财务报告可靠性目标无关的控制。</w:t>
      </w:r>
    </w:p>
    <w:p w14:paraId="20C274BD" w14:textId="77777777" w:rsidR="0014294B" w:rsidRDefault="0014294B" w:rsidP="0014294B">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3.基准日</w:t>
      </w:r>
    </w:p>
    <w:tbl>
      <w:tblPr>
        <w:tblW w:w="8505" w:type="dxa"/>
        <w:jc w:val="center"/>
        <w:tblCellMar>
          <w:left w:w="0" w:type="dxa"/>
          <w:right w:w="0" w:type="dxa"/>
        </w:tblCellMar>
        <w:tblLook w:val="04A0" w:firstRow="1" w:lastRow="0" w:firstColumn="1" w:lastColumn="0" w:noHBand="0" w:noVBand="1"/>
      </w:tblPr>
      <w:tblGrid>
        <w:gridCol w:w="915"/>
        <w:gridCol w:w="7590"/>
      </w:tblGrid>
      <w:tr w:rsidR="0014294B" w14:paraId="15291E94" w14:textId="77777777" w:rsidTr="0014294B">
        <w:trPr>
          <w:trHeight w:val="273"/>
          <w:jc w:val="center"/>
        </w:trPr>
        <w:tc>
          <w:tcPr>
            <w:tcW w:w="8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5F052EC8" w14:textId="77777777" w:rsidR="0014294B" w:rsidRDefault="0014294B" w:rsidP="0014294B">
            <w:pPr>
              <w:rPr>
                <w:rFonts w:eastAsia="微软雅黑" w:cs="Calibri"/>
                <w:color w:val="3F3F3F"/>
                <w:szCs w:val="21"/>
              </w:rPr>
            </w:pPr>
          </w:p>
        </w:tc>
        <w:tc>
          <w:tcPr>
            <w:tcW w:w="7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64E08A5E" w14:textId="77777777" w:rsidR="0014294B" w:rsidRDefault="0014294B" w:rsidP="0014294B">
            <w:pPr>
              <w:pStyle w:val="aa"/>
              <w:spacing w:before="0" w:beforeAutospacing="0" w:after="0" w:afterAutospacing="0"/>
              <w:jc w:val="center"/>
              <w:rPr>
                <w:rFonts w:ascii="Calibri" w:eastAsia="微软雅黑" w:hAnsi="Calibri" w:cs="Calibri"/>
                <w:color w:val="333333"/>
                <w:sz w:val="21"/>
                <w:szCs w:val="21"/>
              </w:rPr>
            </w:pPr>
            <w:r>
              <w:rPr>
                <w:rFonts w:cs="Calibri" w:hint="eastAsia"/>
                <w:b/>
                <w:bCs/>
                <w:color w:val="333333"/>
                <w:sz w:val="21"/>
                <w:szCs w:val="21"/>
              </w:rPr>
              <w:t>内容</w:t>
            </w:r>
          </w:p>
        </w:tc>
      </w:tr>
      <w:tr w:rsidR="0014294B" w14:paraId="2FA3DF9C" w14:textId="77777777" w:rsidTr="0014294B">
        <w:trPr>
          <w:trHeight w:val="558"/>
          <w:jc w:val="center"/>
        </w:trPr>
        <w:tc>
          <w:tcPr>
            <w:tcW w:w="88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6586D2DA" w14:textId="77777777" w:rsidR="0014294B" w:rsidRDefault="0014294B" w:rsidP="0014294B">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概念</w:t>
            </w:r>
          </w:p>
        </w:tc>
        <w:tc>
          <w:tcPr>
            <w:tcW w:w="73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053F327" w14:textId="77777777" w:rsidR="0014294B" w:rsidRDefault="0014294B" w:rsidP="0014294B">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注册会计师评价内部控制在某一时日是否有效所涉及的基准日，也是被审计单位评价基准日，即最近一个会计期间截止日</w:t>
            </w:r>
          </w:p>
        </w:tc>
      </w:tr>
      <w:tr w:rsidR="0014294B" w14:paraId="3D74A040" w14:textId="77777777" w:rsidTr="0014294B">
        <w:trPr>
          <w:trHeight w:val="1408"/>
          <w:jc w:val="center"/>
        </w:trPr>
        <w:tc>
          <w:tcPr>
            <w:tcW w:w="88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3CC61F3E" w14:textId="77777777" w:rsidR="0014294B" w:rsidRDefault="0014294B" w:rsidP="0014294B">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辨析</w:t>
            </w:r>
          </w:p>
        </w:tc>
        <w:tc>
          <w:tcPr>
            <w:tcW w:w="73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7A95EE6" w14:textId="77777777" w:rsidR="0014294B" w:rsidRDefault="0014294B" w:rsidP="0014294B">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（1）注册会计师对特定基准日内部控制的有效性发表意见，</w:t>
            </w:r>
            <w:r>
              <w:rPr>
                <w:rFonts w:cs="Calibri" w:hint="eastAsia"/>
                <w:b/>
                <w:bCs/>
                <w:color w:val="FF0000"/>
                <w:sz w:val="21"/>
                <w:szCs w:val="21"/>
              </w:rPr>
              <w:t>并不意味着</w:t>
            </w:r>
            <w:r>
              <w:rPr>
                <w:rFonts w:cs="Calibri" w:hint="eastAsia"/>
                <w:color w:val="333333"/>
                <w:sz w:val="21"/>
                <w:szCs w:val="21"/>
              </w:rPr>
              <w:t>注册会计师只测试基准日这一天的内部控制，而是需要考察足够长一段时间内部控制设计和运行的情况</w:t>
            </w:r>
          </w:p>
          <w:p w14:paraId="57AA5B12" w14:textId="77777777" w:rsidR="0014294B" w:rsidRDefault="0014294B" w:rsidP="0014294B">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（2）在整合审计中，控制测试所涵盖的期间应当尽量与财务报表审计中拟信赖内部控制的期间保持一致</w:t>
            </w:r>
          </w:p>
        </w:tc>
      </w:tr>
    </w:tbl>
    <w:p w14:paraId="3E348181" w14:textId="77777777" w:rsidR="0014294B" w:rsidRDefault="0014294B" w:rsidP="0014294B">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4.范围</w:t>
      </w:r>
    </w:p>
    <w:tbl>
      <w:tblPr>
        <w:tblW w:w="8505" w:type="dxa"/>
        <w:jc w:val="center"/>
        <w:tblCellMar>
          <w:left w:w="0" w:type="dxa"/>
          <w:right w:w="0" w:type="dxa"/>
        </w:tblCellMar>
        <w:tblLook w:val="04A0" w:firstRow="1" w:lastRow="0" w:firstColumn="1" w:lastColumn="0" w:noHBand="0" w:noVBand="1"/>
      </w:tblPr>
      <w:tblGrid>
        <w:gridCol w:w="2189"/>
        <w:gridCol w:w="6316"/>
      </w:tblGrid>
      <w:tr w:rsidR="0014294B" w14:paraId="1A81DEF4" w14:textId="77777777" w:rsidTr="0014294B">
        <w:trPr>
          <w:trHeight w:val="167"/>
          <w:jc w:val="center"/>
        </w:trPr>
        <w:tc>
          <w:tcPr>
            <w:tcW w:w="210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7F590BEC" w14:textId="77777777" w:rsidR="0014294B" w:rsidRDefault="0014294B" w:rsidP="0014294B">
            <w:pPr>
              <w:pStyle w:val="aa"/>
              <w:spacing w:before="0" w:beforeAutospacing="0" w:after="0" w:afterAutospacing="0"/>
              <w:jc w:val="center"/>
              <w:rPr>
                <w:rFonts w:ascii="Calibri" w:eastAsia="微软雅黑" w:hAnsi="Calibri" w:cs="Calibri"/>
                <w:color w:val="333333"/>
                <w:sz w:val="21"/>
                <w:szCs w:val="21"/>
              </w:rPr>
            </w:pPr>
            <w:r>
              <w:rPr>
                <w:rFonts w:cs="Calibri" w:hint="eastAsia"/>
                <w:b/>
                <w:bCs/>
                <w:color w:val="333333"/>
                <w:sz w:val="21"/>
                <w:szCs w:val="21"/>
              </w:rPr>
              <w:t>对象</w:t>
            </w:r>
          </w:p>
        </w:tc>
        <w:tc>
          <w:tcPr>
            <w:tcW w:w="606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162B69AD" w14:textId="77777777" w:rsidR="0014294B" w:rsidRDefault="0014294B" w:rsidP="0014294B">
            <w:pPr>
              <w:pStyle w:val="aa"/>
              <w:spacing w:before="0" w:beforeAutospacing="0" w:after="0" w:afterAutospacing="0"/>
              <w:jc w:val="center"/>
              <w:rPr>
                <w:rFonts w:ascii="Calibri" w:eastAsia="微软雅黑" w:hAnsi="Calibri" w:cs="Calibri"/>
                <w:color w:val="333333"/>
                <w:sz w:val="21"/>
                <w:szCs w:val="21"/>
              </w:rPr>
            </w:pPr>
            <w:r>
              <w:rPr>
                <w:rFonts w:cs="Calibri" w:hint="eastAsia"/>
                <w:b/>
                <w:bCs/>
                <w:color w:val="333333"/>
                <w:sz w:val="21"/>
                <w:szCs w:val="21"/>
              </w:rPr>
              <w:t>要求</w:t>
            </w:r>
          </w:p>
        </w:tc>
      </w:tr>
      <w:tr w:rsidR="0014294B" w14:paraId="2C3B1392" w14:textId="77777777" w:rsidTr="0014294B">
        <w:trPr>
          <w:trHeight w:val="413"/>
          <w:jc w:val="center"/>
        </w:trPr>
        <w:tc>
          <w:tcPr>
            <w:tcW w:w="210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0352E699" w14:textId="77777777" w:rsidR="0014294B" w:rsidRDefault="0014294B" w:rsidP="0014294B">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针对</w:t>
            </w:r>
            <w:r>
              <w:rPr>
                <w:rFonts w:cs="Calibri" w:hint="eastAsia"/>
                <w:b/>
                <w:bCs/>
                <w:color w:val="FF0000"/>
                <w:sz w:val="21"/>
                <w:szCs w:val="21"/>
              </w:rPr>
              <w:t>财务报告</w:t>
            </w:r>
            <w:r>
              <w:rPr>
                <w:rFonts w:cs="Calibri" w:hint="eastAsia"/>
                <w:color w:val="333333"/>
                <w:sz w:val="21"/>
                <w:szCs w:val="21"/>
              </w:rPr>
              <w:t>内部控制</w:t>
            </w:r>
          </w:p>
        </w:tc>
        <w:tc>
          <w:tcPr>
            <w:tcW w:w="606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E6538A7" w14:textId="77777777" w:rsidR="0014294B" w:rsidRDefault="0014294B" w:rsidP="0014294B">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注册会计师对其</w:t>
            </w:r>
            <w:r>
              <w:rPr>
                <w:rFonts w:cs="Calibri" w:hint="eastAsia"/>
                <w:b/>
                <w:bCs/>
                <w:color w:val="FF0000"/>
                <w:sz w:val="21"/>
                <w:szCs w:val="21"/>
              </w:rPr>
              <w:t>有效性</w:t>
            </w:r>
            <w:r>
              <w:rPr>
                <w:rFonts w:cs="Calibri" w:hint="eastAsia"/>
                <w:color w:val="333333"/>
                <w:sz w:val="21"/>
                <w:szCs w:val="21"/>
              </w:rPr>
              <w:t>发表审计意见</w:t>
            </w:r>
          </w:p>
        </w:tc>
      </w:tr>
      <w:tr w:rsidR="0014294B" w14:paraId="071B6EB0" w14:textId="77777777" w:rsidTr="0014294B">
        <w:trPr>
          <w:trHeight w:val="492"/>
          <w:jc w:val="center"/>
        </w:trPr>
        <w:tc>
          <w:tcPr>
            <w:tcW w:w="210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716A9BA8" w14:textId="77777777" w:rsidR="0014294B" w:rsidRDefault="0014294B" w:rsidP="0014294B">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针对</w:t>
            </w:r>
            <w:r>
              <w:rPr>
                <w:rFonts w:cs="Calibri" w:hint="eastAsia"/>
                <w:b/>
                <w:bCs/>
                <w:color w:val="FF0000"/>
                <w:sz w:val="21"/>
                <w:szCs w:val="21"/>
              </w:rPr>
              <w:t>非财务报告</w:t>
            </w:r>
            <w:r>
              <w:rPr>
                <w:rFonts w:cs="Calibri" w:hint="eastAsia"/>
                <w:color w:val="333333"/>
                <w:sz w:val="21"/>
                <w:szCs w:val="21"/>
              </w:rPr>
              <w:t>内部控制</w:t>
            </w:r>
          </w:p>
        </w:tc>
        <w:tc>
          <w:tcPr>
            <w:tcW w:w="606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1E27125" w14:textId="77777777" w:rsidR="0014294B" w:rsidRDefault="0014294B" w:rsidP="0014294B">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注册会计师针对其</w:t>
            </w:r>
            <w:r>
              <w:rPr>
                <w:rFonts w:cs="Calibri" w:hint="eastAsia"/>
                <w:b/>
                <w:bCs/>
                <w:color w:val="FF0000"/>
                <w:sz w:val="21"/>
                <w:szCs w:val="21"/>
              </w:rPr>
              <w:t>重大缺陷</w:t>
            </w:r>
            <w:r>
              <w:rPr>
                <w:rFonts w:cs="Calibri" w:hint="eastAsia"/>
                <w:color w:val="333333"/>
                <w:sz w:val="21"/>
                <w:szCs w:val="21"/>
              </w:rPr>
              <w:t>，在内部控制审计报告中增加“非财务报告内部控制重大缺陷描述段”予以披露</w:t>
            </w:r>
          </w:p>
        </w:tc>
      </w:tr>
    </w:tbl>
    <w:p w14:paraId="42720C09" w14:textId="77777777" w:rsidR="0014294B" w:rsidRDefault="0014294B" w:rsidP="0014294B">
      <w:pPr>
        <w:pStyle w:val="aa"/>
        <w:shd w:val="clear" w:color="auto" w:fill="FFFFFF"/>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3F3F3F"/>
          <w:sz w:val="21"/>
          <w:szCs w:val="21"/>
        </w:rPr>
        <w:t>二、内部控制审计与财务报表审计的辨析</w:t>
      </w:r>
    </w:p>
    <w:p w14:paraId="2C4494A8" w14:textId="77777777" w:rsidR="0014294B" w:rsidRDefault="0014294B" w:rsidP="0014294B">
      <w:pPr>
        <w:pStyle w:val="aa"/>
        <w:shd w:val="clear" w:color="auto" w:fill="FFFFFF"/>
        <w:spacing w:before="0" w:beforeAutospacing="0" w:after="0" w:afterAutospacing="0"/>
        <w:jc w:val="center"/>
        <w:rPr>
          <w:rFonts w:ascii="Calibri" w:eastAsia="微软雅黑" w:hAnsi="Calibri" w:cs="Calibri"/>
          <w:color w:val="3F3F3F"/>
          <w:sz w:val="21"/>
          <w:szCs w:val="21"/>
        </w:rPr>
      </w:pPr>
      <w:r>
        <w:rPr>
          <w:rFonts w:cs="Calibri"/>
          <w:b/>
          <w:bCs/>
          <w:color w:val="FF0000"/>
          <w:sz w:val="21"/>
          <w:szCs w:val="21"/>
        </w:rPr>
        <w:fldChar w:fldCharType="begin"/>
      </w:r>
      <w:r>
        <w:rPr>
          <w:rFonts w:cs="Calibri"/>
          <w:b/>
          <w:bCs/>
          <w:color w:val="FF0000"/>
          <w:sz w:val="21"/>
          <w:szCs w:val="21"/>
        </w:rPr>
        <w:instrText xml:space="preserve"> INCLUDEPICTURE "http://webupload.admin.dongao.com/biz/handout/img/2019/20190710/20190710162406142002.png" \* MERGEFORMATINET </w:instrText>
      </w:r>
      <w:r>
        <w:rPr>
          <w:rFonts w:cs="Calibri"/>
          <w:b/>
          <w:bCs/>
          <w:color w:val="FF0000"/>
          <w:sz w:val="21"/>
          <w:szCs w:val="21"/>
        </w:rPr>
        <w:fldChar w:fldCharType="separate"/>
      </w:r>
      <w:r>
        <w:rPr>
          <w:rFonts w:cs="Calibri"/>
          <w:b/>
          <w:bCs/>
          <w:color w:val="FF0000"/>
          <w:sz w:val="21"/>
          <w:szCs w:val="21"/>
        </w:rPr>
        <w:pict>
          <v:shape id="_x0000_i1026" type="#_x0000_t75" style="width:420pt;height:154.5pt">
            <v:imagedata r:id="rId9" r:href="rId10"/>
          </v:shape>
        </w:pict>
      </w:r>
      <w:r>
        <w:rPr>
          <w:rFonts w:cs="Calibri"/>
          <w:b/>
          <w:bCs/>
          <w:color w:val="FF0000"/>
          <w:sz w:val="21"/>
          <w:szCs w:val="21"/>
        </w:rPr>
        <w:fldChar w:fldCharType="end"/>
      </w:r>
    </w:p>
    <w:p w14:paraId="5E07AD46" w14:textId="77777777" w:rsidR="0014294B" w:rsidRDefault="0014294B" w:rsidP="0014294B">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1.共同点</w:t>
      </w:r>
    </w:p>
    <w:p w14:paraId="678F31C4" w14:textId="77777777" w:rsidR="0014294B" w:rsidRDefault="0014294B" w:rsidP="0014294B">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（1）两者的</w:t>
      </w:r>
      <w:r>
        <w:rPr>
          <w:rFonts w:cs="Calibri" w:hint="eastAsia"/>
          <w:b/>
          <w:bCs/>
          <w:color w:val="FF0000"/>
          <w:sz w:val="21"/>
          <w:szCs w:val="21"/>
        </w:rPr>
        <w:t>最终目的</w:t>
      </w:r>
      <w:r>
        <w:rPr>
          <w:rFonts w:cs="Calibri" w:hint="eastAsia"/>
          <w:color w:val="3F3F3F"/>
          <w:sz w:val="21"/>
          <w:szCs w:val="21"/>
        </w:rPr>
        <w:t>一致，虽然各有侧重，但最终目的均为提高财务报表预期使用者对财务报表的信赖程度。</w:t>
      </w:r>
    </w:p>
    <w:p w14:paraId="7B751626" w14:textId="77777777" w:rsidR="0014294B" w:rsidRDefault="0014294B" w:rsidP="0014294B">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（2）两者都采用</w:t>
      </w:r>
      <w:r>
        <w:rPr>
          <w:rFonts w:cs="Calibri" w:hint="eastAsia"/>
          <w:b/>
          <w:bCs/>
          <w:color w:val="FF0000"/>
          <w:sz w:val="21"/>
          <w:szCs w:val="21"/>
        </w:rPr>
        <w:t>风险导向审计</w:t>
      </w:r>
      <w:r>
        <w:rPr>
          <w:rFonts w:cs="Calibri" w:hint="eastAsia"/>
          <w:color w:val="3F3F3F"/>
          <w:sz w:val="21"/>
          <w:szCs w:val="21"/>
        </w:rPr>
        <w:t>方法。</w:t>
      </w:r>
    </w:p>
    <w:p w14:paraId="55DFA9DD" w14:textId="77777777" w:rsidR="0014294B" w:rsidRDefault="0014294B" w:rsidP="0014294B">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（3）两者运用的</w:t>
      </w:r>
      <w:r>
        <w:rPr>
          <w:rFonts w:cs="Calibri" w:hint="eastAsia"/>
          <w:b/>
          <w:bCs/>
          <w:color w:val="FF0000"/>
          <w:sz w:val="21"/>
          <w:szCs w:val="21"/>
        </w:rPr>
        <w:t>重要性水平相同</w:t>
      </w:r>
      <w:r>
        <w:rPr>
          <w:rFonts w:cs="Calibri" w:hint="eastAsia"/>
          <w:color w:val="3F3F3F"/>
          <w:sz w:val="21"/>
          <w:szCs w:val="21"/>
        </w:rPr>
        <w:t>。由于内部控制的目标是合理保证财务报告及相关信息的真实、完整，因此对于同一财务报表，在两种审计中运用的重要性水平应当相同。</w:t>
      </w:r>
    </w:p>
    <w:p w14:paraId="00845915" w14:textId="77777777" w:rsidR="0014294B" w:rsidRDefault="0014294B" w:rsidP="0014294B">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lastRenderedPageBreak/>
        <w:t>（4）两者</w:t>
      </w:r>
      <w:r>
        <w:rPr>
          <w:rFonts w:cs="Calibri" w:hint="eastAsia"/>
          <w:b/>
          <w:bCs/>
          <w:color w:val="FF0000"/>
          <w:sz w:val="21"/>
          <w:szCs w:val="21"/>
        </w:rPr>
        <w:t>识别的重要账户、列报及其相关认定相同</w:t>
      </w:r>
      <w:r>
        <w:rPr>
          <w:rFonts w:cs="Calibri" w:hint="eastAsia"/>
          <w:color w:val="3F3F3F"/>
          <w:sz w:val="21"/>
          <w:szCs w:val="21"/>
        </w:rPr>
        <w:t>。注册会计师在识别重要账户、列报及其相关认定时应当评价的重大错报风险因素对于内部控制审计和财务报表审计而言是相同的，因此对于同一财务报表，在两种审计中识别的重要账户、列报及其相关认定应当相同。</w:t>
      </w:r>
    </w:p>
    <w:p w14:paraId="705A2D47" w14:textId="77777777" w:rsidR="0014294B" w:rsidRDefault="0014294B" w:rsidP="0014294B">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（5）两者了解和测试内部控制设计和运行有效性的</w:t>
      </w:r>
      <w:r>
        <w:rPr>
          <w:rFonts w:cs="Calibri" w:hint="eastAsia"/>
          <w:b/>
          <w:bCs/>
          <w:color w:val="FF0000"/>
          <w:sz w:val="21"/>
          <w:szCs w:val="21"/>
        </w:rPr>
        <w:t>基本方法相同</w:t>
      </w:r>
      <w:r>
        <w:rPr>
          <w:rFonts w:cs="Calibri" w:hint="eastAsia"/>
          <w:color w:val="3F3F3F"/>
          <w:sz w:val="21"/>
          <w:szCs w:val="21"/>
        </w:rPr>
        <w:t>，都可能实施询问、观察、检查以及重新执行等程序。</w:t>
      </w:r>
    </w:p>
    <w:p w14:paraId="4E87F4E7" w14:textId="77777777" w:rsidR="0014294B" w:rsidRDefault="0014294B" w:rsidP="0014294B">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2.区别</w:t>
      </w:r>
    </w:p>
    <w:p w14:paraId="50CB2DE4" w14:textId="77777777" w:rsidR="0014294B" w:rsidRDefault="0014294B" w:rsidP="0014294B">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（1）两者侧重不同。财务报表审计是对财务报表进行审计，重在审计</w:t>
      </w:r>
      <w:r>
        <w:rPr>
          <w:rFonts w:cs="Calibri" w:hint="eastAsia"/>
          <w:b/>
          <w:bCs/>
          <w:color w:val="FF0000"/>
          <w:sz w:val="21"/>
          <w:szCs w:val="21"/>
        </w:rPr>
        <w:t>“结果”</w:t>
      </w:r>
      <w:r>
        <w:rPr>
          <w:rFonts w:cs="Calibri" w:hint="eastAsia"/>
          <w:color w:val="3F3F3F"/>
          <w:sz w:val="21"/>
          <w:szCs w:val="21"/>
        </w:rPr>
        <w:t>，而内部控制审计是对保证财务报表质量的内部控制的有效性进行审计，重在审计</w:t>
      </w:r>
      <w:r>
        <w:rPr>
          <w:rFonts w:cs="Calibri" w:hint="eastAsia"/>
          <w:b/>
          <w:bCs/>
          <w:color w:val="FF0000"/>
          <w:sz w:val="21"/>
          <w:szCs w:val="21"/>
        </w:rPr>
        <w:t>“过程”</w:t>
      </w:r>
      <w:r>
        <w:rPr>
          <w:rFonts w:cs="Calibri" w:hint="eastAsia"/>
          <w:color w:val="3F3F3F"/>
          <w:sz w:val="21"/>
          <w:szCs w:val="21"/>
        </w:rPr>
        <w:t>。</w:t>
      </w:r>
    </w:p>
    <w:p w14:paraId="1DAC53DB" w14:textId="77777777" w:rsidR="0014294B" w:rsidRDefault="0014294B" w:rsidP="0014294B">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（2）两者对内部控制进行</w:t>
      </w:r>
      <w:r>
        <w:rPr>
          <w:rFonts w:cs="Calibri" w:hint="eastAsia"/>
          <w:b/>
          <w:bCs/>
          <w:color w:val="FF0000"/>
          <w:sz w:val="21"/>
          <w:szCs w:val="21"/>
        </w:rPr>
        <w:t>了解和测试的目的</w:t>
      </w:r>
      <w:r>
        <w:rPr>
          <w:rFonts w:cs="Calibri" w:hint="eastAsia"/>
          <w:color w:val="3F3F3F"/>
          <w:sz w:val="21"/>
          <w:szCs w:val="21"/>
        </w:rPr>
        <w:t>不同。在财务报表审计中，是为了识别、评估和应对重大错报风险，据此确定实质性程序的性质、时间安排和范围，并获取相关的审计证据，以支持对财务报表发表的审计意见；在内部控制审计，是为了对内部控制的有效性发表审计意见。</w:t>
      </w:r>
    </w:p>
    <w:p w14:paraId="7719ABBB" w14:textId="77777777" w:rsidR="0014294B" w:rsidRDefault="0014294B" w:rsidP="0014294B">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（3）两者测试内部控制运行有效性的</w:t>
      </w:r>
      <w:r>
        <w:rPr>
          <w:rFonts w:cs="Calibri" w:hint="eastAsia"/>
          <w:b/>
          <w:bCs/>
          <w:color w:val="FF0000"/>
          <w:sz w:val="21"/>
          <w:szCs w:val="21"/>
        </w:rPr>
        <w:t>范围要求</w:t>
      </w:r>
      <w:r>
        <w:rPr>
          <w:rFonts w:cs="Calibri" w:hint="eastAsia"/>
          <w:color w:val="3F3F3F"/>
          <w:sz w:val="21"/>
          <w:szCs w:val="21"/>
        </w:rPr>
        <w:t>不同。在财务报表审计中，针对评估的认定层次重大错报风险，注册会计师可能选择采用实质性方案或综合性方案，如果采用实质性方案，注册会计师</w:t>
      </w:r>
      <w:r>
        <w:rPr>
          <w:rFonts w:cs="Calibri" w:hint="eastAsia"/>
          <w:b/>
          <w:bCs/>
          <w:color w:val="FF0000"/>
          <w:sz w:val="21"/>
          <w:szCs w:val="21"/>
        </w:rPr>
        <w:t>可以不测试</w:t>
      </w:r>
      <w:r>
        <w:rPr>
          <w:rFonts w:cs="Calibri" w:hint="eastAsia"/>
          <w:color w:val="3F3F3F"/>
          <w:sz w:val="21"/>
          <w:szCs w:val="21"/>
        </w:rPr>
        <w:t>内部控制的运行有效性；在内部控制审计中，注册会计师应当针对所有</w:t>
      </w:r>
      <w:r>
        <w:rPr>
          <w:rFonts w:cs="Calibri" w:hint="eastAsia"/>
          <w:b/>
          <w:bCs/>
          <w:color w:val="FF0000"/>
          <w:sz w:val="21"/>
          <w:szCs w:val="21"/>
        </w:rPr>
        <w:t>重要</w:t>
      </w:r>
      <w:r>
        <w:rPr>
          <w:rFonts w:cs="Calibri" w:hint="eastAsia"/>
          <w:color w:val="3F3F3F"/>
          <w:sz w:val="21"/>
          <w:szCs w:val="21"/>
        </w:rPr>
        <w:t>账户和列报的每一个相关认定获取控制设计和运行有效性的审计证据，以便对内部控制整体的有效性发表审计意见。</w:t>
      </w:r>
    </w:p>
    <w:p w14:paraId="2EDE2776" w14:textId="77777777" w:rsidR="0014294B" w:rsidRDefault="0014294B" w:rsidP="0014294B">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（4）两者内部控制测试的</w:t>
      </w:r>
      <w:r>
        <w:rPr>
          <w:rFonts w:cs="Calibri" w:hint="eastAsia"/>
          <w:b/>
          <w:bCs/>
          <w:color w:val="FF0000"/>
          <w:sz w:val="21"/>
          <w:szCs w:val="21"/>
        </w:rPr>
        <w:t>期间要求</w:t>
      </w:r>
      <w:r>
        <w:rPr>
          <w:rFonts w:cs="Calibri" w:hint="eastAsia"/>
          <w:color w:val="3F3F3F"/>
          <w:sz w:val="21"/>
          <w:szCs w:val="21"/>
        </w:rPr>
        <w:t>不同。在财务报表审计中，如果注册会计师选择综合性方案，需要获取内部控制在</w:t>
      </w:r>
      <w:r>
        <w:rPr>
          <w:rFonts w:cs="Calibri" w:hint="eastAsia"/>
          <w:b/>
          <w:bCs/>
          <w:color w:val="FF0000"/>
          <w:sz w:val="21"/>
          <w:szCs w:val="21"/>
        </w:rPr>
        <w:t>整个拟信赖期间</w:t>
      </w:r>
      <w:r>
        <w:rPr>
          <w:rFonts w:cs="Calibri" w:hint="eastAsia"/>
          <w:color w:val="3F3F3F"/>
          <w:sz w:val="21"/>
          <w:szCs w:val="21"/>
        </w:rPr>
        <w:t>运行有效的审计证据；在内部控制审计中，注册会计师对于基准日的内部控制运行有效性发表意见，则仅需要对内部控制在</w:t>
      </w:r>
      <w:r>
        <w:rPr>
          <w:rFonts w:cs="Calibri" w:hint="eastAsia"/>
          <w:b/>
          <w:bCs/>
          <w:color w:val="FF0000"/>
          <w:sz w:val="21"/>
          <w:szCs w:val="21"/>
        </w:rPr>
        <w:t>基准日前足够长的时间</w:t>
      </w:r>
      <w:r>
        <w:rPr>
          <w:rFonts w:cs="Calibri" w:hint="eastAsia"/>
          <w:color w:val="3F3F3F"/>
          <w:sz w:val="21"/>
          <w:szCs w:val="21"/>
        </w:rPr>
        <w:t>（</w:t>
      </w:r>
      <w:r>
        <w:rPr>
          <w:rFonts w:cs="Calibri" w:hint="eastAsia"/>
          <w:b/>
          <w:bCs/>
          <w:color w:val="FF0000"/>
          <w:sz w:val="21"/>
          <w:szCs w:val="21"/>
        </w:rPr>
        <w:t>可能短于</w:t>
      </w:r>
      <w:r>
        <w:rPr>
          <w:rFonts w:cs="Calibri" w:hint="eastAsia"/>
          <w:color w:val="3F3F3F"/>
          <w:sz w:val="21"/>
          <w:szCs w:val="21"/>
        </w:rPr>
        <w:t>整个审计期间）内的运行有效性获取审计证据。</w:t>
      </w:r>
    </w:p>
    <w:p w14:paraId="1B9C9D88" w14:textId="77777777" w:rsidR="0014294B" w:rsidRDefault="0014294B" w:rsidP="0014294B">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（5）两者对控制缺陷的</w:t>
      </w:r>
      <w:r>
        <w:rPr>
          <w:rFonts w:cs="Calibri" w:hint="eastAsia"/>
          <w:b/>
          <w:bCs/>
          <w:color w:val="FF0000"/>
          <w:sz w:val="21"/>
          <w:szCs w:val="21"/>
        </w:rPr>
        <w:t>评价要求</w:t>
      </w:r>
      <w:r>
        <w:rPr>
          <w:rFonts w:cs="Calibri" w:hint="eastAsia"/>
          <w:color w:val="3F3F3F"/>
          <w:sz w:val="21"/>
          <w:szCs w:val="21"/>
        </w:rPr>
        <w:t>不同。在内部控制审计中，注册会计师应当评价识别出的内部控制缺陷是否构成一般缺陷、重要缺陷或重大缺陷。在财务报表审计中，注册会计师需要确定识别出的内部控制缺陷单独或连同其他缺陷是否构成值得关注的内部控制缺陷。</w:t>
      </w:r>
    </w:p>
    <w:p w14:paraId="62541EB4" w14:textId="77777777" w:rsidR="0014294B" w:rsidRDefault="0014294B" w:rsidP="0014294B">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（6）审计报告的形式和内容以及所包括的</w:t>
      </w:r>
      <w:r>
        <w:rPr>
          <w:rFonts w:cs="Calibri" w:hint="eastAsia"/>
          <w:b/>
          <w:bCs/>
          <w:color w:val="FF0000"/>
          <w:sz w:val="21"/>
          <w:szCs w:val="21"/>
        </w:rPr>
        <w:t>意见类型</w:t>
      </w:r>
      <w:r>
        <w:rPr>
          <w:rFonts w:cs="Calibri" w:hint="eastAsia"/>
          <w:color w:val="3F3F3F"/>
          <w:sz w:val="21"/>
          <w:szCs w:val="21"/>
        </w:rPr>
        <w:t>不同。企业内部控制审计意见包括无保留意见、否定意见和无法表示意见</w:t>
      </w:r>
      <w:r>
        <w:rPr>
          <w:rFonts w:cs="Calibri" w:hint="eastAsia"/>
          <w:b/>
          <w:bCs/>
          <w:color w:val="FF0000"/>
          <w:sz w:val="21"/>
          <w:szCs w:val="21"/>
        </w:rPr>
        <w:t>三种</w:t>
      </w:r>
      <w:r>
        <w:rPr>
          <w:rFonts w:cs="Calibri" w:hint="eastAsia"/>
          <w:color w:val="3F3F3F"/>
          <w:sz w:val="21"/>
          <w:szCs w:val="21"/>
        </w:rPr>
        <w:t>类型。</w:t>
      </w:r>
    </w:p>
    <w:p w14:paraId="502AD75A" w14:textId="77777777" w:rsidR="0014294B" w:rsidRDefault="0014294B" w:rsidP="0014294B">
      <w:pPr>
        <w:pStyle w:val="aa"/>
        <w:shd w:val="clear" w:color="auto" w:fill="FFFFFF"/>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3F3F3F"/>
          <w:sz w:val="21"/>
          <w:szCs w:val="21"/>
        </w:rPr>
        <w:t>三、整合审计</w:t>
      </w:r>
    </w:p>
    <w:p w14:paraId="16946A1F" w14:textId="77777777" w:rsidR="0014294B" w:rsidRDefault="0014294B" w:rsidP="0014294B">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1.内部控制审计的实施方案</w:t>
      </w:r>
    </w:p>
    <w:p w14:paraId="56B7D33E" w14:textId="77777777" w:rsidR="0014294B" w:rsidRDefault="0014294B" w:rsidP="0014294B">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注册会计师可以</w:t>
      </w:r>
      <w:r>
        <w:rPr>
          <w:rFonts w:cs="Calibri" w:hint="eastAsia"/>
          <w:b/>
          <w:bCs/>
          <w:color w:val="FF0000"/>
          <w:sz w:val="21"/>
          <w:szCs w:val="21"/>
        </w:rPr>
        <w:t>单独进行</w:t>
      </w:r>
      <w:r>
        <w:rPr>
          <w:rFonts w:cs="Calibri" w:hint="eastAsia"/>
          <w:color w:val="3F3F3F"/>
          <w:sz w:val="21"/>
          <w:szCs w:val="21"/>
        </w:rPr>
        <w:t>内部控制审计，也可以将内部控制审计与财务报表审计整合进行（即</w:t>
      </w:r>
      <w:r>
        <w:rPr>
          <w:rFonts w:cs="Calibri" w:hint="eastAsia"/>
          <w:b/>
          <w:bCs/>
          <w:color w:val="FF0000"/>
          <w:sz w:val="21"/>
          <w:szCs w:val="21"/>
        </w:rPr>
        <w:t>整合审计</w:t>
      </w:r>
      <w:r>
        <w:rPr>
          <w:rFonts w:cs="Calibri" w:hint="eastAsia"/>
          <w:color w:val="3F3F3F"/>
          <w:sz w:val="21"/>
          <w:szCs w:val="21"/>
        </w:rPr>
        <w:t>）。</w:t>
      </w:r>
    </w:p>
    <w:p w14:paraId="652FE343" w14:textId="77777777" w:rsidR="0014294B" w:rsidRDefault="0014294B" w:rsidP="0014294B">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2.财务报表审计与内部控制审计的整合</w:t>
      </w:r>
    </w:p>
    <w:p w14:paraId="792E7733" w14:textId="77777777" w:rsidR="0014294B" w:rsidRDefault="0014294B" w:rsidP="0014294B">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财务报表审计与内部控制审计在以下几个方面可以整合共享：</w:t>
      </w:r>
    </w:p>
    <w:p w14:paraId="069FD505" w14:textId="77777777" w:rsidR="0014294B" w:rsidRDefault="0014294B" w:rsidP="0014294B">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（1）重要性水平的确定；</w:t>
      </w:r>
    </w:p>
    <w:p w14:paraId="3CBBCD19" w14:textId="77777777" w:rsidR="0014294B" w:rsidRDefault="0014294B" w:rsidP="0014294B">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（2）固有风险的评估；</w:t>
      </w:r>
    </w:p>
    <w:p w14:paraId="0BB81F56" w14:textId="77777777" w:rsidR="0014294B" w:rsidRDefault="0014294B" w:rsidP="0014294B">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（3）集团审计中重要组成部分和非重要组成部分的确定；</w:t>
      </w:r>
    </w:p>
    <w:p w14:paraId="3196E542" w14:textId="77777777" w:rsidR="0014294B" w:rsidRDefault="0014294B" w:rsidP="0014294B">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（4）重要账户、列报及其相关认定的确定；</w:t>
      </w:r>
    </w:p>
    <w:p w14:paraId="04E5E59A" w14:textId="77777777" w:rsidR="0014294B" w:rsidRDefault="0014294B" w:rsidP="0014294B">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（5）内部控制设计与运行有效性的测试；</w:t>
      </w:r>
    </w:p>
    <w:p w14:paraId="02A60982" w14:textId="77777777" w:rsidR="0014294B" w:rsidRDefault="0014294B" w:rsidP="0014294B">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（6）内部控制缺陷的识别和评价。</w:t>
      </w:r>
    </w:p>
    <w:p w14:paraId="36C77B6C" w14:textId="77777777" w:rsidR="0014294B" w:rsidRDefault="0014294B" w:rsidP="0014294B">
      <w:pPr>
        <w:pStyle w:val="aa"/>
        <w:shd w:val="clear" w:color="auto" w:fill="FFFFFF"/>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3F3F3F"/>
          <w:sz w:val="21"/>
          <w:szCs w:val="21"/>
        </w:rPr>
        <w:t>真题和模拟题精讲</w:t>
      </w:r>
    </w:p>
    <w:p w14:paraId="1DD6A4BF" w14:textId="77777777" w:rsidR="0014294B" w:rsidRDefault="0014294B" w:rsidP="0014294B">
      <w:pPr>
        <w:pStyle w:val="aa"/>
        <w:shd w:val="clear" w:color="auto" w:fill="FFFFFF"/>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3F3F3F"/>
          <w:sz w:val="21"/>
          <w:szCs w:val="21"/>
        </w:rPr>
        <w:t>多项选择题【模拟题】</w:t>
      </w:r>
    </w:p>
    <w:p w14:paraId="4E7AFAF1" w14:textId="77777777" w:rsidR="0014294B" w:rsidRDefault="0014294B" w:rsidP="0014294B">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下列有关内部控制审计的说法中，错误的有（　　）。</w:t>
      </w:r>
    </w:p>
    <w:p w14:paraId="5EF9DB4C" w14:textId="77777777" w:rsidR="0014294B" w:rsidRDefault="0014294B" w:rsidP="0014294B">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A.实施内部控制审计时，注册会计师对企业内部控制评价报告发表审计意见</w:t>
      </w:r>
    </w:p>
    <w:p w14:paraId="325ED418" w14:textId="77777777" w:rsidR="0014294B" w:rsidRDefault="0014294B" w:rsidP="0014294B">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B.注册会计师通常仅测试基准日的内部控制，以对特定基准日内部控制的有效性发表意见</w:t>
      </w:r>
    </w:p>
    <w:p w14:paraId="7AFB5C41" w14:textId="77777777" w:rsidR="0014294B" w:rsidRDefault="0014294B" w:rsidP="0014294B">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C.注册会计师应当对财务报告内部控制的有效性发表审计意见，而无须考虑除财务报告内部控制之外的其他控制</w:t>
      </w:r>
    </w:p>
    <w:p w14:paraId="180F2B04" w14:textId="77777777" w:rsidR="0014294B" w:rsidRDefault="0014294B" w:rsidP="0014294B">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D.建立健全和有效实施内部控制，评价内部控制的有效性是企业董事会的责任</w:t>
      </w:r>
    </w:p>
    <w:p w14:paraId="18F2069B" w14:textId="77777777" w:rsidR="0014294B" w:rsidRDefault="0014294B" w:rsidP="0014294B">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[答案]ABC</w:t>
      </w:r>
    </w:p>
    <w:p w14:paraId="17F42D18" w14:textId="77777777" w:rsidR="0014294B" w:rsidRDefault="0014294B" w:rsidP="0014294B">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[点评]选项A中，注册会计师是对财务报告内部控制的有效性直接发表审计意见，</w:t>
      </w:r>
      <w:r>
        <w:rPr>
          <w:rFonts w:cs="Calibri" w:hint="eastAsia"/>
          <w:b/>
          <w:bCs/>
          <w:color w:val="FF0000"/>
          <w:sz w:val="21"/>
          <w:szCs w:val="21"/>
        </w:rPr>
        <w:t>并非</w:t>
      </w:r>
      <w:r>
        <w:rPr>
          <w:rFonts w:cs="Calibri" w:hint="eastAsia"/>
          <w:color w:val="3F3F3F"/>
          <w:sz w:val="21"/>
          <w:szCs w:val="21"/>
        </w:rPr>
        <w:t>是对企业内部控制评价报告发表审计意见。选项B中，注册会计师对特定基准日内部控制的有效性发表意见，</w:t>
      </w:r>
      <w:r>
        <w:rPr>
          <w:rFonts w:cs="Calibri" w:hint="eastAsia"/>
          <w:b/>
          <w:bCs/>
          <w:color w:val="FF0000"/>
          <w:sz w:val="21"/>
          <w:szCs w:val="21"/>
        </w:rPr>
        <w:t>并不意味着</w:t>
      </w:r>
      <w:r>
        <w:rPr>
          <w:rFonts w:cs="Calibri" w:hint="eastAsia"/>
          <w:color w:val="3F3F3F"/>
          <w:sz w:val="21"/>
          <w:szCs w:val="21"/>
        </w:rPr>
        <w:t>注册会计师只测试基准日这一天的内部控制，而是需要考察足够长一段时间内部控制设计和运行的情况。选项C中，注册会计师应当对财务报告内部控制的有效性发表审计意见，并对内部控制审计过程中注意到的非财务报告内部控制的重大缺陷，在内部控制审计报告中增加</w:t>
      </w:r>
      <w:r>
        <w:rPr>
          <w:rFonts w:cs="Calibri" w:hint="eastAsia"/>
          <w:b/>
          <w:bCs/>
          <w:color w:val="FF0000"/>
          <w:sz w:val="21"/>
          <w:szCs w:val="21"/>
        </w:rPr>
        <w:t>“非财务报告内部控制重大缺陷描述段”</w:t>
      </w:r>
      <w:r>
        <w:rPr>
          <w:rFonts w:cs="Calibri" w:hint="eastAsia"/>
          <w:color w:val="3F3F3F"/>
          <w:sz w:val="21"/>
          <w:szCs w:val="21"/>
        </w:rPr>
        <w:t>予以披露。</w:t>
      </w:r>
    </w:p>
    <w:p w14:paraId="0D72C1D2" w14:textId="77777777" w:rsidR="0014294B" w:rsidRDefault="0014294B" w:rsidP="0014294B">
      <w:pPr>
        <w:pStyle w:val="aa"/>
        <w:shd w:val="clear" w:color="auto" w:fill="FFFFFF"/>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3F3F3F"/>
          <w:sz w:val="21"/>
          <w:szCs w:val="21"/>
        </w:rPr>
        <w:t>多项选择题【2017年真题】</w:t>
      </w:r>
    </w:p>
    <w:p w14:paraId="06824F70" w14:textId="77777777" w:rsidR="0014294B" w:rsidRDefault="0014294B" w:rsidP="0014294B">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下列有关财务报表审计与内部控制审计的共同点的说法中，正确的有（　　）。</w:t>
      </w:r>
    </w:p>
    <w:p w14:paraId="502E2D5D" w14:textId="77777777" w:rsidR="0014294B" w:rsidRDefault="0014294B" w:rsidP="0014294B">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A.两者识别的重要账户、列报及其相关认定相同</w:t>
      </w:r>
    </w:p>
    <w:p w14:paraId="168F3309" w14:textId="77777777" w:rsidR="0014294B" w:rsidRDefault="0014294B" w:rsidP="0014294B">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B.两者的审计报告意见类型相同</w:t>
      </w:r>
    </w:p>
    <w:p w14:paraId="0EA5A97A" w14:textId="77777777" w:rsidR="0014294B" w:rsidRDefault="0014294B" w:rsidP="0014294B">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C.两者了解和测试内部控制设计和运行有效性的审计程序类型相同</w:t>
      </w:r>
    </w:p>
    <w:p w14:paraId="0463728F" w14:textId="77777777" w:rsidR="0014294B" w:rsidRDefault="0014294B" w:rsidP="0014294B">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D.两者测试内部控制运行有效性的范围相同</w:t>
      </w:r>
    </w:p>
    <w:p w14:paraId="762E8521" w14:textId="77777777" w:rsidR="0014294B" w:rsidRDefault="0014294B" w:rsidP="0014294B">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[答案]AC</w:t>
      </w:r>
    </w:p>
    <w:p w14:paraId="71B63121" w14:textId="77777777" w:rsidR="0014294B" w:rsidRDefault="0014294B" w:rsidP="0014294B">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点评]选项B错误，企业内部控制审计意见包括无保留意见、否定意见和无法表示意见三种类型，没有保留意见；选项D错误，在财务报表审计中，如果预期不信赖内部控制，可以不实施控制测试，不测试内部控制的有效性。在内部控制审计中，注册会计师应当针对所有重要账户和列报的每一个相关认定获取控制设计和运行有效性的审计证据，以便对内部控制整体的有效性发表审计意见。</w:t>
      </w:r>
    </w:p>
    <w:p w14:paraId="7587BFC9" w14:textId="77777777" w:rsidR="0014294B" w:rsidRDefault="0014294B" w:rsidP="0014294B">
      <w:pPr>
        <w:pStyle w:val="aa"/>
        <w:shd w:val="clear" w:color="auto" w:fill="FFFFFF"/>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3F3F3F"/>
          <w:sz w:val="21"/>
          <w:szCs w:val="21"/>
        </w:rPr>
        <w:t>单项选择题【模拟题】</w:t>
      </w:r>
    </w:p>
    <w:p w14:paraId="73D58B83" w14:textId="77777777" w:rsidR="0014294B" w:rsidRDefault="0014294B" w:rsidP="0014294B">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下列有关内部控制审计和财务报表审计的说法中，错误的是（　　）。</w:t>
      </w:r>
    </w:p>
    <w:p w14:paraId="6256066A" w14:textId="77777777" w:rsidR="0014294B" w:rsidRDefault="0014294B" w:rsidP="0014294B">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A.对于同一财务报表，在内部控制审计和财务报表审计中运用的重要性水平应当相同</w:t>
      </w:r>
    </w:p>
    <w:p w14:paraId="19410B05" w14:textId="77777777" w:rsidR="0014294B" w:rsidRDefault="0014294B" w:rsidP="0014294B">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B.在财务报表审计和内部控制审计中，注册会计师都需要了解并测试与审计相关的内部控制</w:t>
      </w:r>
    </w:p>
    <w:p w14:paraId="6F50719D" w14:textId="77777777" w:rsidR="0014294B" w:rsidRDefault="0014294B" w:rsidP="0014294B">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C.在整合审计中，控制测试的时间安排尽量同时满足内部控制审计和财务报表审计的要求</w:t>
      </w:r>
    </w:p>
    <w:p w14:paraId="7C239A14" w14:textId="77777777" w:rsidR="0014294B" w:rsidRDefault="0014294B" w:rsidP="0014294B">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D.实施内部控制审计时，注册会计师需要重点考虑财务报表审计中发现的财务报表错报，考虑这些错报对评价内控有效性的影响</w:t>
      </w:r>
    </w:p>
    <w:p w14:paraId="7CDAEFD1" w14:textId="77777777" w:rsidR="0014294B" w:rsidRDefault="0014294B" w:rsidP="0014294B">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[答案]B</w:t>
      </w:r>
    </w:p>
    <w:p w14:paraId="762F1D2F" w14:textId="77777777" w:rsidR="0014294B" w:rsidRDefault="0014294B" w:rsidP="0014294B">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点评]选项B中，在财务报表审计中，针对评估的认定层次重大错报风险，注册会计师可能选择采用实质性方案或综合性方案。如果采用实质性方案，注册会计师可以不测试内部控制的运行有效性；如果采用综合性方案，注册会计师综合运用控制测试和实质性程序，因而需要测试内部控制的运行有效性。</w:t>
      </w:r>
    </w:p>
    <w:p w14:paraId="087F8273" w14:textId="77777777" w:rsidR="0014294B" w:rsidRDefault="0014294B" w:rsidP="0014294B">
      <w:pPr>
        <w:pStyle w:val="aa"/>
        <w:shd w:val="clear" w:color="auto" w:fill="FFFFFF"/>
        <w:spacing w:before="312" w:beforeAutospacing="0" w:after="312" w:afterAutospacing="0"/>
        <w:jc w:val="center"/>
        <w:rPr>
          <w:rFonts w:ascii="Calibri" w:eastAsia="微软雅黑" w:hAnsi="Calibri" w:cs="Calibri"/>
          <w:color w:val="3F3F3F"/>
          <w:sz w:val="21"/>
          <w:szCs w:val="21"/>
        </w:rPr>
      </w:pPr>
      <w:r>
        <w:rPr>
          <w:rFonts w:cs="Calibri" w:hint="eastAsia"/>
          <w:b/>
          <w:bCs/>
          <w:color w:val="3F3F3F"/>
          <w:sz w:val="28"/>
          <w:szCs w:val="28"/>
        </w:rPr>
        <w:t>脉络和复习</w:t>
      </w:r>
    </w:p>
    <w:p w14:paraId="1EBC1852" w14:textId="77777777" w:rsidR="0014294B" w:rsidRDefault="0014294B" w:rsidP="0014294B">
      <w:pPr>
        <w:pStyle w:val="aa"/>
        <w:shd w:val="clear" w:color="auto" w:fill="FFFFFF"/>
        <w:spacing w:before="0" w:beforeAutospacing="0" w:after="0" w:afterAutospacing="0"/>
        <w:jc w:val="center"/>
        <w:rPr>
          <w:rFonts w:ascii="Calibri" w:eastAsia="微软雅黑" w:hAnsi="Calibri" w:cs="Calibri"/>
          <w:color w:val="3F3F3F"/>
          <w:sz w:val="21"/>
          <w:szCs w:val="21"/>
        </w:rPr>
      </w:pPr>
      <w:r>
        <w:rPr>
          <w:rFonts w:ascii="Calibri" w:eastAsia="微软雅黑" w:hAnsi="Calibri" w:cs="Calibri"/>
          <w:color w:val="3F3F3F"/>
          <w:sz w:val="21"/>
          <w:szCs w:val="21"/>
        </w:rPr>
        <w:fldChar w:fldCharType="begin"/>
      </w:r>
      <w:r>
        <w:rPr>
          <w:rFonts w:ascii="Calibri" w:eastAsia="微软雅黑" w:hAnsi="Calibri" w:cs="Calibri"/>
          <w:color w:val="3F3F3F"/>
          <w:sz w:val="21"/>
          <w:szCs w:val="21"/>
        </w:rPr>
        <w:instrText xml:space="preserve"> INCLUDEPICTURE "http://webupload.admin.dongao.com/biz/handout/img/2019/20190710/20190710162406261003.png" \* MERGEFORMATINET </w:instrText>
      </w:r>
      <w:r>
        <w:rPr>
          <w:rFonts w:ascii="Calibri" w:eastAsia="微软雅黑" w:hAnsi="Calibri" w:cs="Calibri"/>
          <w:color w:val="3F3F3F"/>
          <w:sz w:val="21"/>
          <w:szCs w:val="21"/>
        </w:rPr>
        <w:fldChar w:fldCharType="separate"/>
      </w:r>
      <w:r>
        <w:rPr>
          <w:rFonts w:ascii="Calibri" w:eastAsia="微软雅黑" w:hAnsi="Calibri" w:cs="Calibri"/>
          <w:color w:val="3F3F3F"/>
          <w:sz w:val="21"/>
          <w:szCs w:val="21"/>
        </w:rPr>
        <w:pict>
          <v:shape id="_x0000_i1027" type="#_x0000_t75" style="width:420pt;height:208.5pt">
            <v:imagedata r:id="rId11" r:href="rId12"/>
          </v:shape>
        </w:pict>
      </w:r>
      <w:r>
        <w:rPr>
          <w:rFonts w:ascii="Calibri" w:eastAsia="微软雅黑" w:hAnsi="Calibri" w:cs="Calibri"/>
          <w:color w:val="3F3F3F"/>
          <w:sz w:val="21"/>
          <w:szCs w:val="21"/>
        </w:rPr>
        <w:fldChar w:fldCharType="end"/>
      </w:r>
    </w:p>
    <w:p w14:paraId="30FDD184" w14:textId="77777777" w:rsidR="0014294B" w:rsidRDefault="0014294B" w:rsidP="0014294B">
      <w:pPr>
        <w:shd w:val="clear" w:color="auto" w:fill="FFFFFF"/>
        <w:rPr>
          <w:rFonts w:ascii="微软雅黑" w:eastAsia="微软雅黑" w:hAnsi="微软雅黑" w:cs="宋体"/>
          <w:color w:val="3F3F3F"/>
          <w:szCs w:val="21"/>
        </w:rPr>
      </w:pPr>
    </w:p>
    <w:p w14:paraId="145B729F" w14:textId="77777777" w:rsidR="00271D8C" w:rsidRPr="0014294B" w:rsidRDefault="00271D8C" w:rsidP="0014294B">
      <w:pPr>
        <w:rPr>
          <w:rFonts w:hint="eastAsia"/>
        </w:rPr>
      </w:pPr>
    </w:p>
    <w:sectPr w:rsidR="00271D8C" w:rsidRPr="0014294B" w:rsidSect="001F62DD">
      <w:headerReference w:type="default" r:id="rId13"/>
      <w:footerReference w:type="default" r:id="rId14"/>
      <w:pgSz w:w="11906" w:h="16838"/>
      <w:pgMar w:top="340" w:right="680" w:bottom="340" w:left="1134" w:header="113" w:footer="227"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5C3F61E" w14:textId="77777777" w:rsidR="00EA2E29" w:rsidRDefault="00EA2E29" w:rsidP="00CD53C5">
      <w:r>
        <w:separator/>
      </w:r>
    </w:p>
  </w:endnote>
  <w:endnote w:type="continuationSeparator" w:id="0">
    <w:p w14:paraId="6FFD8DF8" w14:textId="77777777" w:rsidR="00EA2E29" w:rsidRDefault="00EA2E29" w:rsidP="00CD53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Symbol">
    <w:panose1 w:val="05050102010706020507"/>
    <w:charset w:val="02"/>
    <w:family w:val="roman"/>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190" w:type="dxa"/>
      <w:tblBorders>
        <w:top w:val="single" w:sz="4" w:space="0" w:color="auto"/>
      </w:tblBorders>
      <w:tblCellMar>
        <w:top w:w="113" w:type="dxa"/>
      </w:tblCellMar>
      <w:tblLook w:val="04A0" w:firstRow="1" w:lastRow="0" w:firstColumn="1" w:lastColumn="0" w:noHBand="0" w:noVBand="1"/>
    </w:tblPr>
    <w:tblGrid>
      <w:gridCol w:w="2050"/>
      <w:gridCol w:w="3742"/>
      <w:gridCol w:w="4398"/>
    </w:tblGrid>
    <w:tr w:rsidR="00BE7176" w:rsidRPr="004D61E7" w14:paraId="55F075B8" w14:textId="77777777" w:rsidTr="007B0BFD">
      <w:trPr>
        <w:trHeight w:val="274"/>
      </w:trPr>
      <w:tc>
        <w:tcPr>
          <w:tcW w:w="2050" w:type="dxa"/>
          <w:shd w:val="clear" w:color="auto" w:fill="auto"/>
          <w:vAlign w:val="center"/>
        </w:tcPr>
        <w:p w14:paraId="1B324D8B" w14:textId="77777777" w:rsidR="00BE7176" w:rsidRPr="004D61E7" w:rsidRDefault="004D61E7" w:rsidP="004D61E7">
          <w:pPr>
            <w:jc w:val="left"/>
            <w:rPr>
              <w:rFonts w:ascii="楷体" w:eastAsia="楷体" w:hAnsi="楷体"/>
              <w:b/>
              <w:sz w:val="28"/>
              <w:szCs w:val="28"/>
            </w:rPr>
          </w:pPr>
          <w:r w:rsidRPr="00707A6F">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5" o:spid="_x0000_i1028" type="#_x0000_t75" style="width:90.75pt;height:26.25pt;visibility:visible">
                <v:imagedata r:id="rId1" o:title=""/>
              </v:shape>
            </w:pict>
          </w:r>
        </w:p>
      </w:tc>
      <w:tc>
        <w:tcPr>
          <w:tcW w:w="3742" w:type="dxa"/>
          <w:shd w:val="clear" w:color="auto" w:fill="auto"/>
          <w:vAlign w:val="center"/>
        </w:tcPr>
        <w:p w14:paraId="73D587A3" w14:textId="77777777" w:rsidR="00BE7176" w:rsidRPr="004D61E7" w:rsidRDefault="00BE7176" w:rsidP="004D61E7">
          <w:pPr>
            <w:jc w:val="left"/>
            <w:rPr>
              <w:rFonts w:ascii="楷体" w:eastAsia="楷体" w:hAnsi="楷体"/>
              <w:b/>
              <w:sz w:val="28"/>
              <w:szCs w:val="28"/>
            </w:rPr>
          </w:pPr>
          <w:r w:rsidRPr="004D61E7">
            <w:rPr>
              <w:rFonts w:ascii="微软雅黑" w:eastAsia="微软雅黑" w:hAnsi="微软雅黑" w:hint="eastAsia"/>
              <w:szCs w:val="21"/>
            </w:rPr>
            <w:t>原创</w:t>
          </w:r>
          <w:r w:rsidRPr="004D61E7">
            <w:rPr>
              <w:rFonts w:ascii="微软雅黑" w:eastAsia="微软雅黑" w:hAnsi="微软雅黑"/>
              <w:szCs w:val="21"/>
            </w:rPr>
            <w:t>不易</w:t>
          </w:r>
          <w:r w:rsidRPr="004D61E7">
            <w:rPr>
              <w:rFonts w:ascii="微软雅黑" w:eastAsia="微软雅黑" w:hAnsi="微软雅黑" w:hint="eastAsia"/>
              <w:szCs w:val="21"/>
            </w:rPr>
            <w:t>，侵权</w:t>
          </w:r>
          <w:r w:rsidRPr="004D61E7">
            <w:rPr>
              <w:rFonts w:ascii="微软雅黑" w:eastAsia="微软雅黑" w:hAnsi="微软雅黑"/>
              <w:szCs w:val="21"/>
            </w:rPr>
            <w:t>必究</w:t>
          </w:r>
          <w:r w:rsidRPr="004D61E7">
            <w:rPr>
              <w:rFonts w:ascii="微软雅黑" w:eastAsia="微软雅黑" w:hAnsi="微软雅黑" w:hint="eastAsia"/>
              <w:szCs w:val="21"/>
            </w:rPr>
            <w:t xml:space="preserve">  </w:t>
          </w:r>
          <w:r w:rsidRPr="004D61E7">
            <w:rPr>
              <w:rFonts w:ascii="微软雅黑" w:eastAsia="微软雅黑" w:hAnsi="微软雅黑"/>
              <w:szCs w:val="21"/>
            </w:rPr>
            <w:t xml:space="preserve">          </w:t>
          </w:r>
          <w:r w:rsidRPr="004D61E7">
            <w:rPr>
              <w:rFonts w:ascii="微软雅黑" w:eastAsia="微软雅黑" w:hAnsi="微软雅黑" w:hint="eastAsia"/>
              <w:szCs w:val="21"/>
            </w:rPr>
            <w:t xml:space="preserve">            </w:t>
          </w:r>
          <w:r w:rsidRPr="004D61E7">
            <w:rPr>
              <w:rFonts w:ascii="微软雅黑" w:eastAsia="微软雅黑" w:hAnsi="微软雅黑"/>
              <w:szCs w:val="21"/>
            </w:rPr>
            <w:t xml:space="preserve">       </w:t>
          </w:r>
        </w:p>
      </w:tc>
      <w:tc>
        <w:tcPr>
          <w:tcW w:w="4398" w:type="dxa"/>
          <w:shd w:val="clear" w:color="auto" w:fill="auto"/>
          <w:vAlign w:val="center"/>
        </w:tcPr>
        <w:p w14:paraId="61C1769E" w14:textId="77777777" w:rsidR="00BE7176" w:rsidRPr="004D61E7" w:rsidRDefault="004D61E7" w:rsidP="004D61E7">
          <w:pPr>
            <w:jc w:val="right"/>
            <w:rPr>
              <w:rFonts w:ascii="微软雅黑" w:eastAsia="微软雅黑" w:hAnsi="微软雅黑"/>
              <w:szCs w:val="21"/>
            </w:rPr>
          </w:pPr>
          <w:r w:rsidRPr="004D61E7">
            <w:rPr>
              <w:rFonts w:ascii="微软雅黑" w:eastAsia="微软雅黑" w:hAnsi="微软雅黑" w:hint="eastAsia"/>
              <w:szCs w:val="21"/>
              <w:lang w:val="zh-CN"/>
            </w:rPr>
            <w:t>第</w:t>
          </w:r>
          <w:r w:rsidRPr="004D61E7">
            <w:rPr>
              <w:rFonts w:ascii="微软雅黑" w:eastAsia="微软雅黑" w:hAnsi="微软雅黑"/>
              <w:szCs w:val="21"/>
            </w:rPr>
            <w:fldChar w:fldCharType="begin"/>
          </w:r>
          <w:r w:rsidRPr="004D61E7">
            <w:rPr>
              <w:rFonts w:ascii="微软雅黑" w:eastAsia="微软雅黑" w:hAnsi="微软雅黑"/>
              <w:szCs w:val="21"/>
            </w:rPr>
            <w:instrText>PAGE  \* Arabic  \* MERGEFORMAT</w:instrText>
          </w:r>
          <w:r w:rsidRPr="004D61E7">
            <w:rPr>
              <w:rFonts w:ascii="微软雅黑" w:eastAsia="微软雅黑" w:hAnsi="微软雅黑"/>
              <w:szCs w:val="21"/>
            </w:rPr>
            <w:fldChar w:fldCharType="separate"/>
          </w:r>
          <w:r w:rsidRPr="004D61E7">
            <w:rPr>
              <w:rFonts w:ascii="微软雅黑" w:eastAsia="微软雅黑" w:hAnsi="微软雅黑"/>
              <w:szCs w:val="21"/>
            </w:rPr>
            <w:t>1</w:t>
          </w:r>
          <w:r w:rsidRPr="004D61E7">
            <w:rPr>
              <w:rFonts w:ascii="微软雅黑" w:eastAsia="微软雅黑" w:hAnsi="微软雅黑"/>
              <w:szCs w:val="21"/>
            </w:rPr>
            <w:fldChar w:fldCharType="end"/>
          </w:r>
          <w:r w:rsidRPr="004D61E7">
            <w:rPr>
              <w:rFonts w:ascii="微软雅黑" w:eastAsia="微软雅黑" w:hAnsi="微软雅黑" w:hint="eastAsia"/>
              <w:szCs w:val="21"/>
            </w:rPr>
            <w:t>页</w:t>
          </w:r>
        </w:p>
      </w:tc>
    </w:tr>
  </w:tbl>
  <w:p w14:paraId="04E10A62" w14:textId="77777777" w:rsidR="00BE7176" w:rsidRPr="00397E03" w:rsidRDefault="00BE7176">
    <w:pPr>
      <w:pStyle w:val="a5"/>
      <w:rPr>
        <w:vanish/>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349040C" w14:textId="77777777" w:rsidR="00EA2E29" w:rsidRDefault="00EA2E29" w:rsidP="00CD53C5">
      <w:r>
        <w:separator/>
      </w:r>
    </w:p>
  </w:footnote>
  <w:footnote w:type="continuationSeparator" w:id="0">
    <w:p w14:paraId="20C0D154" w14:textId="77777777" w:rsidR="00EA2E29" w:rsidRDefault="00EA2E29" w:rsidP="00CD53C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221" w:type="dxa"/>
      <w:tblBorders>
        <w:bottom w:val="single" w:sz="4" w:space="0" w:color="auto"/>
      </w:tblBorders>
      <w:tblCellMar>
        <w:bottom w:w="57" w:type="dxa"/>
      </w:tblCellMar>
      <w:tblLook w:val="04A0" w:firstRow="1" w:lastRow="0" w:firstColumn="1" w:lastColumn="0" w:noHBand="0" w:noVBand="1"/>
    </w:tblPr>
    <w:tblGrid>
      <w:gridCol w:w="4272"/>
      <w:gridCol w:w="5949"/>
    </w:tblGrid>
    <w:tr w:rsidR="001545C6" w:rsidRPr="004D61E7" w14:paraId="3764B229" w14:textId="77777777" w:rsidTr="007B0BFD">
      <w:trPr>
        <w:trHeight w:val="501"/>
      </w:trPr>
      <w:tc>
        <w:tcPr>
          <w:tcW w:w="4272" w:type="dxa"/>
          <w:shd w:val="clear" w:color="auto" w:fill="auto"/>
          <w:vAlign w:val="center"/>
        </w:tcPr>
        <w:p w14:paraId="3EC0431E" w14:textId="77777777" w:rsidR="001545C6" w:rsidRPr="001F62DD" w:rsidRDefault="0014294B" w:rsidP="004D61E7">
          <w:pPr>
            <w:jc w:val="left"/>
            <w:rPr>
              <w:rFonts w:ascii="微软雅黑" w:eastAsia="微软雅黑" w:hAnsi="微软雅黑"/>
              <w:sz w:val="22"/>
            </w:rPr>
          </w:pPr>
          <w:r>
            <w:rPr>
              <w:rFonts w:ascii="微软雅黑" w:eastAsia="微软雅黑" w:hAnsi="微软雅黑"/>
              <w:sz w:val="22"/>
            </w:rPr>
            <w:t>审计（2019）考试辅导</w:t>
          </w:r>
        </w:p>
      </w:tc>
      <w:tc>
        <w:tcPr>
          <w:tcW w:w="5949" w:type="dxa"/>
          <w:shd w:val="clear" w:color="auto" w:fill="auto"/>
          <w:vAlign w:val="center"/>
        </w:tcPr>
        <w:p w14:paraId="70DBB2BB" w14:textId="77777777" w:rsidR="001545C6" w:rsidRPr="004D61E7" w:rsidRDefault="0014294B" w:rsidP="00105A9A">
          <w:pPr>
            <w:wordWrap w:val="0"/>
            <w:jc w:val="right"/>
            <w:rPr>
              <w:rFonts w:ascii="微软雅黑" w:eastAsia="微软雅黑" w:hAnsi="微软雅黑"/>
              <w:sz w:val="24"/>
              <w:szCs w:val="24"/>
            </w:rPr>
          </w:pPr>
          <w:r>
            <w:rPr>
              <w:rFonts w:ascii="微软雅黑" w:eastAsia="微软雅黑" w:hAnsi="微软雅黑" w:hint="eastAsia"/>
              <w:sz w:val="24"/>
              <w:szCs w:val="24"/>
            </w:rPr>
            <w:t>第二十章</w:t>
          </w:r>
          <w:r>
            <w:rPr>
              <w:rFonts w:ascii="微软雅黑" w:eastAsia="微软雅黑" w:hAnsi="微软雅黑"/>
              <w:sz w:val="24"/>
              <w:szCs w:val="24"/>
            </w:rPr>
            <w:t>+企业内部控制审计</w:t>
          </w:r>
        </w:p>
      </w:tc>
    </w:tr>
  </w:tbl>
  <w:p w14:paraId="2D139D0C" w14:textId="77777777" w:rsidR="00207831" w:rsidRPr="000F3412" w:rsidRDefault="00207831" w:rsidP="001545C6">
    <w:pPr>
      <w:pStyle w:val="a3"/>
      <w:rPr>
        <w:vanish/>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grammar="clean"/>
  <w:doNotTrackMoves/>
  <w:defaultTabStop w:val="420"/>
  <w:drawingGridHorizontalSpacing w:val="105"/>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03D05"/>
    <w:rsid w:val="0002315B"/>
    <w:rsid w:val="00025D51"/>
    <w:rsid w:val="00027EF7"/>
    <w:rsid w:val="00030EBE"/>
    <w:rsid w:val="0004510D"/>
    <w:rsid w:val="0006594D"/>
    <w:rsid w:val="000977F7"/>
    <w:rsid w:val="000C17BF"/>
    <w:rsid w:val="000D329A"/>
    <w:rsid w:val="000F3412"/>
    <w:rsid w:val="00103D05"/>
    <w:rsid w:val="00105A9A"/>
    <w:rsid w:val="001403A1"/>
    <w:rsid w:val="0014294B"/>
    <w:rsid w:val="001545C6"/>
    <w:rsid w:val="001C5FBB"/>
    <w:rsid w:val="001D1548"/>
    <w:rsid w:val="001F62DD"/>
    <w:rsid w:val="00207831"/>
    <w:rsid w:val="0025687E"/>
    <w:rsid w:val="00257ECB"/>
    <w:rsid w:val="002608F5"/>
    <w:rsid w:val="00271D8C"/>
    <w:rsid w:val="002F4B62"/>
    <w:rsid w:val="00354CB5"/>
    <w:rsid w:val="00361200"/>
    <w:rsid w:val="00396A53"/>
    <w:rsid w:val="00397E03"/>
    <w:rsid w:val="00484FE7"/>
    <w:rsid w:val="00494359"/>
    <w:rsid w:val="004D41D2"/>
    <w:rsid w:val="004D61E7"/>
    <w:rsid w:val="00522B52"/>
    <w:rsid w:val="00530F5E"/>
    <w:rsid w:val="00587FA0"/>
    <w:rsid w:val="005C437E"/>
    <w:rsid w:val="005F2973"/>
    <w:rsid w:val="005F76A7"/>
    <w:rsid w:val="00601F3F"/>
    <w:rsid w:val="0065531D"/>
    <w:rsid w:val="00680B91"/>
    <w:rsid w:val="00743946"/>
    <w:rsid w:val="00777971"/>
    <w:rsid w:val="007A0F56"/>
    <w:rsid w:val="007A684A"/>
    <w:rsid w:val="007B0BFD"/>
    <w:rsid w:val="007B5B2A"/>
    <w:rsid w:val="007E2E24"/>
    <w:rsid w:val="00831407"/>
    <w:rsid w:val="008C2E60"/>
    <w:rsid w:val="008D6C45"/>
    <w:rsid w:val="0093134D"/>
    <w:rsid w:val="00956BD7"/>
    <w:rsid w:val="009E3A31"/>
    <w:rsid w:val="009E72DE"/>
    <w:rsid w:val="00A00175"/>
    <w:rsid w:val="00A42D54"/>
    <w:rsid w:val="00A8418D"/>
    <w:rsid w:val="00A84ABB"/>
    <w:rsid w:val="00AA2B40"/>
    <w:rsid w:val="00AA617F"/>
    <w:rsid w:val="00AD308A"/>
    <w:rsid w:val="00B35C5C"/>
    <w:rsid w:val="00B36C6D"/>
    <w:rsid w:val="00B57A07"/>
    <w:rsid w:val="00B672D4"/>
    <w:rsid w:val="00B81282"/>
    <w:rsid w:val="00BC5CEC"/>
    <w:rsid w:val="00BD730E"/>
    <w:rsid w:val="00BE7176"/>
    <w:rsid w:val="00C24F0C"/>
    <w:rsid w:val="00C42B60"/>
    <w:rsid w:val="00C64789"/>
    <w:rsid w:val="00CA0928"/>
    <w:rsid w:val="00CD53C5"/>
    <w:rsid w:val="00CE33B2"/>
    <w:rsid w:val="00D14EEC"/>
    <w:rsid w:val="00D40C69"/>
    <w:rsid w:val="00DA0E67"/>
    <w:rsid w:val="00DC6EA5"/>
    <w:rsid w:val="00E27FEA"/>
    <w:rsid w:val="00E91A26"/>
    <w:rsid w:val="00EA2E29"/>
    <w:rsid w:val="00EC2EA7"/>
    <w:rsid w:val="00ED764B"/>
    <w:rsid w:val="00F4489B"/>
    <w:rsid w:val="00F86E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7B99F9F7"/>
  <w15:docId w15:val="{85CD8277-EAC0-41FC-96AC-02FDC6DDD3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D53C5"/>
    <w:pPr>
      <w:pBdr>
        <w:bottom w:val="single" w:sz="6" w:space="1" w:color="auto"/>
      </w:pBdr>
      <w:tabs>
        <w:tab w:val="center" w:pos="4153"/>
        <w:tab w:val="right" w:pos="8306"/>
      </w:tabs>
      <w:snapToGrid w:val="0"/>
      <w:jc w:val="center"/>
    </w:pPr>
    <w:rPr>
      <w:sz w:val="18"/>
      <w:szCs w:val="18"/>
    </w:rPr>
  </w:style>
  <w:style w:type="character" w:customStyle="1" w:styleId="a4">
    <w:name w:val="页眉 字符"/>
    <w:link w:val="a3"/>
    <w:uiPriority w:val="99"/>
    <w:rsid w:val="00CD53C5"/>
    <w:rPr>
      <w:sz w:val="18"/>
      <w:szCs w:val="18"/>
    </w:rPr>
  </w:style>
  <w:style w:type="paragraph" w:styleId="a5">
    <w:name w:val="footer"/>
    <w:basedOn w:val="a"/>
    <w:link w:val="a6"/>
    <w:uiPriority w:val="99"/>
    <w:unhideWhenUsed/>
    <w:rsid w:val="00CD53C5"/>
    <w:pPr>
      <w:tabs>
        <w:tab w:val="center" w:pos="4153"/>
        <w:tab w:val="right" w:pos="8306"/>
      </w:tabs>
      <w:snapToGrid w:val="0"/>
      <w:jc w:val="left"/>
    </w:pPr>
    <w:rPr>
      <w:sz w:val="18"/>
      <w:szCs w:val="18"/>
    </w:rPr>
  </w:style>
  <w:style w:type="character" w:customStyle="1" w:styleId="a6">
    <w:name w:val="页脚 字符"/>
    <w:link w:val="a5"/>
    <w:uiPriority w:val="99"/>
    <w:rsid w:val="00CD53C5"/>
    <w:rPr>
      <w:sz w:val="18"/>
      <w:szCs w:val="18"/>
    </w:rPr>
  </w:style>
  <w:style w:type="paragraph" w:styleId="a7">
    <w:name w:val="Balloon Text"/>
    <w:basedOn w:val="a"/>
    <w:link w:val="a8"/>
    <w:uiPriority w:val="99"/>
    <w:semiHidden/>
    <w:unhideWhenUsed/>
    <w:rsid w:val="001403A1"/>
    <w:rPr>
      <w:sz w:val="18"/>
      <w:szCs w:val="18"/>
    </w:rPr>
  </w:style>
  <w:style w:type="character" w:customStyle="1" w:styleId="a8">
    <w:name w:val="批注框文本 字符"/>
    <w:link w:val="a7"/>
    <w:uiPriority w:val="99"/>
    <w:semiHidden/>
    <w:rsid w:val="001403A1"/>
    <w:rPr>
      <w:sz w:val="18"/>
      <w:szCs w:val="18"/>
    </w:rPr>
  </w:style>
  <w:style w:type="table" w:styleId="a9">
    <w:name w:val="Table Grid"/>
    <w:basedOn w:val="a1"/>
    <w:uiPriority w:val="59"/>
    <w:rsid w:val="002078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Normal (Web)"/>
    <w:basedOn w:val="a"/>
    <w:uiPriority w:val="99"/>
    <w:semiHidden/>
    <w:unhideWhenUsed/>
    <w:rsid w:val="00025D51"/>
    <w:pPr>
      <w:widowControl/>
      <w:spacing w:before="100" w:beforeAutospacing="1" w:after="100" w:afterAutospacing="1"/>
      <w:jc w:val="left"/>
    </w:pPr>
    <w:rPr>
      <w:rFonts w:ascii="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314179">
      <w:bodyDiv w:val="1"/>
      <w:marLeft w:val="0"/>
      <w:marRight w:val="0"/>
      <w:marTop w:val="0"/>
      <w:marBottom w:val="0"/>
      <w:divBdr>
        <w:top w:val="none" w:sz="0" w:space="0" w:color="auto"/>
        <w:left w:val="none" w:sz="0" w:space="0" w:color="auto"/>
        <w:bottom w:val="none" w:sz="0" w:space="0" w:color="auto"/>
        <w:right w:val="none" w:sz="0" w:space="0" w:color="auto"/>
      </w:divBdr>
    </w:div>
    <w:div w:id="217327381">
      <w:bodyDiv w:val="1"/>
      <w:marLeft w:val="0"/>
      <w:marRight w:val="0"/>
      <w:marTop w:val="0"/>
      <w:marBottom w:val="0"/>
      <w:divBdr>
        <w:top w:val="none" w:sz="0" w:space="0" w:color="auto"/>
        <w:left w:val="none" w:sz="0" w:space="0" w:color="auto"/>
        <w:bottom w:val="none" w:sz="0" w:space="0" w:color="auto"/>
        <w:right w:val="none" w:sz="0" w:space="0" w:color="auto"/>
      </w:divBdr>
    </w:div>
    <w:div w:id="276108250">
      <w:bodyDiv w:val="1"/>
      <w:marLeft w:val="0"/>
      <w:marRight w:val="0"/>
      <w:marTop w:val="0"/>
      <w:marBottom w:val="0"/>
      <w:divBdr>
        <w:top w:val="none" w:sz="0" w:space="0" w:color="auto"/>
        <w:left w:val="none" w:sz="0" w:space="0" w:color="auto"/>
        <w:bottom w:val="none" w:sz="0" w:space="0" w:color="auto"/>
        <w:right w:val="none" w:sz="0" w:space="0" w:color="auto"/>
      </w:divBdr>
    </w:div>
    <w:div w:id="727074370">
      <w:bodyDiv w:val="1"/>
      <w:marLeft w:val="0"/>
      <w:marRight w:val="0"/>
      <w:marTop w:val="0"/>
      <w:marBottom w:val="0"/>
      <w:divBdr>
        <w:top w:val="none" w:sz="0" w:space="0" w:color="auto"/>
        <w:left w:val="none" w:sz="0" w:space="0" w:color="auto"/>
        <w:bottom w:val="none" w:sz="0" w:space="0" w:color="auto"/>
        <w:right w:val="none" w:sz="0" w:space="0" w:color="auto"/>
      </w:divBdr>
    </w:div>
    <w:div w:id="990406626">
      <w:bodyDiv w:val="1"/>
      <w:marLeft w:val="0"/>
      <w:marRight w:val="0"/>
      <w:marTop w:val="0"/>
      <w:marBottom w:val="0"/>
      <w:divBdr>
        <w:top w:val="none" w:sz="0" w:space="0" w:color="auto"/>
        <w:left w:val="none" w:sz="0" w:space="0" w:color="auto"/>
        <w:bottom w:val="none" w:sz="0" w:space="0" w:color="auto"/>
        <w:right w:val="none" w:sz="0" w:space="0" w:color="auto"/>
      </w:divBdr>
    </w:div>
    <w:div w:id="1113477167">
      <w:bodyDiv w:val="1"/>
      <w:marLeft w:val="0"/>
      <w:marRight w:val="0"/>
      <w:marTop w:val="0"/>
      <w:marBottom w:val="0"/>
      <w:divBdr>
        <w:top w:val="none" w:sz="0" w:space="0" w:color="auto"/>
        <w:left w:val="none" w:sz="0" w:space="0" w:color="auto"/>
        <w:bottom w:val="none" w:sz="0" w:space="0" w:color="auto"/>
        <w:right w:val="none" w:sz="0" w:space="0" w:color="auto"/>
      </w:divBdr>
      <w:divsChild>
        <w:div w:id="1713571468">
          <w:marLeft w:val="0"/>
          <w:marRight w:val="0"/>
          <w:marTop w:val="0"/>
          <w:marBottom w:val="0"/>
          <w:divBdr>
            <w:top w:val="none" w:sz="0" w:space="0" w:color="auto"/>
            <w:left w:val="none" w:sz="0" w:space="0" w:color="auto"/>
            <w:bottom w:val="none" w:sz="0" w:space="0" w:color="auto"/>
            <w:right w:val="none" w:sz="0" w:space="0" w:color="auto"/>
          </w:divBdr>
          <w:divsChild>
            <w:div w:id="366296992">
              <w:marLeft w:val="0"/>
              <w:marRight w:val="0"/>
              <w:marTop w:val="0"/>
              <w:marBottom w:val="0"/>
              <w:divBdr>
                <w:top w:val="none" w:sz="0" w:space="0" w:color="auto"/>
                <w:left w:val="none" w:sz="0" w:space="0" w:color="auto"/>
                <w:bottom w:val="none" w:sz="0" w:space="0" w:color="auto"/>
                <w:right w:val="none" w:sz="0" w:space="0" w:color="auto"/>
              </w:divBdr>
            </w:div>
            <w:div w:id="366613158">
              <w:marLeft w:val="0"/>
              <w:marRight w:val="0"/>
              <w:marTop w:val="0"/>
              <w:marBottom w:val="0"/>
              <w:divBdr>
                <w:top w:val="none" w:sz="0" w:space="0" w:color="auto"/>
                <w:left w:val="none" w:sz="0" w:space="0" w:color="auto"/>
                <w:bottom w:val="none" w:sz="0" w:space="0" w:color="auto"/>
                <w:right w:val="none" w:sz="0" w:space="0" w:color="auto"/>
              </w:divBdr>
            </w:div>
            <w:div w:id="413205415">
              <w:marLeft w:val="0"/>
              <w:marRight w:val="0"/>
              <w:marTop w:val="0"/>
              <w:marBottom w:val="0"/>
              <w:divBdr>
                <w:top w:val="none" w:sz="0" w:space="0" w:color="auto"/>
                <w:left w:val="none" w:sz="0" w:space="0" w:color="auto"/>
                <w:bottom w:val="none" w:sz="0" w:space="0" w:color="auto"/>
                <w:right w:val="none" w:sz="0" w:space="0" w:color="auto"/>
              </w:divBdr>
            </w:div>
            <w:div w:id="523398825">
              <w:marLeft w:val="0"/>
              <w:marRight w:val="0"/>
              <w:marTop w:val="0"/>
              <w:marBottom w:val="0"/>
              <w:divBdr>
                <w:top w:val="none" w:sz="0" w:space="0" w:color="auto"/>
                <w:left w:val="none" w:sz="0" w:space="0" w:color="auto"/>
                <w:bottom w:val="none" w:sz="0" w:space="0" w:color="auto"/>
                <w:right w:val="none" w:sz="0" w:space="0" w:color="auto"/>
              </w:divBdr>
            </w:div>
            <w:div w:id="889347534">
              <w:marLeft w:val="0"/>
              <w:marRight w:val="0"/>
              <w:marTop w:val="0"/>
              <w:marBottom w:val="0"/>
              <w:divBdr>
                <w:top w:val="none" w:sz="0" w:space="0" w:color="auto"/>
                <w:left w:val="none" w:sz="0" w:space="0" w:color="auto"/>
                <w:bottom w:val="none" w:sz="0" w:space="0" w:color="auto"/>
                <w:right w:val="none" w:sz="0" w:space="0" w:color="auto"/>
              </w:divBdr>
            </w:div>
            <w:div w:id="1153181492">
              <w:marLeft w:val="0"/>
              <w:marRight w:val="0"/>
              <w:marTop w:val="0"/>
              <w:marBottom w:val="0"/>
              <w:divBdr>
                <w:top w:val="none" w:sz="0" w:space="0" w:color="auto"/>
                <w:left w:val="none" w:sz="0" w:space="0" w:color="auto"/>
                <w:bottom w:val="none" w:sz="0" w:space="0" w:color="auto"/>
                <w:right w:val="none" w:sz="0" w:space="0" w:color="auto"/>
              </w:divBdr>
            </w:div>
            <w:div w:id="1197936617">
              <w:marLeft w:val="0"/>
              <w:marRight w:val="0"/>
              <w:marTop w:val="0"/>
              <w:marBottom w:val="0"/>
              <w:divBdr>
                <w:top w:val="none" w:sz="0" w:space="0" w:color="auto"/>
                <w:left w:val="none" w:sz="0" w:space="0" w:color="auto"/>
                <w:bottom w:val="none" w:sz="0" w:space="0" w:color="auto"/>
                <w:right w:val="none" w:sz="0" w:space="0" w:color="auto"/>
              </w:divBdr>
            </w:div>
            <w:div w:id="1362391632">
              <w:marLeft w:val="0"/>
              <w:marRight w:val="0"/>
              <w:marTop w:val="0"/>
              <w:marBottom w:val="0"/>
              <w:divBdr>
                <w:top w:val="none" w:sz="0" w:space="0" w:color="auto"/>
                <w:left w:val="none" w:sz="0" w:space="0" w:color="auto"/>
                <w:bottom w:val="none" w:sz="0" w:space="0" w:color="auto"/>
                <w:right w:val="none" w:sz="0" w:space="0" w:color="auto"/>
              </w:divBdr>
            </w:div>
            <w:div w:id="1374039579">
              <w:marLeft w:val="0"/>
              <w:marRight w:val="0"/>
              <w:marTop w:val="0"/>
              <w:marBottom w:val="0"/>
              <w:divBdr>
                <w:top w:val="none" w:sz="0" w:space="0" w:color="auto"/>
                <w:left w:val="none" w:sz="0" w:space="0" w:color="auto"/>
                <w:bottom w:val="none" w:sz="0" w:space="0" w:color="auto"/>
                <w:right w:val="none" w:sz="0" w:space="0" w:color="auto"/>
              </w:divBdr>
            </w:div>
            <w:div w:id="1381512402">
              <w:marLeft w:val="0"/>
              <w:marRight w:val="0"/>
              <w:marTop w:val="0"/>
              <w:marBottom w:val="0"/>
              <w:divBdr>
                <w:top w:val="none" w:sz="0" w:space="0" w:color="auto"/>
                <w:left w:val="none" w:sz="0" w:space="0" w:color="auto"/>
                <w:bottom w:val="none" w:sz="0" w:space="0" w:color="auto"/>
                <w:right w:val="none" w:sz="0" w:space="0" w:color="auto"/>
              </w:divBdr>
            </w:div>
            <w:div w:id="1655177812">
              <w:marLeft w:val="0"/>
              <w:marRight w:val="0"/>
              <w:marTop w:val="0"/>
              <w:marBottom w:val="0"/>
              <w:divBdr>
                <w:top w:val="none" w:sz="0" w:space="0" w:color="auto"/>
                <w:left w:val="none" w:sz="0" w:space="0" w:color="auto"/>
                <w:bottom w:val="none" w:sz="0" w:space="0" w:color="auto"/>
                <w:right w:val="none" w:sz="0" w:space="0" w:color="auto"/>
              </w:divBdr>
            </w:div>
            <w:div w:id="1687321579">
              <w:marLeft w:val="0"/>
              <w:marRight w:val="0"/>
              <w:marTop w:val="0"/>
              <w:marBottom w:val="0"/>
              <w:divBdr>
                <w:top w:val="none" w:sz="0" w:space="0" w:color="auto"/>
                <w:left w:val="none" w:sz="0" w:space="0" w:color="auto"/>
                <w:bottom w:val="none" w:sz="0" w:space="0" w:color="auto"/>
                <w:right w:val="none" w:sz="0" w:space="0" w:color="auto"/>
              </w:divBdr>
            </w:div>
            <w:div w:id="1726442335">
              <w:marLeft w:val="0"/>
              <w:marRight w:val="0"/>
              <w:marTop w:val="0"/>
              <w:marBottom w:val="0"/>
              <w:divBdr>
                <w:top w:val="none" w:sz="0" w:space="0" w:color="auto"/>
                <w:left w:val="none" w:sz="0" w:space="0" w:color="auto"/>
                <w:bottom w:val="none" w:sz="0" w:space="0" w:color="auto"/>
                <w:right w:val="none" w:sz="0" w:space="0" w:color="auto"/>
              </w:divBdr>
            </w:div>
            <w:div w:id="1839684848">
              <w:marLeft w:val="0"/>
              <w:marRight w:val="0"/>
              <w:marTop w:val="0"/>
              <w:marBottom w:val="0"/>
              <w:divBdr>
                <w:top w:val="none" w:sz="0" w:space="0" w:color="auto"/>
                <w:left w:val="none" w:sz="0" w:space="0" w:color="auto"/>
                <w:bottom w:val="none" w:sz="0" w:space="0" w:color="auto"/>
                <w:right w:val="none" w:sz="0" w:space="0" w:color="auto"/>
              </w:divBdr>
            </w:div>
            <w:div w:id="1844051972">
              <w:marLeft w:val="0"/>
              <w:marRight w:val="0"/>
              <w:marTop w:val="0"/>
              <w:marBottom w:val="0"/>
              <w:divBdr>
                <w:top w:val="none" w:sz="0" w:space="0" w:color="auto"/>
                <w:left w:val="none" w:sz="0" w:space="0" w:color="auto"/>
                <w:bottom w:val="none" w:sz="0" w:space="0" w:color="auto"/>
                <w:right w:val="none" w:sz="0" w:space="0" w:color="auto"/>
              </w:divBdr>
            </w:div>
            <w:div w:id="1862819870">
              <w:marLeft w:val="0"/>
              <w:marRight w:val="0"/>
              <w:marTop w:val="0"/>
              <w:marBottom w:val="0"/>
              <w:divBdr>
                <w:top w:val="none" w:sz="0" w:space="0" w:color="auto"/>
                <w:left w:val="none" w:sz="0" w:space="0" w:color="auto"/>
                <w:bottom w:val="none" w:sz="0" w:space="0" w:color="auto"/>
                <w:right w:val="none" w:sz="0" w:space="0" w:color="auto"/>
              </w:divBdr>
            </w:div>
            <w:div w:id="1890607394">
              <w:marLeft w:val="0"/>
              <w:marRight w:val="0"/>
              <w:marTop w:val="0"/>
              <w:marBottom w:val="0"/>
              <w:divBdr>
                <w:top w:val="none" w:sz="0" w:space="0" w:color="auto"/>
                <w:left w:val="none" w:sz="0" w:space="0" w:color="auto"/>
                <w:bottom w:val="none" w:sz="0" w:space="0" w:color="auto"/>
                <w:right w:val="none" w:sz="0" w:space="0" w:color="auto"/>
              </w:divBdr>
            </w:div>
            <w:div w:id="1893273853">
              <w:marLeft w:val="0"/>
              <w:marRight w:val="0"/>
              <w:marTop w:val="0"/>
              <w:marBottom w:val="0"/>
              <w:divBdr>
                <w:top w:val="none" w:sz="0" w:space="0" w:color="auto"/>
                <w:left w:val="none" w:sz="0" w:space="0" w:color="auto"/>
                <w:bottom w:val="none" w:sz="0" w:space="0" w:color="auto"/>
                <w:right w:val="none" w:sz="0" w:space="0" w:color="auto"/>
              </w:divBdr>
            </w:div>
            <w:div w:id="2065057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921938">
      <w:bodyDiv w:val="1"/>
      <w:marLeft w:val="0"/>
      <w:marRight w:val="0"/>
      <w:marTop w:val="0"/>
      <w:marBottom w:val="0"/>
      <w:divBdr>
        <w:top w:val="none" w:sz="0" w:space="0" w:color="auto"/>
        <w:left w:val="none" w:sz="0" w:space="0" w:color="auto"/>
        <w:bottom w:val="none" w:sz="0" w:space="0" w:color="auto"/>
        <w:right w:val="none" w:sz="0" w:space="0" w:color="auto"/>
      </w:divBdr>
    </w:div>
    <w:div w:id="1596326475">
      <w:bodyDiv w:val="1"/>
      <w:marLeft w:val="0"/>
      <w:marRight w:val="0"/>
      <w:marTop w:val="0"/>
      <w:marBottom w:val="0"/>
      <w:divBdr>
        <w:top w:val="none" w:sz="0" w:space="0" w:color="auto"/>
        <w:left w:val="none" w:sz="0" w:space="0" w:color="auto"/>
        <w:bottom w:val="none" w:sz="0" w:space="0" w:color="auto"/>
        <w:right w:val="none" w:sz="0" w:space="0" w:color="auto"/>
      </w:divBdr>
    </w:div>
    <w:div w:id="1755931665">
      <w:bodyDiv w:val="1"/>
      <w:marLeft w:val="0"/>
      <w:marRight w:val="0"/>
      <w:marTop w:val="0"/>
      <w:marBottom w:val="0"/>
      <w:divBdr>
        <w:top w:val="none" w:sz="0" w:space="0" w:color="auto"/>
        <w:left w:val="none" w:sz="0" w:space="0" w:color="auto"/>
        <w:bottom w:val="none" w:sz="0" w:space="0" w:color="auto"/>
        <w:right w:val="none" w:sz="0" w:space="0" w:color="auto"/>
      </w:divBdr>
    </w:div>
    <w:div w:id="1812286898">
      <w:bodyDiv w:val="1"/>
      <w:marLeft w:val="0"/>
      <w:marRight w:val="0"/>
      <w:marTop w:val="0"/>
      <w:marBottom w:val="0"/>
      <w:divBdr>
        <w:top w:val="none" w:sz="0" w:space="0" w:color="auto"/>
        <w:left w:val="none" w:sz="0" w:space="0" w:color="auto"/>
        <w:bottom w:val="none" w:sz="0" w:space="0" w:color="auto"/>
        <w:right w:val="none" w:sz="0" w:space="0" w:color="auto"/>
      </w:divBdr>
      <w:divsChild>
        <w:div w:id="1404183701">
          <w:marLeft w:val="0"/>
          <w:marRight w:val="0"/>
          <w:marTop w:val="0"/>
          <w:marBottom w:val="0"/>
          <w:divBdr>
            <w:top w:val="none" w:sz="0" w:space="0" w:color="auto"/>
            <w:left w:val="none" w:sz="0" w:space="0" w:color="auto"/>
            <w:bottom w:val="none" w:sz="0" w:space="0" w:color="auto"/>
            <w:right w:val="none" w:sz="0" w:space="0" w:color="auto"/>
          </w:divBdr>
        </w:div>
      </w:divsChild>
    </w:div>
    <w:div w:id="2117482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http://webupload.admin.dongao.com/biz/handout/img/2019/20190710/20190710162406786001.png"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http://webupload.admin.dongao.com/biz/handout/img/2019/20190710/20190710162406261003.png"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http://webupload.admin.dongao.com/biz/handout/img/2019/20190710/20190710162406142002.png"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02EED7-A63E-4B6F-8ECD-D7A4F03C92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572</Words>
  <Characters>3267</Characters>
  <Application>Microsoft Office Word</Application>
  <DocSecurity>0</DocSecurity>
  <Lines>27</Lines>
  <Paragraphs>7</Paragraphs>
  <ScaleCrop>false</ScaleCrop>
  <Company/>
  <LinksUpToDate>false</LinksUpToDate>
  <CharactersWithSpaces>3832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孙晓雪</dc:creator>
  <cp:keywords/>
  <dc:description/>
  <cp:lastModifiedBy>Jeffery Ho</cp:lastModifiedBy>
  <cp:revision>2</cp:revision>
  <cp:lastPrinted>2019-03-21T09:01:00Z</cp:lastPrinted>
  <dcterms:created xsi:type="dcterms:W3CDTF">2020-06-13T15:21:00Z</dcterms:created>
  <dcterms:modified xsi:type="dcterms:W3CDTF">2020-06-13T15:21:00Z</dcterms:modified>
</cp:coreProperties>
</file>