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5ABC2" w14:textId="77777777" w:rsidR="00792FB1" w:rsidRDefault="00792FB1" w:rsidP="00792FB1">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第六编·第二十章·企业内部控制审计</w:t>
      </w:r>
    </w:p>
    <w:p w14:paraId="524AFF8D" w14:textId="77777777" w:rsidR="00792FB1" w:rsidRDefault="00792FB1" w:rsidP="00792FB1">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23AA867" w14:textId="77777777" w:rsidR="00792FB1" w:rsidRDefault="00792FB1" w:rsidP="00792FB1">
      <w:pPr>
        <w:pStyle w:val="aa"/>
        <w:shd w:val="clear" w:color="auto" w:fill="FFFFFF"/>
        <w:spacing w:before="312" w:beforeAutospacing="0" w:after="312" w:afterAutospacing="0"/>
        <w:ind w:firstLine="562"/>
        <w:jc w:val="center"/>
        <w:rPr>
          <w:rFonts w:ascii="Calibri" w:eastAsia="微软雅黑" w:hAnsi="Calibri" w:cs="Calibri"/>
          <w:color w:val="3F3F3F"/>
          <w:sz w:val="21"/>
          <w:szCs w:val="21"/>
        </w:rPr>
      </w:pPr>
      <w:r>
        <w:rPr>
          <w:rFonts w:cs="Calibri" w:hint="eastAsia"/>
          <w:b/>
          <w:bCs/>
          <w:color w:val="3F3F3F"/>
          <w:sz w:val="28"/>
          <w:szCs w:val="28"/>
        </w:rPr>
        <w:t>第一部分　内部控制审计的基本理论</w:t>
      </w:r>
    </w:p>
    <w:p w14:paraId="3F5B4BA3" w14:textId="77777777" w:rsidR="00792FB1" w:rsidRDefault="00792FB1" w:rsidP="00792FB1">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四、控制有效性测试的相关理论</w:t>
      </w:r>
    </w:p>
    <w:p w14:paraId="2C718C59"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1.内部控制的有效性的含义</w:t>
      </w:r>
    </w:p>
    <w:p w14:paraId="1B220DE6"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内部控制的有效性包括内部控制</w:t>
      </w:r>
      <w:r>
        <w:rPr>
          <w:rFonts w:cs="Calibri" w:hint="eastAsia"/>
          <w:b/>
          <w:bCs/>
          <w:color w:val="FF0000"/>
          <w:sz w:val="21"/>
          <w:szCs w:val="21"/>
        </w:rPr>
        <w:t>设计的有效性</w:t>
      </w:r>
      <w:r>
        <w:rPr>
          <w:rFonts w:cs="Calibri" w:hint="eastAsia"/>
          <w:color w:val="3F3F3F"/>
          <w:sz w:val="21"/>
          <w:szCs w:val="21"/>
        </w:rPr>
        <w:t>和内部控制</w:t>
      </w:r>
      <w:r>
        <w:rPr>
          <w:rFonts w:cs="Calibri" w:hint="eastAsia"/>
          <w:b/>
          <w:bCs/>
          <w:color w:val="FF0000"/>
          <w:sz w:val="21"/>
          <w:szCs w:val="21"/>
        </w:rPr>
        <w:t>运行的有效性</w:t>
      </w:r>
      <w:r>
        <w:rPr>
          <w:rFonts w:cs="Calibri" w:hint="eastAsia"/>
          <w:color w:val="3F3F3F"/>
          <w:sz w:val="21"/>
          <w:szCs w:val="21"/>
        </w:rPr>
        <w:t>。</w:t>
      </w:r>
    </w:p>
    <w:p w14:paraId="047BE2B0"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2.与控制相关的风险</w:t>
      </w:r>
    </w:p>
    <w:p w14:paraId="1FB41AE9"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与控制相关的风险</w:t>
      </w:r>
      <w:r>
        <w:rPr>
          <w:rFonts w:cs="Calibri" w:hint="eastAsia"/>
          <w:b/>
          <w:bCs/>
          <w:color w:val="FF0000"/>
          <w:sz w:val="21"/>
          <w:szCs w:val="21"/>
        </w:rPr>
        <w:t>越高</w:t>
      </w:r>
      <w:r>
        <w:rPr>
          <w:rFonts w:cs="Calibri" w:hint="eastAsia"/>
          <w:color w:val="3F3F3F"/>
          <w:sz w:val="21"/>
          <w:szCs w:val="21"/>
        </w:rPr>
        <w:t>，注册会计师需要获取的审计证据就</w:t>
      </w:r>
      <w:r>
        <w:rPr>
          <w:rFonts w:cs="Calibri" w:hint="eastAsia"/>
          <w:b/>
          <w:bCs/>
          <w:color w:val="FF0000"/>
          <w:sz w:val="21"/>
          <w:szCs w:val="21"/>
        </w:rPr>
        <w:t>越多</w:t>
      </w:r>
      <w:r>
        <w:rPr>
          <w:rFonts w:cs="Calibri" w:hint="eastAsia"/>
          <w:color w:val="3F3F3F"/>
          <w:sz w:val="21"/>
          <w:szCs w:val="21"/>
        </w:rPr>
        <w:t>。</w:t>
      </w:r>
    </w:p>
    <w:p w14:paraId="5B790D1F" w14:textId="77777777" w:rsidR="00792FB1" w:rsidRDefault="00792FB1" w:rsidP="00792FB1">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DF94C1B" w14:textId="77777777" w:rsidR="00792FB1" w:rsidRDefault="00792FB1" w:rsidP="00792FB1">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6FE98C96"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下列各项中，属于与控制相关的风险的影响因素的有（　　）。</w:t>
      </w:r>
    </w:p>
    <w:p w14:paraId="6DC33C18"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A.该项控制是人工控制还是自动化控制</w:t>
      </w:r>
    </w:p>
    <w:p w14:paraId="75E54A3E"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B.自上次审计以来控制或流程是否发生变化</w:t>
      </w:r>
    </w:p>
    <w:p w14:paraId="785E3185"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C.该项控制在运行过程中依赖判断的程度</w:t>
      </w:r>
    </w:p>
    <w:p w14:paraId="509EA50A"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D.该项控制的性质及其执行频率</w:t>
      </w:r>
    </w:p>
    <w:p w14:paraId="712E55DC"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19A0C1F9"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3.测试控制有效性的程序的性质</w:t>
      </w:r>
      <w:r>
        <w:rPr>
          <w:rFonts w:cs="Calibri" w:hint="eastAsia"/>
          <w:b/>
          <w:bCs/>
          <w:color w:val="FF0000"/>
          <w:sz w:val="21"/>
          <w:szCs w:val="21"/>
        </w:rPr>
        <w:t>【简答题考点】</w:t>
      </w:r>
    </w:p>
    <w:tbl>
      <w:tblPr>
        <w:tblW w:w="8505" w:type="dxa"/>
        <w:jc w:val="center"/>
        <w:tblCellMar>
          <w:left w:w="0" w:type="dxa"/>
          <w:right w:w="0" w:type="dxa"/>
        </w:tblCellMar>
        <w:tblLook w:val="04A0" w:firstRow="1" w:lastRow="0" w:firstColumn="1" w:lastColumn="0" w:noHBand="0" w:noVBand="1"/>
      </w:tblPr>
      <w:tblGrid>
        <w:gridCol w:w="1007"/>
        <w:gridCol w:w="7498"/>
      </w:tblGrid>
      <w:tr w:rsidR="00792FB1" w14:paraId="56C27E5A" w14:textId="77777777" w:rsidTr="00792FB1">
        <w:trPr>
          <w:trHeight w:val="197"/>
          <w:jc w:val="center"/>
        </w:trPr>
        <w:tc>
          <w:tcPr>
            <w:tcW w:w="10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3E3A69"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程序</w:t>
            </w:r>
          </w:p>
        </w:tc>
        <w:tc>
          <w:tcPr>
            <w:tcW w:w="74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9539687"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792FB1" w14:paraId="2B52D288" w14:textId="77777777" w:rsidTr="00792FB1">
        <w:trPr>
          <w:trHeight w:val="570"/>
          <w:jc w:val="center"/>
        </w:trPr>
        <w:tc>
          <w:tcPr>
            <w:tcW w:w="10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761D35"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询问</w:t>
            </w:r>
          </w:p>
        </w:tc>
        <w:tc>
          <w:tcPr>
            <w:tcW w:w="74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4B6448"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仅实施询问</w:t>
            </w:r>
            <w:r>
              <w:rPr>
                <w:rFonts w:cs="Calibri" w:hint="eastAsia"/>
                <w:color w:val="333333"/>
                <w:sz w:val="21"/>
                <w:szCs w:val="21"/>
              </w:rPr>
              <w:t>程序不能为某一特定控制的有效性提供充分适当的证据，必须与其他测试手段结合使用才能发挥作用</w:t>
            </w:r>
          </w:p>
        </w:tc>
      </w:tr>
      <w:tr w:rsidR="00792FB1" w14:paraId="6AABA632" w14:textId="77777777" w:rsidTr="00792FB1">
        <w:trPr>
          <w:trHeight w:val="60"/>
          <w:jc w:val="center"/>
        </w:trPr>
        <w:tc>
          <w:tcPr>
            <w:tcW w:w="10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6383F9"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观察</w:t>
            </w:r>
          </w:p>
        </w:tc>
        <w:tc>
          <w:tcPr>
            <w:tcW w:w="74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CAB5C2"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观察是测试运行不留下书面记录的控制的有效方法，也可运用于测试对实物的控制</w:t>
            </w:r>
          </w:p>
        </w:tc>
      </w:tr>
      <w:tr w:rsidR="00792FB1" w14:paraId="3E2878C6" w14:textId="77777777" w:rsidTr="00792FB1">
        <w:trPr>
          <w:trHeight w:val="938"/>
          <w:jc w:val="center"/>
        </w:trPr>
        <w:tc>
          <w:tcPr>
            <w:tcW w:w="10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13BA62"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检查</w:t>
            </w:r>
          </w:p>
        </w:tc>
        <w:tc>
          <w:tcPr>
            <w:tcW w:w="74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E222DC"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（1）检查记录和文件可以提供可靠程度不同的审计证据，审计证据的可靠性取决于记录或文件的性质和来源，而在</w:t>
            </w:r>
            <w:r>
              <w:rPr>
                <w:rFonts w:cs="Calibri" w:hint="eastAsia"/>
                <w:b/>
                <w:bCs/>
                <w:color w:val="FF0000"/>
                <w:sz w:val="21"/>
                <w:szCs w:val="21"/>
              </w:rPr>
              <w:t>检查内部记录和文件</w:t>
            </w:r>
            <w:r>
              <w:rPr>
                <w:rFonts w:cs="Calibri" w:hint="eastAsia"/>
                <w:color w:val="333333"/>
                <w:sz w:val="21"/>
                <w:szCs w:val="21"/>
              </w:rPr>
              <w:t>时，其可靠性则取决于生成该记录或文件的内部控制的有效性</w:t>
            </w:r>
          </w:p>
          <w:p w14:paraId="776022EB"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（2）通过检查</w:t>
            </w:r>
            <w:r>
              <w:rPr>
                <w:rFonts w:cs="Calibri" w:hint="eastAsia"/>
                <w:b/>
                <w:bCs/>
                <w:color w:val="FF0000"/>
                <w:sz w:val="21"/>
                <w:szCs w:val="21"/>
              </w:rPr>
              <w:t>凭证签名</w:t>
            </w:r>
            <w:r>
              <w:rPr>
                <w:rFonts w:cs="Calibri" w:hint="eastAsia"/>
                <w:color w:val="333333"/>
                <w:sz w:val="21"/>
                <w:szCs w:val="21"/>
              </w:rPr>
              <w:t>获得的审计证据的质量可能不具有说服力</w:t>
            </w:r>
          </w:p>
        </w:tc>
      </w:tr>
      <w:tr w:rsidR="00792FB1" w14:paraId="5B30385B" w14:textId="77777777" w:rsidTr="00792FB1">
        <w:trPr>
          <w:trHeight w:val="814"/>
          <w:jc w:val="center"/>
        </w:trPr>
        <w:tc>
          <w:tcPr>
            <w:tcW w:w="10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AE10E2"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重新执行</w:t>
            </w:r>
          </w:p>
        </w:tc>
        <w:tc>
          <w:tcPr>
            <w:tcW w:w="74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CA767B"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重新执行的目的是评价控制的有效性</w:t>
            </w:r>
            <w:r>
              <w:rPr>
                <w:rFonts w:cs="Calibri" w:hint="eastAsia"/>
                <w:b/>
                <w:bCs/>
                <w:color w:val="FF0000"/>
                <w:sz w:val="21"/>
                <w:szCs w:val="21"/>
              </w:rPr>
              <w:t>而不是</w:t>
            </w:r>
            <w:r>
              <w:rPr>
                <w:rFonts w:cs="Calibri" w:hint="eastAsia"/>
                <w:color w:val="333333"/>
                <w:sz w:val="21"/>
                <w:szCs w:val="21"/>
              </w:rPr>
              <w:t>测试特定交易或余额的存在或准确性，即</w:t>
            </w:r>
            <w:r>
              <w:rPr>
                <w:rFonts w:cs="Calibri" w:hint="eastAsia"/>
                <w:b/>
                <w:bCs/>
                <w:color w:val="FF0000"/>
                <w:sz w:val="21"/>
                <w:szCs w:val="21"/>
              </w:rPr>
              <w:t>定性而非定量</w:t>
            </w:r>
            <w:r>
              <w:rPr>
                <w:rFonts w:cs="Calibri" w:hint="eastAsia"/>
                <w:color w:val="333333"/>
                <w:sz w:val="21"/>
                <w:szCs w:val="21"/>
              </w:rPr>
              <w:t>，因此一般</w:t>
            </w:r>
            <w:r>
              <w:rPr>
                <w:rFonts w:cs="Calibri" w:hint="eastAsia"/>
                <w:b/>
                <w:bCs/>
                <w:color w:val="FF0000"/>
                <w:sz w:val="21"/>
                <w:szCs w:val="21"/>
              </w:rPr>
              <w:t>不必选取大量</w:t>
            </w:r>
            <w:r>
              <w:rPr>
                <w:rFonts w:cs="Calibri" w:hint="eastAsia"/>
                <w:color w:val="333333"/>
                <w:sz w:val="21"/>
                <w:szCs w:val="21"/>
              </w:rPr>
              <w:t>的项目，也不必特意选取</w:t>
            </w:r>
            <w:r>
              <w:rPr>
                <w:rFonts w:cs="Calibri" w:hint="eastAsia"/>
                <w:b/>
                <w:bCs/>
                <w:color w:val="FF0000"/>
                <w:sz w:val="21"/>
                <w:szCs w:val="21"/>
              </w:rPr>
              <w:t>金额重大</w:t>
            </w:r>
            <w:r>
              <w:rPr>
                <w:rFonts w:cs="Calibri" w:hint="eastAsia"/>
                <w:color w:val="333333"/>
                <w:sz w:val="21"/>
                <w:szCs w:val="21"/>
              </w:rPr>
              <w:t>的项目进行测试</w:t>
            </w:r>
          </w:p>
        </w:tc>
      </w:tr>
    </w:tbl>
    <w:p w14:paraId="63EED5A5"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w:t>
      </w:r>
    </w:p>
    <w:p w14:paraId="5C870BEF"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检查程序与重新执行程序的辨析：</w:t>
      </w:r>
    </w:p>
    <w:p w14:paraId="43E1A65E"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检查</w:t>
      </w:r>
      <w:r>
        <w:rPr>
          <w:rFonts w:cs="Calibri" w:hint="eastAsia"/>
          <w:color w:val="3F3F3F"/>
          <w:sz w:val="21"/>
          <w:szCs w:val="21"/>
        </w:rPr>
        <w:t>：测试管理层审核银行余额调节表这一控制时，根据测试目的，注册会计师可以检查银行余额调节表是否存在，浏览调节事项是否得到适当处理，以及检查调节表上是否有编制者和审批者的签字。</w:t>
      </w:r>
    </w:p>
    <w:p w14:paraId="42B8361F"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重新执行</w:t>
      </w:r>
      <w:r>
        <w:rPr>
          <w:rFonts w:cs="Calibri" w:hint="eastAsia"/>
          <w:color w:val="3F3F3F"/>
          <w:sz w:val="21"/>
          <w:szCs w:val="21"/>
        </w:rPr>
        <w:t>：重新执行审核者实施的步骤，如将调节表上的金额与相关支持性文件进行核对；查看与非正常调节项目相关的支持性文件及对有关调节事项做进一步调查等。</w:t>
      </w:r>
    </w:p>
    <w:p w14:paraId="3001122A"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4.控制测试的时间安排</w:t>
      </w:r>
      <w:r>
        <w:rPr>
          <w:rFonts w:cs="Calibri" w:hint="eastAsia"/>
          <w:b/>
          <w:bCs/>
          <w:color w:val="FF0000"/>
          <w:sz w:val="21"/>
          <w:szCs w:val="21"/>
        </w:rPr>
        <w:t>【多选题/简答题考点】</w:t>
      </w:r>
    </w:p>
    <w:tbl>
      <w:tblPr>
        <w:tblW w:w="8505" w:type="dxa"/>
        <w:jc w:val="center"/>
        <w:tblCellMar>
          <w:left w:w="0" w:type="dxa"/>
          <w:right w:w="0" w:type="dxa"/>
        </w:tblCellMar>
        <w:tblLook w:val="04A0" w:firstRow="1" w:lastRow="0" w:firstColumn="1" w:lastColumn="0" w:noHBand="0" w:noVBand="1"/>
      </w:tblPr>
      <w:tblGrid>
        <w:gridCol w:w="1101"/>
        <w:gridCol w:w="7404"/>
      </w:tblGrid>
      <w:tr w:rsidR="00792FB1" w14:paraId="77D75F80" w14:textId="77777777" w:rsidTr="00792FB1">
        <w:trPr>
          <w:trHeight w:val="117"/>
          <w:jc w:val="center"/>
        </w:trPr>
        <w:tc>
          <w:tcPr>
            <w:tcW w:w="11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229300" w14:textId="77777777" w:rsidR="00792FB1" w:rsidRDefault="00792FB1" w:rsidP="00792FB1">
            <w:pPr>
              <w:rPr>
                <w:rFonts w:eastAsia="微软雅黑" w:cs="Calibri"/>
                <w:color w:val="3F3F3F"/>
                <w:szCs w:val="21"/>
              </w:rPr>
            </w:pPr>
          </w:p>
        </w:tc>
        <w:tc>
          <w:tcPr>
            <w:tcW w:w="74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6E3441"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792FB1" w14:paraId="71A7437E" w14:textId="77777777" w:rsidTr="00792FB1">
        <w:trPr>
          <w:trHeight w:val="132"/>
          <w:jc w:val="center"/>
        </w:trPr>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77B30E"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总体原则</w:t>
            </w:r>
          </w:p>
        </w:tc>
        <w:tc>
          <w:tcPr>
            <w:tcW w:w="74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1CD5CF"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（1）对于内部控制审计业务，注册会计师应当获取内部控制在基准日之前一段</w:t>
            </w:r>
            <w:r>
              <w:rPr>
                <w:rFonts w:cs="Calibri" w:hint="eastAsia"/>
                <w:b/>
                <w:bCs/>
                <w:color w:val="FF0000"/>
                <w:sz w:val="21"/>
                <w:szCs w:val="21"/>
              </w:rPr>
              <w:t>足够长的期间</w:t>
            </w:r>
            <w:r>
              <w:rPr>
                <w:rFonts w:cs="Calibri" w:hint="eastAsia"/>
                <w:color w:val="333333"/>
                <w:sz w:val="21"/>
                <w:szCs w:val="21"/>
              </w:rPr>
              <w:t>内有效运行的审计证据</w:t>
            </w:r>
          </w:p>
          <w:p w14:paraId="6843491A"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（2）在整合审计中，注册会计师控制测试所涵盖的期间应尽量与财务报表审计</w:t>
            </w:r>
            <w:r>
              <w:rPr>
                <w:rFonts w:cs="Calibri" w:hint="eastAsia"/>
                <w:color w:val="333333"/>
                <w:sz w:val="21"/>
                <w:szCs w:val="21"/>
              </w:rPr>
              <w:lastRenderedPageBreak/>
              <w:t>中拟信赖内部控制的期间</w:t>
            </w:r>
            <w:r>
              <w:rPr>
                <w:rFonts w:cs="Calibri" w:hint="eastAsia"/>
                <w:b/>
                <w:bCs/>
                <w:color w:val="FF0000"/>
                <w:sz w:val="21"/>
                <w:szCs w:val="21"/>
              </w:rPr>
              <w:t>保持一致</w:t>
            </w:r>
          </w:p>
          <w:p w14:paraId="785861A7"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（3）对控制有效性测试的实施时间</w:t>
            </w:r>
            <w:r>
              <w:rPr>
                <w:rFonts w:cs="Calibri" w:hint="eastAsia"/>
                <w:b/>
                <w:bCs/>
                <w:color w:val="FF0000"/>
                <w:sz w:val="21"/>
                <w:szCs w:val="21"/>
              </w:rPr>
              <w:t>越接近</w:t>
            </w:r>
            <w:r>
              <w:rPr>
                <w:rFonts w:cs="Calibri" w:hint="eastAsia"/>
                <w:color w:val="333333"/>
                <w:sz w:val="21"/>
                <w:szCs w:val="21"/>
              </w:rPr>
              <w:t>基准日，提供的控制有效性的审计证据</w:t>
            </w:r>
            <w:r>
              <w:rPr>
                <w:rFonts w:cs="Calibri" w:hint="eastAsia"/>
                <w:b/>
                <w:bCs/>
                <w:color w:val="FF0000"/>
                <w:sz w:val="21"/>
                <w:szCs w:val="21"/>
              </w:rPr>
              <w:t>越有力</w:t>
            </w:r>
          </w:p>
        </w:tc>
      </w:tr>
      <w:tr w:rsidR="00792FB1" w14:paraId="522E3EF0" w14:textId="77777777" w:rsidTr="00792FB1">
        <w:trPr>
          <w:trHeight w:val="804"/>
          <w:jc w:val="center"/>
        </w:trPr>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D5347B"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时间安排方案</w:t>
            </w:r>
          </w:p>
        </w:tc>
        <w:tc>
          <w:tcPr>
            <w:tcW w:w="74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4B2853"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在整合审计中测试控制在整个会计年度的运行有效性时：</w:t>
            </w:r>
          </w:p>
          <w:p w14:paraId="6C56E997"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（1）注册会计师可以进行</w:t>
            </w:r>
            <w:r>
              <w:rPr>
                <w:rFonts w:cs="Calibri" w:hint="eastAsia"/>
                <w:b/>
                <w:bCs/>
                <w:color w:val="FF0000"/>
                <w:sz w:val="21"/>
                <w:szCs w:val="21"/>
              </w:rPr>
              <w:t>期中测试</w:t>
            </w:r>
            <w:r>
              <w:rPr>
                <w:rFonts w:cs="Calibri" w:hint="eastAsia"/>
                <w:color w:val="333333"/>
                <w:sz w:val="21"/>
                <w:szCs w:val="21"/>
              </w:rPr>
              <w:t>，然后对剩余期间实施</w:t>
            </w:r>
            <w:r>
              <w:rPr>
                <w:rFonts w:cs="Calibri" w:hint="eastAsia"/>
                <w:b/>
                <w:bCs/>
                <w:color w:val="FF0000"/>
                <w:sz w:val="21"/>
                <w:szCs w:val="21"/>
              </w:rPr>
              <w:t>前推测试</w:t>
            </w:r>
          </w:p>
          <w:p w14:paraId="5D4C4635"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（2）将样本分成</w:t>
            </w:r>
            <w:r>
              <w:rPr>
                <w:rFonts w:cs="Calibri" w:hint="eastAsia"/>
                <w:b/>
                <w:bCs/>
                <w:color w:val="FF0000"/>
                <w:sz w:val="21"/>
                <w:szCs w:val="21"/>
              </w:rPr>
              <w:t>两部分</w:t>
            </w:r>
            <w:r>
              <w:rPr>
                <w:rFonts w:cs="Calibri" w:hint="eastAsia"/>
                <w:color w:val="333333"/>
                <w:sz w:val="21"/>
                <w:szCs w:val="21"/>
              </w:rPr>
              <w:t>，一部分在期中测试，剩余部分在临近年末的期间测试</w:t>
            </w:r>
          </w:p>
        </w:tc>
      </w:tr>
    </w:tbl>
    <w:p w14:paraId="5331554D" w14:textId="77777777" w:rsidR="00792FB1" w:rsidRDefault="00792FB1" w:rsidP="00792FB1">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"http://webupload.admin.dongao.com/biz/handout/img/2019/20190709/20190709200244445001.png"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32.5pt">
            <v:imagedata r:id="rId7" r:href="rId8"/>
          </v:shape>
        </w:pict>
      </w:r>
      <w:r>
        <w:rPr>
          <w:rFonts w:cs="Calibri"/>
          <w:color w:val="3F3F3F"/>
          <w:sz w:val="21"/>
          <w:szCs w:val="21"/>
        </w:rPr>
        <w:fldChar w:fldCharType="end"/>
      </w:r>
    </w:p>
    <w:p w14:paraId="26A25C31"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【案例2】</w:t>
      </w:r>
    </w:p>
    <w:p w14:paraId="3DB788E3"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注册会计师对X公司（</w:t>
      </w:r>
      <w:r>
        <w:rPr>
          <w:rFonts w:cs="Calibri" w:hint="eastAsia"/>
          <w:b/>
          <w:bCs/>
          <w:color w:val="FF0000"/>
          <w:sz w:val="21"/>
          <w:szCs w:val="21"/>
        </w:rPr>
        <w:t>基准日</w:t>
      </w:r>
      <w:r>
        <w:rPr>
          <w:rFonts w:cs="Calibri" w:hint="eastAsia"/>
          <w:color w:val="3F3F3F"/>
          <w:sz w:val="21"/>
          <w:szCs w:val="21"/>
        </w:rPr>
        <w:t>为12月31日）截至9月30日的应收账款流程中的关键控制实施了测试。在实施年末审计程序时，注册会计师考虑到自实施期中测试之后到基准日（即剩余期间）之间的间隔长度，以及在制定财务报表审计计划时拟对这些控制取得较高程度的保证，注册会计师决定实施一定的前推测试。注册会计师制定的前推测试计划如下：</w:t>
      </w:r>
    </w:p>
    <w:tbl>
      <w:tblPr>
        <w:tblW w:w="8500" w:type="dxa"/>
        <w:jc w:val="center"/>
        <w:tblCellMar>
          <w:left w:w="0" w:type="dxa"/>
          <w:right w:w="0" w:type="dxa"/>
        </w:tblCellMar>
        <w:tblLook w:val="04A0" w:firstRow="1" w:lastRow="0" w:firstColumn="1" w:lastColumn="0" w:noHBand="0" w:noVBand="1"/>
      </w:tblPr>
      <w:tblGrid>
        <w:gridCol w:w="560"/>
        <w:gridCol w:w="1540"/>
        <w:gridCol w:w="6400"/>
      </w:tblGrid>
      <w:tr w:rsidR="00792FB1" w14:paraId="1E1FF461" w14:textId="77777777" w:rsidTr="00792FB1">
        <w:trPr>
          <w:trHeight w:val="233"/>
          <w:jc w:val="center"/>
        </w:trPr>
        <w:tc>
          <w:tcPr>
            <w:tcW w:w="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0B3213" w14:textId="77777777" w:rsidR="00792FB1" w:rsidRDefault="00792FB1" w:rsidP="00792FB1">
            <w:pPr>
              <w:rPr>
                <w:rFonts w:eastAsia="微软雅黑" w:cs="Calibri"/>
                <w:color w:val="3F3F3F"/>
                <w:szCs w:val="21"/>
              </w:rPr>
            </w:pPr>
          </w:p>
        </w:tc>
        <w:tc>
          <w:tcPr>
            <w:tcW w:w="15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98CD2ED" w14:textId="77777777" w:rsidR="00792FB1" w:rsidRDefault="00792FB1" w:rsidP="00792FB1">
            <w:pPr>
              <w:rPr>
                <w:rFonts w:ascii="Times New Roman" w:eastAsia="Times New Roman" w:hAnsi="Times New Roman"/>
                <w:sz w:val="20"/>
                <w:szCs w:val="20"/>
              </w:rPr>
            </w:pPr>
          </w:p>
        </w:tc>
        <w:tc>
          <w:tcPr>
            <w:tcW w:w="64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A84A7A4"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792FB1" w14:paraId="7906A290" w14:textId="77777777" w:rsidTr="00792FB1">
        <w:trPr>
          <w:trHeight w:val="452"/>
          <w:jc w:val="center"/>
        </w:trPr>
        <w:tc>
          <w:tcPr>
            <w:tcW w:w="56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EEF0C0"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控制①</w:t>
            </w: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96C27A"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控制描述</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AF9C28"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应收账款会计每天将分类账中的收款记录与在线银行收款记录进行核对，并调查任何超过某一金额的差异</w:t>
            </w:r>
          </w:p>
        </w:tc>
      </w:tr>
      <w:tr w:rsidR="00792FB1" w14:paraId="155AAD43" w14:textId="77777777" w:rsidTr="00792FB1">
        <w:trPr>
          <w:trHeight w:val="347"/>
          <w:jc w:val="center"/>
        </w:trPr>
        <w:tc>
          <w:tcPr>
            <w:tcW w:w="0" w:type="auto"/>
            <w:vMerge/>
            <w:tcBorders>
              <w:top w:val="nil"/>
              <w:left w:val="single" w:sz="8" w:space="0" w:color="auto"/>
              <w:bottom w:val="single" w:sz="8" w:space="0" w:color="auto"/>
              <w:right w:val="single" w:sz="8" w:space="0" w:color="auto"/>
            </w:tcBorders>
            <w:vAlign w:val="center"/>
            <w:hideMark/>
          </w:tcPr>
          <w:p w14:paraId="0E976E38" w14:textId="77777777" w:rsidR="00792FB1" w:rsidRDefault="00792FB1" w:rsidP="00792FB1">
            <w:pPr>
              <w:rPr>
                <w:rFonts w:eastAsia="微软雅黑" w:cs="Calibri"/>
                <w:color w:val="333333"/>
                <w:szCs w:val="21"/>
              </w:rPr>
            </w:pP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6C1037"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性质判断</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B6FED2"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注册会计师期中控制测试时</w:t>
            </w:r>
            <w:r>
              <w:rPr>
                <w:rFonts w:cs="Calibri" w:hint="eastAsia"/>
                <w:b/>
                <w:bCs/>
                <w:color w:val="FF0000"/>
                <w:sz w:val="21"/>
                <w:szCs w:val="21"/>
              </w:rPr>
              <w:t>未发现</w:t>
            </w:r>
            <w:r>
              <w:rPr>
                <w:rFonts w:cs="Calibri" w:hint="eastAsia"/>
                <w:color w:val="333333"/>
                <w:sz w:val="21"/>
                <w:szCs w:val="21"/>
              </w:rPr>
              <w:t>控制偏差，该控制并</w:t>
            </w:r>
            <w:r>
              <w:rPr>
                <w:rFonts w:cs="Calibri" w:hint="eastAsia"/>
                <w:b/>
                <w:bCs/>
                <w:color w:val="FF0000"/>
                <w:sz w:val="21"/>
                <w:szCs w:val="21"/>
              </w:rPr>
              <w:t>不复杂</w:t>
            </w:r>
            <w:r>
              <w:rPr>
                <w:rFonts w:cs="Calibri" w:hint="eastAsia"/>
                <w:color w:val="333333"/>
                <w:sz w:val="21"/>
                <w:szCs w:val="21"/>
              </w:rPr>
              <w:t>，执行时</w:t>
            </w:r>
            <w:r>
              <w:rPr>
                <w:rFonts w:cs="Calibri" w:hint="eastAsia"/>
                <w:b/>
                <w:bCs/>
                <w:color w:val="FF0000"/>
                <w:sz w:val="21"/>
                <w:szCs w:val="21"/>
              </w:rPr>
              <w:t>不需要</w:t>
            </w:r>
            <w:r>
              <w:rPr>
                <w:rFonts w:cs="Calibri" w:hint="eastAsia"/>
                <w:color w:val="333333"/>
                <w:sz w:val="21"/>
                <w:szCs w:val="21"/>
              </w:rPr>
              <w:t>作出重大判断</w:t>
            </w:r>
          </w:p>
        </w:tc>
      </w:tr>
      <w:tr w:rsidR="00792FB1" w14:paraId="7C4D06B1" w14:textId="77777777" w:rsidTr="00792FB1">
        <w:trPr>
          <w:trHeight w:val="786"/>
          <w:jc w:val="center"/>
        </w:trPr>
        <w:tc>
          <w:tcPr>
            <w:tcW w:w="0" w:type="auto"/>
            <w:vMerge/>
            <w:tcBorders>
              <w:top w:val="nil"/>
              <w:left w:val="single" w:sz="8" w:space="0" w:color="auto"/>
              <w:bottom w:val="single" w:sz="8" w:space="0" w:color="auto"/>
              <w:right w:val="single" w:sz="8" w:space="0" w:color="auto"/>
            </w:tcBorders>
            <w:vAlign w:val="center"/>
            <w:hideMark/>
          </w:tcPr>
          <w:p w14:paraId="52B59730" w14:textId="77777777" w:rsidR="00792FB1" w:rsidRDefault="00792FB1" w:rsidP="00792FB1">
            <w:pPr>
              <w:rPr>
                <w:rFonts w:eastAsia="微软雅黑" w:cs="Calibri"/>
                <w:color w:val="333333"/>
                <w:szCs w:val="21"/>
              </w:rPr>
            </w:pP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7600F4"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前推程序</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0F556D"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注册会计师认为向应收账款会计询问该控制是否得到一贯执行以及在9月30日至12月31日期间是否出现任何异常现象，就可以为该控制是否持续有效运行提供充分的证据</w:t>
            </w:r>
          </w:p>
        </w:tc>
      </w:tr>
      <w:tr w:rsidR="00792FB1" w14:paraId="052E6C2B" w14:textId="77777777" w:rsidTr="00792FB1">
        <w:trPr>
          <w:trHeight w:val="325"/>
          <w:jc w:val="center"/>
        </w:trPr>
        <w:tc>
          <w:tcPr>
            <w:tcW w:w="56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06BB2C"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控制②</w:t>
            </w: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475F06"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控制描述</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15536E"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每月末财务总监取得该月最后三天的产品出库报告，将其与当月入账的应收账款明细进行核对，以确保应收账款余额的完整性和存在</w:t>
            </w:r>
          </w:p>
        </w:tc>
      </w:tr>
      <w:tr w:rsidR="00792FB1" w14:paraId="0823E926" w14:textId="77777777" w:rsidTr="00792FB1">
        <w:trPr>
          <w:trHeight w:val="812"/>
          <w:jc w:val="center"/>
        </w:trPr>
        <w:tc>
          <w:tcPr>
            <w:tcW w:w="0" w:type="auto"/>
            <w:vMerge/>
            <w:tcBorders>
              <w:top w:val="nil"/>
              <w:left w:val="single" w:sz="8" w:space="0" w:color="auto"/>
              <w:bottom w:val="single" w:sz="8" w:space="0" w:color="auto"/>
              <w:right w:val="single" w:sz="8" w:space="0" w:color="auto"/>
            </w:tcBorders>
            <w:vAlign w:val="center"/>
            <w:hideMark/>
          </w:tcPr>
          <w:p w14:paraId="60F872DA" w14:textId="77777777" w:rsidR="00792FB1" w:rsidRDefault="00792FB1" w:rsidP="00792FB1">
            <w:pPr>
              <w:rPr>
                <w:rFonts w:eastAsia="微软雅黑" w:cs="Calibri"/>
                <w:color w:val="333333"/>
                <w:szCs w:val="21"/>
              </w:rPr>
            </w:pP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5B0F1B"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性质判断</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5F4697"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尽管该控制</w:t>
            </w:r>
            <w:r>
              <w:rPr>
                <w:rFonts w:cs="Calibri" w:hint="eastAsia"/>
                <w:b/>
                <w:bCs/>
                <w:color w:val="FF0000"/>
                <w:sz w:val="21"/>
                <w:szCs w:val="21"/>
              </w:rPr>
              <w:t>并不复杂</w:t>
            </w:r>
            <w:r>
              <w:rPr>
                <w:rFonts w:cs="Calibri" w:hint="eastAsia"/>
                <w:color w:val="333333"/>
                <w:sz w:val="21"/>
                <w:szCs w:val="21"/>
              </w:rPr>
              <w:t>，但每月最后一周的产品出库量占全月出库量的比例很</w:t>
            </w:r>
            <w:r>
              <w:rPr>
                <w:rFonts w:cs="Calibri" w:hint="eastAsia"/>
                <w:b/>
                <w:bCs/>
                <w:color w:val="FF0000"/>
                <w:sz w:val="21"/>
                <w:szCs w:val="21"/>
              </w:rPr>
              <w:t>重大</w:t>
            </w:r>
            <w:r>
              <w:rPr>
                <w:rFonts w:cs="Calibri" w:hint="eastAsia"/>
                <w:color w:val="333333"/>
                <w:sz w:val="21"/>
                <w:szCs w:val="21"/>
              </w:rPr>
              <w:t>。财务总监可以据此监控是否存在</w:t>
            </w:r>
            <w:r>
              <w:rPr>
                <w:rFonts w:cs="Calibri" w:hint="eastAsia"/>
                <w:b/>
                <w:bCs/>
                <w:color w:val="FF0000"/>
                <w:sz w:val="21"/>
                <w:szCs w:val="21"/>
              </w:rPr>
              <w:t>故意错报</w:t>
            </w:r>
            <w:r>
              <w:rPr>
                <w:rFonts w:cs="Calibri" w:hint="eastAsia"/>
                <w:color w:val="333333"/>
                <w:sz w:val="21"/>
                <w:szCs w:val="21"/>
              </w:rPr>
              <w:t>应收账款的行为。该控制具有多重目的及其运行无效所导致后果</w:t>
            </w:r>
            <w:r>
              <w:rPr>
                <w:rFonts w:cs="Calibri" w:hint="eastAsia"/>
                <w:b/>
                <w:bCs/>
                <w:color w:val="FF0000"/>
                <w:sz w:val="21"/>
                <w:szCs w:val="21"/>
              </w:rPr>
              <w:t>较严重</w:t>
            </w:r>
          </w:p>
        </w:tc>
      </w:tr>
      <w:tr w:rsidR="00792FB1" w14:paraId="7F49F23B" w14:textId="77777777" w:rsidTr="00792FB1">
        <w:trPr>
          <w:trHeight w:val="77"/>
          <w:jc w:val="center"/>
        </w:trPr>
        <w:tc>
          <w:tcPr>
            <w:tcW w:w="0" w:type="auto"/>
            <w:vMerge/>
            <w:tcBorders>
              <w:top w:val="nil"/>
              <w:left w:val="single" w:sz="8" w:space="0" w:color="auto"/>
              <w:bottom w:val="single" w:sz="8" w:space="0" w:color="auto"/>
              <w:right w:val="single" w:sz="8" w:space="0" w:color="auto"/>
            </w:tcBorders>
            <w:vAlign w:val="center"/>
            <w:hideMark/>
          </w:tcPr>
          <w:p w14:paraId="64B4058F" w14:textId="77777777" w:rsidR="00792FB1" w:rsidRDefault="00792FB1" w:rsidP="00792FB1">
            <w:pPr>
              <w:rPr>
                <w:rFonts w:eastAsia="微软雅黑" w:cs="Calibri"/>
                <w:color w:val="333333"/>
                <w:szCs w:val="21"/>
              </w:rPr>
            </w:pP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4625F9"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前推程序</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BB84B"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注册会计师决定向财务总监和应收账款会计进行</w:t>
            </w:r>
            <w:r>
              <w:rPr>
                <w:rFonts w:cs="Calibri" w:hint="eastAsia"/>
                <w:b/>
                <w:bCs/>
                <w:color w:val="FF0000"/>
                <w:sz w:val="21"/>
                <w:szCs w:val="21"/>
              </w:rPr>
              <w:t>询问</w:t>
            </w:r>
            <w:r>
              <w:rPr>
                <w:rFonts w:cs="Calibri" w:hint="eastAsia"/>
                <w:color w:val="333333"/>
                <w:sz w:val="21"/>
                <w:szCs w:val="21"/>
              </w:rPr>
              <w:t>，并对财务总监执行该复核控制实施数次</w:t>
            </w:r>
            <w:r>
              <w:rPr>
                <w:rFonts w:cs="Calibri" w:hint="eastAsia"/>
                <w:b/>
                <w:bCs/>
                <w:color w:val="FF0000"/>
                <w:sz w:val="21"/>
                <w:szCs w:val="21"/>
              </w:rPr>
              <w:t>观察</w:t>
            </w:r>
          </w:p>
        </w:tc>
      </w:tr>
      <w:tr w:rsidR="00792FB1" w14:paraId="5F05AF28" w14:textId="77777777" w:rsidTr="00792FB1">
        <w:trPr>
          <w:trHeight w:val="274"/>
          <w:jc w:val="center"/>
        </w:trPr>
        <w:tc>
          <w:tcPr>
            <w:tcW w:w="56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DEAB3B"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控制③</w:t>
            </w: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5BE28E"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控制描述</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0F3F8C"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每月末财务总监、首席财务官和客户信用经理复核应收账款账龄分析表并共同决定是否需要对长期未收款的应收账款余额计提坏账准备。在此过程中他们需要利用多方面的信息</w:t>
            </w:r>
          </w:p>
        </w:tc>
      </w:tr>
      <w:tr w:rsidR="00792FB1" w14:paraId="252B44A4" w14:textId="77777777" w:rsidTr="00792FB1">
        <w:trPr>
          <w:trHeight w:val="397"/>
          <w:jc w:val="center"/>
        </w:trPr>
        <w:tc>
          <w:tcPr>
            <w:tcW w:w="0" w:type="auto"/>
            <w:vMerge/>
            <w:tcBorders>
              <w:top w:val="nil"/>
              <w:left w:val="single" w:sz="8" w:space="0" w:color="auto"/>
              <w:bottom w:val="single" w:sz="8" w:space="0" w:color="auto"/>
              <w:right w:val="single" w:sz="8" w:space="0" w:color="auto"/>
            </w:tcBorders>
            <w:vAlign w:val="center"/>
            <w:hideMark/>
          </w:tcPr>
          <w:p w14:paraId="781D6E70" w14:textId="77777777" w:rsidR="00792FB1" w:rsidRDefault="00792FB1" w:rsidP="00792FB1">
            <w:pPr>
              <w:rPr>
                <w:rFonts w:eastAsia="微软雅黑" w:cs="Calibri"/>
                <w:color w:val="333333"/>
                <w:szCs w:val="21"/>
              </w:rPr>
            </w:pP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22C7E2"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性质判断</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5AF30D"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该控制具有较高的</w:t>
            </w:r>
            <w:r>
              <w:rPr>
                <w:rFonts w:cs="Calibri" w:hint="eastAsia"/>
                <w:b/>
                <w:bCs/>
                <w:color w:val="FF0000"/>
                <w:sz w:val="21"/>
                <w:szCs w:val="21"/>
              </w:rPr>
              <w:t>主观性</w:t>
            </w:r>
            <w:r>
              <w:rPr>
                <w:rFonts w:cs="Calibri" w:hint="eastAsia"/>
                <w:color w:val="333333"/>
                <w:sz w:val="21"/>
                <w:szCs w:val="21"/>
              </w:rPr>
              <w:t>（虽然并不复杂）且对资产负债表和利润表均具有潜在的</w:t>
            </w:r>
            <w:r>
              <w:rPr>
                <w:rFonts w:cs="Calibri" w:hint="eastAsia"/>
                <w:b/>
                <w:bCs/>
                <w:color w:val="FF0000"/>
                <w:sz w:val="21"/>
                <w:szCs w:val="21"/>
              </w:rPr>
              <w:t>重大影响</w:t>
            </w:r>
            <w:r>
              <w:rPr>
                <w:rFonts w:cs="Calibri" w:hint="eastAsia"/>
                <w:color w:val="333333"/>
                <w:sz w:val="21"/>
                <w:szCs w:val="21"/>
              </w:rPr>
              <w:t>。由于该控制涉及</w:t>
            </w:r>
            <w:r>
              <w:rPr>
                <w:rFonts w:cs="Calibri" w:hint="eastAsia"/>
                <w:b/>
                <w:bCs/>
                <w:color w:val="FF0000"/>
                <w:sz w:val="21"/>
                <w:szCs w:val="21"/>
              </w:rPr>
              <w:t>管理层估计</w:t>
            </w:r>
            <w:r>
              <w:rPr>
                <w:rFonts w:cs="Calibri" w:hint="eastAsia"/>
                <w:color w:val="333333"/>
                <w:sz w:val="21"/>
                <w:szCs w:val="21"/>
              </w:rPr>
              <w:t>，因此还存在潜在的</w:t>
            </w:r>
            <w:r>
              <w:rPr>
                <w:rFonts w:cs="Calibri" w:hint="eastAsia"/>
                <w:b/>
                <w:bCs/>
                <w:color w:val="FF0000"/>
                <w:sz w:val="21"/>
                <w:szCs w:val="21"/>
              </w:rPr>
              <w:t>舞弊</w:t>
            </w:r>
            <w:r>
              <w:rPr>
                <w:rFonts w:cs="Calibri" w:hint="eastAsia"/>
                <w:color w:val="333333"/>
                <w:sz w:val="21"/>
                <w:szCs w:val="21"/>
              </w:rPr>
              <w:t>风险</w:t>
            </w:r>
          </w:p>
        </w:tc>
      </w:tr>
      <w:tr w:rsidR="00792FB1" w14:paraId="037DE25D" w14:textId="77777777" w:rsidTr="00792FB1">
        <w:trPr>
          <w:trHeight w:val="620"/>
          <w:jc w:val="center"/>
        </w:trPr>
        <w:tc>
          <w:tcPr>
            <w:tcW w:w="0" w:type="auto"/>
            <w:vMerge/>
            <w:tcBorders>
              <w:top w:val="nil"/>
              <w:left w:val="single" w:sz="8" w:space="0" w:color="auto"/>
              <w:bottom w:val="single" w:sz="8" w:space="0" w:color="auto"/>
              <w:right w:val="single" w:sz="8" w:space="0" w:color="auto"/>
            </w:tcBorders>
            <w:vAlign w:val="center"/>
            <w:hideMark/>
          </w:tcPr>
          <w:p w14:paraId="07F5186E" w14:textId="77777777" w:rsidR="00792FB1" w:rsidRDefault="00792FB1" w:rsidP="00792FB1">
            <w:pPr>
              <w:rPr>
                <w:rFonts w:eastAsia="微软雅黑" w:cs="Calibri"/>
                <w:color w:val="333333"/>
                <w:szCs w:val="21"/>
              </w:rPr>
            </w:pPr>
          </w:p>
        </w:tc>
        <w:tc>
          <w:tcPr>
            <w:tcW w:w="1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B6E70F"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前推程序</w:t>
            </w:r>
          </w:p>
        </w:tc>
        <w:tc>
          <w:tcPr>
            <w:tcW w:w="64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CB2601"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注册会计师决定检查关于该控制在基准日之前几次运行情况的证据，包括上述人员共同讨论的记录和与客户沟通的记录</w:t>
            </w:r>
          </w:p>
        </w:tc>
      </w:tr>
    </w:tbl>
    <w:p w14:paraId="0F61AFC7" w14:textId="77777777" w:rsidR="00792FB1" w:rsidRDefault="00792FB1" w:rsidP="00792FB1">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【提示】[链接第8章]</w:t>
      </w:r>
    </w:p>
    <w:p w14:paraId="31A11C4B"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在将期中测试结果前推至基准日时，注册会计师应当考虑</w:t>
      </w:r>
      <w:r>
        <w:rPr>
          <w:rFonts w:cs="Calibri" w:hint="eastAsia"/>
          <w:b/>
          <w:bCs/>
          <w:color w:val="FF0000"/>
          <w:sz w:val="21"/>
          <w:szCs w:val="21"/>
        </w:rPr>
        <w:t>下列因素</w:t>
      </w:r>
      <w:r>
        <w:rPr>
          <w:rFonts w:cs="Calibri" w:hint="eastAsia"/>
          <w:color w:val="3F3F3F"/>
          <w:sz w:val="21"/>
          <w:szCs w:val="21"/>
        </w:rPr>
        <w:t>以确定需获取的补充审计证据：</w:t>
      </w:r>
    </w:p>
    <w:p w14:paraId="0CC7292A"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①基准日之前测试的特定控制，包括与控制相关的风险、控制的性质和测试的结果；</w:t>
      </w:r>
    </w:p>
    <w:p w14:paraId="4F82E169"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②期中获取的有关审计证据的充分性和适当性；</w:t>
      </w:r>
    </w:p>
    <w:p w14:paraId="6B0E58FA"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③剩余期间的长短；</w:t>
      </w:r>
    </w:p>
    <w:p w14:paraId="207854E0"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④期中测试之后，内部控制发生重大变化的可能性；</w:t>
      </w:r>
    </w:p>
    <w:p w14:paraId="435CD823"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⑤注册会计师基于对控制的依赖程度拟减少进一步实质性程序的程度（仅适用于整合审计）；</w:t>
      </w:r>
    </w:p>
    <w:p w14:paraId="5BDC8A7C"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⑥控制环境。</w:t>
      </w:r>
    </w:p>
    <w:tbl>
      <w:tblPr>
        <w:tblW w:w="8505" w:type="dxa"/>
        <w:jc w:val="center"/>
        <w:tblCellMar>
          <w:left w:w="0" w:type="dxa"/>
          <w:right w:w="0" w:type="dxa"/>
        </w:tblCellMar>
        <w:tblLook w:val="04A0" w:firstRow="1" w:lastRow="0" w:firstColumn="1" w:lastColumn="0" w:noHBand="0" w:noVBand="1"/>
      </w:tblPr>
      <w:tblGrid>
        <w:gridCol w:w="1093"/>
        <w:gridCol w:w="7412"/>
      </w:tblGrid>
      <w:tr w:rsidR="00792FB1" w14:paraId="344F9DF3" w14:textId="77777777" w:rsidTr="00792FB1">
        <w:trPr>
          <w:trHeight w:val="132"/>
          <w:jc w:val="center"/>
        </w:trPr>
        <w:tc>
          <w:tcPr>
            <w:tcW w:w="10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B993BC" w14:textId="77777777" w:rsidR="00792FB1" w:rsidRDefault="00792FB1" w:rsidP="00792FB1">
            <w:pPr>
              <w:rPr>
                <w:rFonts w:eastAsia="微软雅黑" w:cs="Calibri"/>
                <w:color w:val="3F3F3F"/>
                <w:szCs w:val="21"/>
              </w:rPr>
            </w:pPr>
          </w:p>
        </w:tc>
        <w:tc>
          <w:tcPr>
            <w:tcW w:w="74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865613A"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792FB1" w14:paraId="79F931FE" w14:textId="77777777" w:rsidTr="00792FB1">
        <w:trPr>
          <w:trHeight w:val="2400"/>
          <w:jc w:val="center"/>
        </w:trPr>
        <w:tc>
          <w:tcPr>
            <w:tcW w:w="10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6B4FBD"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对控制发生变化的考虑</w:t>
            </w:r>
          </w:p>
        </w:tc>
        <w:tc>
          <w:tcPr>
            <w:tcW w:w="74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DEE50B"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（1）如果被审计单位为了提高控制效果和效率或整改控制缺陷而对控制作出改变，注册会计师应当考虑这些</w:t>
            </w:r>
            <w:r>
              <w:rPr>
                <w:rFonts w:cs="Calibri" w:hint="eastAsia"/>
                <w:b/>
                <w:bCs/>
                <w:color w:val="FF0000"/>
                <w:sz w:val="21"/>
                <w:szCs w:val="21"/>
              </w:rPr>
              <w:t>变化</w:t>
            </w:r>
            <w:r>
              <w:rPr>
                <w:rFonts w:cs="Calibri" w:hint="eastAsia"/>
                <w:color w:val="333333"/>
                <w:sz w:val="21"/>
                <w:szCs w:val="21"/>
              </w:rPr>
              <w:t>并适当予以记录</w:t>
            </w:r>
          </w:p>
          <w:p w14:paraId="2A05B9AE"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（2）如果注册会计师认为新的控制能够满足控制的相关目标，而且新控制已</w:t>
            </w:r>
            <w:r>
              <w:rPr>
                <w:rFonts w:cs="Calibri" w:hint="eastAsia"/>
                <w:b/>
                <w:bCs/>
                <w:color w:val="FF0000"/>
                <w:sz w:val="21"/>
                <w:szCs w:val="21"/>
              </w:rPr>
              <w:t>运行足够长的时间</w:t>
            </w:r>
            <w:r>
              <w:rPr>
                <w:rFonts w:cs="Calibri" w:hint="eastAsia"/>
                <w:color w:val="333333"/>
                <w:sz w:val="21"/>
                <w:szCs w:val="21"/>
              </w:rPr>
              <w:t>，足以使注册会计师通过实施控制测试评估其设计和运行的有效性，则注册会计师</w:t>
            </w:r>
            <w:r>
              <w:rPr>
                <w:rFonts w:cs="Calibri" w:hint="eastAsia"/>
                <w:b/>
                <w:bCs/>
                <w:color w:val="FF0000"/>
                <w:sz w:val="21"/>
                <w:szCs w:val="21"/>
              </w:rPr>
              <w:t>不再需要</w:t>
            </w:r>
            <w:r>
              <w:rPr>
                <w:rFonts w:cs="Calibri" w:hint="eastAsia"/>
                <w:color w:val="333333"/>
                <w:sz w:val="21"/>
                <w:szCs w:val="21"/>
              </w:rPr>
              <w:t>测试被取代的控制的设计和运行有效性</w:t>
            </w:r>
          </w:p>
          <w:p w14:paraId="38B10428"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（3）如果被取代的控制的运行有效性对注册会计师执行财务报表审计时的控制风险评估具有</w:t>
            </w:r>
            <w:r>
              <w:rPr>
                <w:rFonts w:cs="Calibri" w:hint="eastAsia"/>
                <w:b/>
                <w:bCs/>
                <w:color w:val="FF0000"/>
                <w:sz w:val="21"/>
                <w:szCs w:val="21"/>
              </w:rPr>
              <w:t>重要影响</w:t>
            </w:r>
            <w:r>
              <w:rPr>
                <w:rFonts w:cs="Calibri" w:hint="eastAsia"/>
                <w:color w:val="333333"/>
                <w:sz w:val="21"/>
                <w:szCs w:val="21"/>
              </w:rPr>
              <w:t>，注册会计师应当适当地</w:t>
            </w:r>
            <w:r>
              <w:rPr>
                <w:rFonts w:cs="Calibri" w:hint="eastAsia"/>
                <w:b/>
                <w:bCs/>
                <w:color w:val="FF0000"/>
                <w:sz w:val="21"/>
                <w:szCs w:val="21"/>
              </w:rPr>
              <w:t>测试</w:t>
            </w:r>
            <w:r>
              <w:rPr>
                <w:rFonts w:cs="Calibri" w:hint="eastAsia"/>
                <w:color w:val="333333"/>
                <w:sz w:val="21"/>
                <w:szCs w:val="21"/>
              </w:rPr>
              <w:t>这些被取代的控制的设计和运行的有效性</w:t>
            </w:r>
          </w:p>
        </w:tc>
      </w:tr>
    </w:tbl>
    <w:p w14:paraId="67FFD7B4" w14:textId="77777777" w:rsidR="00792FB1" w:rsidRPr="00792FB1" w:rsidRDefault="00792FB1" w:rsidP="00792FB1">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1093"/>
        <w:gridCol w:w="7412"/>
      </w:tblGrid>
      <w:tr w:rsidR="00792FB1" w14:paraId="655A9326" w14:textId="77777777" w:rsidTr="00792FB1">
        <w:trPr>
          <w:trHeight w:val="60"/>
          <w:jc w:val="center"/>
        </w:trPr>
        <w:tc>
          <w:tcPr>
            <w:tcW w:w="10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030D19" w14:textId="77777777" w:rsidR="00792FB1" w:rsidRDefault="00792FB1" w:rsidP="00792FB1">
            <w:pPr>
              <w:rPr>
                <w:rFonts w:ascii="微软雅黑" w:eastAsia="微软雅黑" w:hAnsi="微软雅黑" w:cs="宋体"/>
                <w:color w:val="3F3F3F"/>
                <w:szCs w:val="21"/>
              </w:rPr>
            </w:pPr>
          </w:p>
        </w:tc>
        <w:tc>
          <w:tcPr>
            <w:tcW w:w="74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91A69D2"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792FB1" w14:paraId="00B87BA6" w14:textId="77777777" w:rsidTr="00792FB1">
        <w:trPr>
          <w:trHeight w:val="1793"/>
          <w:jc w:val="center"/>
        </w:trPr>
        <w:tc>
          <w:tcPr>
            <w:tcW w:w="10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CC0E4A"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对自动化控制的考虑</w:t>
            </w:r>
          </w:p>
        </w:tc>
        <w:tc>
          <w:tcPr>
            <w:tcW w:w="741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4D25E4"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（1）如果信息技术</w:t>
            </w:r>
            <w:r>
              <w:rPr>
                <w:rFonts w:cs="Calibri" w:hint="eastAsia"/>
                <w:b/>
                <w:bCs/>
                <w:color w:val="FF0000"/>
                <w:sz w:val="21"/>
                <w:szCs w:val="21"/>
              </w:rPr>
              <w:t>一般控制</w:t>
            </w:r>
            <w:r>
              <w:rPr>
                <w:rFonts w:cs="Calibri" w:hint="eastAsia"/>
                <w:color w:val="333333"/>
                <w:sz w:val="21"/>
                <w:szCs w:val="21"/>
              </w:rPr>
              <w:t>有效且关键的自动化应用控制</w:t>
            </w:r>
            <w:r>
              <w:rPr>
                <w:rFonts w:cs="Calibri" w:hint="eastAsia"/>
                <w:b/>
                <w:bCs/>
                <w:color w:val="FF0000"/>
                <w:sz w:val="21"/>
                <w:szCs w:val="21"/>
              </w:rPr>
              <w:t>未发生任何变化</w:t>
            </w:r>
            <w:r>
              <w:rPr>
                <w:rFonts w:cs="Calibri" w:hint="eastAsia"/>
                <w:color w:val="333333"/>
                <w:sz w:val="21"/>
                <w:szCs w:val="21"/>
              </w:rPr>
              <w:t>，注册会计师就不需要对该自动化控制实施前推测试</w:t>
            </w:r>
          </w:p>
          <w:p w14:paraId="0BB38315" w14:textId="77777777" w:rsidR="00792FB1" w:rsidRDefault="00792FB1" w:rsidP="00792FB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重要的信息技术一般控制无效，且无法获得其他替代证据以证实关键的自动化应用控制自其上次被测试后未发生变化，注册会计师在执行内部控制审计时，通常就需要获取有关该自动化应用控制在接近基准日的期间内是否有效运行的证据</w:t>
            </w:r>
          </w:p>
        </w:tc>
      </w:tr>
    </w:tbl>
    <w:p w14:paraId="406C3991" w14:textId="77777777" w:rsidR="00792FB1" w:rsidRDefault="00792FB1" w:rsidP="00792FB1">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2E9343D" w14:textId="77777777" w:rsidR="00792FB1" w:rsidRDefault="00792FB1" w:rsidP="00792FB1">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1785CED2"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下列有关控制测试的时间安排的说法中，错误的是（　　）。</w:t>
      </w:r>
    </w:p>
    <w:p w14:paraId="035C0CC9"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A.对控制有效性测试的实施时间越接近基准日，提供的控制有效性的审计证据越有力</w:t>
      </w:r>
    </w:p>
    <w:p w14:paraId="7D631ADC"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B.如果被审计单位对控制作出改变，注册会计师认为新的控制能够满足控制的相关目标，则不再需要测试被取代的控制的设计和运行有效性</w:t>
      </w:r>
    </w:p>
    <w:p w14:paraId="5E0A71B1"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C.将期中测试结果前推至基准日时，拟对相关控制取得的保证程度越高，针对剩余期间需获取的补充审计证据越多</w:t>
      </w:r>
    </w:p>
    <w:p w14:paraId="51B8723C"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D.在整合审计中，注册会计师控制测试所涵盖的期间应尽量与财务报表审计中拟信赖内部控制的期间保持一致</w:t>
      </w:r>
    </w:p>
    <w:p w14:paraId="2C0346F5"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14C5F2B5"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B中，如果被审计单位为了提高控制效果和效率或整改控制缺陷而对控制作出改变，注册会计师应当考虑这些变化并适当予以记录。如果注册会计师认为新的控制能够满足控制的相关目标，而且新控制已运行足够长的时间，足以使注册会计师通过实施控制测试评估其设计和运行的有效性，则注册会计师不再需要测试被取代的控制的设计和运行有效性。</w:t>
      </w:r>
    </w:p>
    <w:p w14:paraId="08FCCB18"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5.控制测试的范围</w:t>
      </w:r>
    </w:p>
    <w:p w14:paraId="65081A2E"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（1）测试人工控制的最小样本规模</w:t>
      </w:r>
    </w:p>
    <w:tbl>
      <w:tblPr>
        <w:tblW w:w="8505" w:type="dxa"/>
        <w:jc w:val="center"/>
        <w:tblCellMar>
          <w:left w:w="0" w:type="dxa"/>
          <w:right w:w="0" w:type="dxa"/>
        </w:tblCellMar>
        <w:tblLook w:val="04A0" w:firstRow="1" w:lastRow="0" w:firstColumn="1" w:lastColumn="0" w:noHBand="0" w:noVBand="1"/>
      </w:tblPr>
      <w:tblGrid>
        <w:gridCol w:w="2126"/>
        <w:gridCol w:w="2510"/>
        <w:gridCol w:w="3869"/>
      </w:tblGrid>
      <w:tr w:rsidR="00792FB1" w14:paraId="354EE952" w14:textId="77777777" w:rsidTr="00792FB1">
        <w:trPr>
          <w:trHeight w:val="397"/>
          <w:jc w:val="center"/>
        </w:trPr>
        <w:tc>
          <w:tcPr>
            <w:tcW w:w="21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E134FA"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控制运行频率</w:t>
            </w:r>
          </w:p>
        </w:tc>
        <w:tc>
          <w:tcPr>
            <w:tcW w:w="25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4B9FB44"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控制运行的总次数</w:t>
            </w:r>
          </w:p>
        </w:tc>
        <w:tc>
          <w:tcPr>
            <w:tcW w:w="38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E92C22"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测试的</w:t>
            </w:r>
            <w:r>
              <w:rPr>
                <w:rFonts w:cs="Calibri" w:hint="eastAsia"/>
                <w:b/>
                <w:bCs/>
                <w:color w:val="FF0000"/>
                <w:sz w:val="21"/>
                <w:szCs w:val="21"/>
              </w:rPr>
              <w:t>最小样本规模区间</w:t>
            </w:r>
          </w:p>
        </w:tc>
      </w:tr>
      <w:tr w:rsidR="00792FB1" w14:paraId="2F63CCB8" w14:textId="77777777" w:rsidTr="00792FB1">
        <w:trPr>
          <w:trHeight w:val="32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59C7E1"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每年1次</w:t>
            </w:r>
          </w:p>
        </w:tc>
        <w:tc>
          <w:tcPr>
            <w:tcW w:w="25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55DB75"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38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D0CD60"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r>
      <w:tr w:rsidR="00792FB1" w14:paraId="1C1A9062" w14:textId="77777777" w:rsidTr="00792FB1">
        <w:trPr>
          <w:trHeight w:val="283"/>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B17774"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每季1次</w:t>
            </w:r>
          </w:p>
        </w:tc>
        <w:tc>
          <w:tcPr>
            <w:tcW w:w="25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4050FF"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38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6FEE6C"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r>
      <w:tr w:rsidR="00792FB1" w14:paraId="70B1A8DA" w14:textId="77777777" w:rsidTr="00792FB1">
        <w:trPr>
          <w:trHeight w:val="23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21CFDA"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每月1次</w:t>
            </w:r>
          </w:p>
        </w:tc>
        <w:tc>
          <w:tcPr>
            <w:tcW w:w="25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2FA647"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12</w:t>
            </w:r>
          </w:p>
        </w:tc>
        <w:tc>
          <w:tcPr>
            <w:tcW w:w="38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0AC198"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2~5</w:t>
            </w:r>
          </w:p>
        </w:tc>
      </w:tr>
      <w:tr w:rsidR="00792FB1" w14:paraId="70C0D668" w14:textId="77777777" w:rsidTr="00792FB1">
        <w:trPr>
          <w:trHeight w:val="193"/>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A79BB8"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每周1次</w:t>
            </w:r>
          </w:p>
        </w:tc>
        <w:tc>
          <w:tcPr>
            <w:tcW w:w="25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0DCAAB"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52</w:t>
            </w:r>
          </w:p>
        </w:tc>
        <w:tc>
          <w:tcPr>
            <w:tcW w:w="38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24E062"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5~15</w:t>
            </w:r>
          </w:p>
        </w:tc>
      </w:tr>
      <w:tr w:rsidR="00792FB1" w14:paraId="36C9AB3A" w14:textId="77777777" w:rsidTr="00792FB1">
        <w:trPr>
          <w:trHeight w:val="169"/>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EE4693"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每天1次</w:t>
            </w:r>
          </w:p>
        </w:tc>
        <w:tc>
          <w:tcPr>
            <w:tcW w:w="25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16335E"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250</w:t>
            </w:r>
          </w:p>
        </w:tc>
        <w:tc>
          <w:tcPr>
            <w:tcW w:w="38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BD7F4E"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20~40</w:t>
            </w:r>
          </w:p>
        </w:tc>
      </w:tr>
      <w:tr w:rsidR="00792FB1" w14:paraId="4774CBB6" w14:textId="77777777" w:rsidTr="00792FB1">
        <w:trPr>
          <w:trHeight w:val="117"/>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BAAC61"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每天多次</w:t>
            </w:r>
          </w:p>
        </w:tc>
        <w:tc>
          <w:tcPr>
            <w:tcW w:w="25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73FD0D"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大于250</w:t>
            </w:r>
          </w:p>
        </w:tc>
        <w:tc>
          <w:tcPr>
            <w:tcW w:w="38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BFA047" w14:textId="77777777" w:rsidR="00792FB1" w:rsidRDefault="00792FB1" w:rsidP="00792FB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25~60</w:t>
            </w:r>
          </w:p>
        </w:tc>
      </w:tr>
    </w:tbl>
    <w:p w14:paraId="66B7F223"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【案例3】</w:t>
      </w:r>
    </w:p>
    <w:p w14:paraId="39D10D92"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某公司存在一项每月运行1次的控制，如某一员工对50个银行账户每月编制银行余额调节表。</w:t>
      </w:r>
    </w:p>
    <w:p w14:paraId="24026040"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（1）第一步，计算控制每年运行的总次数，12×50=600。</w:t>
      </w:r>
    </w:p>
    <w:p w14:paraId="0A33324C"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（2）第二步，根据总次数选择表中对应的部分，应为大于250次，每天多次，样本规模应为25～60。</w:t>
      </w:r>
    </w:p>
    <w:p w14:paraId="691D462E"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（3）如果由多个人员执行同一控制，应当分别确定总体，针对每个人员确定样本规模。如果由2个人执行600次控制，样本规模应为25，即应针对每个人测试25次，一共50个样本。</w:t>
      </w:r>
    </w:p>
    <w:p w14:paraId="231A31DF"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在确定控制运行的总次数时，还要注意拟测试的控制是否是同质的，能否作为一个总体。在本例中，如果由统一的财务主管复核每个人编制的银行余额调节表，通过了解和评价财务主管的复核控制，可以保证经复核的控制是同质的，则可以将2个人执行的控制作为1个总体。</w:t>
      </w:r>
    </w:p>
    <w:p w14:paraId="3EF805B6"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（2）测试自动化应用控制的最小样本规模</w:t>
      </w:r>
    </w:p>
    <w:p w14:paraId="4BFFFED1"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w:t>
      </w:r>
      <w:r>
        <w:rPr>
          <w:rFonts w:cs="Calibri" w:hint="eastAsia"/>
          <w:b/>
          <w:bCs/>
          <w:color w:val="FF0000"/>
          <w:sz w:val="21"/>
          <w:szCs w:val="21"/>
        </w:rPr>
        <w:t>信息技术一般控制有效</w:t>
      </w:r>
      <w:r>
        <w:rPr>
          <w:rFonts w:cs="Calibri" w:hint="eastAsia"/>
          <w:color w:val="3F3F3F"/>
          <w:sz w:val="21"/>
          <w:szCs w:val="21"/>
        </w:rPr>
        <w:t>的前提下，除非系统发生变动，注册会计师或其专家可能只需要对某项自动化应用控制的每一相关属性进行一次系统查询以检查其系统设置，即可得出所测试自动化应用控制是否运行有效的结论。</w:t>
      </w:r>
    </w:p>
    <w:p w14:paraId="36DF80C0" w14:textId="77777777" w:rsidR="00792FB1" w:rsidRDefault="00792FB1" w:rsidP="00792FB1">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（3）发现偏差时的处理</w:t>
      </w:r>
      <w:r>
        <w:rPr>
          <w:rFonts w:cs="Calibri" w:hint="eastAsia"/>
          <w:b/>
          <w:bCs/>
          <w:color w:val="FF0000"/>
          <w:sz w:val="21"/>
          <w:szCs w:val="21"/>
        </w:rPr>
        <w:t>【简答题考点】</w:t>
      </w:r>
    </w:p>
    <w:p w14:paraId="375B2403"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a）由于有效的内部控制不能为实现控制目标提供绝对保证，单项控制</w:t>
      </w:r>
      <w:r>
        <w:rPr>
          <w:rFonts w:cs="Calibri" w:hint="eastAsia"/>
          <w:b/>
          <w:bCs/>
          <w:color w:val="FF0000"/>
          <w:sz w:val="21"/>
          <w:szCs w:val="21"/>
        </w:rPr>
        <w:t>并非</w:t>
      </w:r>
      <w:r>
        <w:rPr>
          <w:rFonts w:cs="Calibri" w:hint="eastAsia"/>
          <w:color w:val="3F3F3F"/>
          <w:sz w:val="21"/>
          <w:szCs w:val="21"/>
        </w:rPr>
        <w:t>一定要毫无偏差地运行，才被认为有效。</w:t>
      </w:r>
    </w:p>
    <w:p w14:paraId="3E814DE6"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b）注册会计师应当考虑偏差的原因及性质，如果发现的控制偏差是系统性偏差或</w:t>
      </w:r>
      <w:r>
        <w:rPr>
          <w:rFonts w:cs="Calibri" w:hint="eastAsia"/>
          <w:b/>
          <w:bCs/>
          <w:color w:val="FF0000"/>
          <w:sz w:val="21"/>
          <w:szCs w:val="21"/>
        </w:rPr>
        <w:t>人为有意</w:t>
      </w:r>
      <w:r>
        <w:rPr>
          <w:rFonts w:cs="Calibri" w:hint="eastAsia"/>
          <w:color w:val="3F3F3F"/>
          <w:sz w:val="21"/>
          <w:szCs w:val="21"/>
        </w:rPr>
        <w:t>造成的偏差，注册会计师应当考虑舞弊的可能迹象以及对审计方案的影响。</w:t>
      </w:r>
    </w:p>
    <w:p w14:paraId="01963CFC" w14:textId="77777777" w:rsidR="00792FB1" w:rsidRDefault="00792FB1" w:rsidP="00792FB1">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c）当测试发现一项控制偏差，且该偏差不是系统性偏差时，注册会计师可以</w:t>
      </w:r>
      <w:r>
        <w:rPr>
          <w:rFonts w:cs="Calibri" w:hint="eastAsia"/>
          <w:b/>
          <w:bCs/>
          <w:color w:val="FF0000"/>
          <w:sz w:val="21"/>
          <w:szCs w:val="21"/>
        </w:rPr>
        <w:t>扩大样本规模</w:t>
      </w:r>
      <w:r>
        <w:rPr>
          <w:rFonts w:cs="Calibri" w:hint="eastAsia"/>
          <w:color w:val="3F3F3F"/>
          <w:sz w:val="21"/>
          <w:szCs w:val="21"/>
        </w:rPr>
        <w:t>进行测试。如果测试后再次发现偏差，则注册会计师可以得出该控制无效的结论；如果扩大样本规模没有再次发现偏差，则注册会计师可以得出控制有效的结论。</w:t>
      </w:r>
    </w:p>
    <w:p w14:paraId="7BAE4D82" w14:textId="77777777" w:rsidR="00792FB1" w:rsidRDefault="00792FB1" w:rsidP="00792FB1">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8E07CBF" w14:textId="77777777" w:rsidR="00792FB1" w:rsidRDefault="00792FB1" w:rsidP="00792FB1">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"http://webupload.admin.dongao.com/biz/handout/img/2019/20190709/20190709200244458002.png"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282pt">
            <v:imagedata r:id="rId9" r:href="rId10"/>
          </v:shape>
        </w:pict>
      </w:r>
      <w:r>
        <w:rPr>
          <w:rFonts w:cs="Calibri"/>
          <w:color w:val="3F3F3F"/>
          <w:sz w:val="21"/>
          <w:szCs w:val="21"/>
        </w:rPr>
        <w:fldChar w:fldCharType="end"/>
      </w:r>
    </w:p>
    <w:p w14:paraId="071E8ED2" w14:textId="77777777" w:rsidR="00792FB1" w:rsidRDefault="00792FB1" w:rsidP="00792FB1">
      <w:pPr>
        <w:shd w:val="clear" w:color="auto" w:fill="FFFFFF"/>
        <w:rPr>
          <w:rFonts w:ascii="微软雅黑" w:eastAsia="微软雅黑" w:hAnsi="微软雅黑" w:cs="宋体"/>
          <w:color w:val="3F3F3F"/>
          <w:szCs w:val="21"/>
        </w:rPr>
      </w:pPr>
    </w:p>
    <w:p w14:paraId="3A59C330" w14:textId="77777777" w:rsidR="00271D8C" w:rsidRPr="00792FB1" w:rsidRDefault="00271D8C" w:rsidP="00792FB1">
      <w:pPr>
        <w:rPr>
          <w:rFonts w:hint="eastAsia"/>
        </w:rPr>
      </w:pPr>
    </w:p>
    <w:sectPr w:rsidR="00271D8C" w:rsidRPr="00792FB1"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21E8E" w14:textId="77777777" w:rsidR="00CD0F93" w:rsidRDefault="00CD0F93" w:rsidP="00CD53C5">
      <w:r>
        <w:separator/>
      </w:r>
    </w:p>
  </w:endnote>
  <w:endnote w:type="continuationSeparator" w:id="0">
    <w:p w14:paraId="318EB43A" w14:textId="77777777" w:rsidR="00CD0F93" w:rsidRDefault="00CD0F93"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94F648A" w14:textId="77777777" w:rsidTr="007B0BFD">
      <w:trPr>
        <w:trHeight w:val="274"/>
      </w:trPr>
      <w:tc>
        <w:tcPr>
          <w:tcW w:w="2050" w:type="dxa"/>
          <w:shd w:val="clear" w:color="auto" w:fill="auto"/>
          <w:vAlign w:val="center"/>
        </w:tcPr>
        <w:p w14:paraId="7DB47AF3"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0FDDBC55"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88ECCB0"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65D0CB7C"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1EB6C" w14:textId="77777777" w:rsidR="00CD0F93" w:rsidRDefault="00CD0F93" w:rsidP="00CD53C5">
      <w:r>
        <w:separator/>
      </w:r>
    </w:p>
  </w:footnote>
  <w:footnote w:type="continuationSeparator" w:id="0">
    <w:p w14:paraId="3C851848" w14:textId="77777777" w:rsidR="00CD0F93" w:rsidRDefault="00CD0F93"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D8296A0" w14:textId="77777777" w:rsidTr="007B0BFD">
      <w:trPr>
        <w:trHeight w:val="501"/>
      </w:trPr>
      <w:tc>
        <w:tcPr>
          <w:tcW w:w="4272" w:type="dxa"/>
          <w:shd w:val="clear" w:color="auto" w:fill="auto"/>
          <w:vAlign w:val="center"/>
        </w:tcPr>
        <w:p w14:paraId="3320C152" w14:textId="77777777" w:rsidR="001545C6" w:rsidRPr="001F62DD" w:rsidRDefault="00792FB1"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0AA52B80" w14:textId="77777777" w:rsidR="001545C6" w:rsidRPr="004D61E7" w:rsidRDefault="00792FB1"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第二十章</w:t>
          </w:r>
          <w:r>
            <w:rPr>
              <w:rFonts w:ascii="微软雅黑" w:eastAsia="微软雅黑" w:hAnsi="微软雅黑"/>
              <w:sz w:val="24"/>
              <w:szCs w:val="24"/>
            </w:rPr>
            <w:t>+企业内部控制审计</w:t>
          </w:r>
        </w:p>
      </w:tc>
    </w:tr>
  </w:tbl>
  <w:p w14:paraId="15D9831F"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92FB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C1036"/>
    <w:rsid w:val="00CD0F93"/>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BFFECD"/>
  <w15:docId w15:val="{B5AEE3E5-02BA-4793-B766-198A8F8A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491217977">
      <w:bodyDiv w:val="1"/>
      <w:marLeft w:val="0"/>
      <w:marRight w:val="0"/>
      <w:marTop w:val="0"/>
      <w:marBottom w:val="0"/>
      <w:divBdr>
        <w:top w:val="none" w:sz="0" w:space="0" w:color="auto"/>
        <w:left w:val="none" w:sz="0" w:space="0" w:color="auto"/>
        <w:bottom w:val="none" w:sz="0" w:space="0" w:color="auto"/>
        <w:right w:val="none" w:sz="0" w:space="0" w:color="auto"/>
      </w:divBdr>
      <w:divsChild>
        <w:div w:id="1634483438">
          <w:marLeft w:val="0"/>
          <w:marRight w:val="0"/>
          <w:marTop w:val="0"/>
          <w:marBottom w:val="0"/>
          <w:divBdr>
            <w:top w:val="none" w:sz="0" w:space="0" w:color="auto"/>
            <w:left w:val="none" w:sz="0" w:space="0" w:color="auto"/>
            <w:bottom w:val="none" w:sz="0" w:space="0" w:color="auto"/>
            <w:right w:val="none" w:sz="0" w:space="0" w:color="auto"/>
          </w:divBdr>
          <w:divsChild>
            <w:div w:id="76175103">
              <w:marLeft w:val="0"/>
              <w:marRight w:val="0"/>
              <w:marTop w:val="0"/>
              <w:marBottom w:val="0"/>
              <w:divBdr>
                <w:top w:val="none" w:sz="0" w:space="0" w:color="auto"/>
                <w:left w:val="none" w:sz="0" w:space="0" w:color="auto"/>
                <w:bottom w:val="none" w:sz="0" w:space="0" w:color="auto"/>
                <w:right w:val="none" w:sz="0" w:space="0" w:color="auto"/>
              </w:divBdr>
            </w:div>
            <w:div w:id="85619246">
              <w:marLeft w:val="0"/>
              <w:marRight w:val="0"/>
              <w:marTop w:val="0"/>
              <w:marBottom w:val="0"/>
              <w:divBdr>
                <w:top w:val="none" w:sz="0" w:space="0" w:color="auto"/>
                <w:left w:val="none" w:sz="0" w:space="0" w:color="auto"/>
                <w:bottom w:val="none" w:sz="0" w:space="0" w:color="auto"/>
                <w:right w:val="none" w:sz="0" w:space="0" w:color="auto"/>
              </w:divBdr>
            </w:div>
            <w:div w:id="266501747">
              <w:marLeft w:val="0"/>
              <w:marRight w:val="0"/>
              <w:marTop w:val="0"/>
              <w:marBottom w:val="0"/>
              <w:divBdr>
                <w:top w:val="none" w:sz="0" w:space="0" w:color="auto"/>
                <w:left w:val="none" w:sz="0" w:space="0" w:color="auto"/>
                <w:bottom w:val="none" w:sz="0" w:space="0" w:color="auto"/>
                <w:right w:val="none" w:sz="0" w:space="0" w:color="auto"/>
              </w:divBdr>
            </w:div>
            <w:div w:id="283540204">
              <w:marLeft w:val="0"/>
              <w:marRight w:val="0"/>
              <w:marTop w:val="0"/>
              <w:marBottom w:val="0"/>
              <w:divBdr>
                <w:top w:val="none" w:sz="0" w:space="0" w:color="auto"/>
                <w:left w:val="none" w:sz="0" w:space="0" w:color="auto"/>
                <w:bottom w:val="none" w:sz="0" w:space="0" w:color="auto"/>
                <w:right w:val="none" w:sz="0" w:space="0" w:color="auto"/>
              </w:divBdr>
            </w:div>
            <w:div w:id="312180643">
              <w:marLeft w:val="0"/>
              <w:marRight w:val="0"/>
              <w:marTop w:val="0"/>
              <w:marBottom w:val="0"/>
              <w:divBdr>
                <w:top w:val="none" w:sz="0" w:space="0" w:color="auto"/>
                <w:left w:val="none" w:sz="0" w:space="0" w:color="auto"/>
                <w:bottom w:val="none" w:sz="0" w:space="0" w:color="auto"/>
                <w:right w:val="none" w:sz="0" w:space="0" w:color="auto"/>
              </w:divBdr>
            </w:div>
            <w:div w:id="380791729">
              <w:marLeft w:val="0"/>
              <w:marRight w:val="0"/>
              <w:marTop w:val="0"/>
              <w:marBottom w:val="0"/>
              <w:divBdr>
                <w:top w:val="none" w:sz="0" w:space="0" w:color="auto"/>
                <w:left w:val="none" w:sz="0" w:space="0" w:color="auto"/>
                <w:bottom w:val="none" w:sz="0" w:space="0" w:color="auto"/>
                <w:right w:val="none" w:sz="0" w:space="0" w:color="auto"/>
              </w:divBdr>
            </w:div>
            <w:div w:id="761024710">
              <w:marLeft w:val="0"/>
              <w:marRight w:val="0"/>
              <w:marTop w:val="0"/>
              <w:marBottom w:val="0"/>
              <w:divBdr>
                <w:top w:val="none" w:sz="0" w:space="0" w:color="auto"/>
                <w:left w:val="none" w:sz="0" w:space="0" w:color="auto"/>
                <w:bottom w:val="none" w:sz="0" w:space="0" w:color="auto"/>
                <w:right w:val="none" w:sz="0" w:space="0" w:color="auto"/>
              </w:divBdr>
            </w:div>
            <w:div w:id="832992898">
              <w:marLeft w:val="0"/>
              <w:marRight w:val="0"/>
              <w:marTop w:val="0"/>
              <w:marBottom w:val="0"/>
              <w:divBdr>
                <w:top w:val="none" w:sz="0" w:space="0" w:color="auto"/>
                <w:left w:val="none" w:sz="0" w:space="0" w:color="auto"/>
                <w:bottom w:val="none" w:sz="0" w:space="0" w:color="auto"/>
                <w:right w:val="none" w:sz="0" w:space="0" w:color="auto"/>
              </w:divBdr>
            </w:div>
            <w:div w:id="1174805616">
              <w:marLeft w:val="0"/>
              <w:marRight w:val="0"/>
              <w:marTop w:val="0"/>
              <w:marBottom w:val="0"/>
              <w:divBdr>
                <w:top w:val="none" w:sz="0" w:space="0" w:color="auto"/>
                <w:left w:val="none" w:sz="0" w:space="0" w:color="auto"/>
                <w:bottom w:val="none" w:sz="0" w:space="0" w:color="auto"/>
                <w:right w:val="none" w:sz="0" w:space="0" w:color="auto"/>
              </w:divBdr>
            </w:div>
            <w:div w:id="1248073350">
              <w:marLeft w:val="0"/>
              <w:marRight w:val="0"/>
              <w:marTop w:val="0"/>
              <w:marBottom w:val="0"/>
              <w:divBdr>
                <w:top w:val="none" w:sz="0" w:space="0" w:color="auto"/>
                <w:left w:val="none" w:sz="0" w:space="0" w:color="auto"/>
                <w:bottom w:val="none" w:sz="0" w:space="0" w:color="auto"/>
                <w:right w:val="none" w:sz="0" w:space="0" w:color="auto"/>
              </w:divBdr>
            </w:div>
            <w:div w:id="1295603903">
              <w:marLeft w:val="0"/>
              <w:marRight w:val="0"/>
              <w:marTop w:val="0"/>
              <w:marBottom w:val="0"/>
              <w:divBdr>
                <w:top w:val="none" w:sz="0" w:space="0" w:color="auto"/>
                <w:left w:val="none" w:sz="0" w:space="0" w:color="auto"/>
                <w:bottom w:val="none" w:sz="0" w:space="0" w:color="auto"/>
                <w:right w:val="none" w:sz="0" w:space="0" w:color="auto"/>
              </w:divBdr>
            </w:div>
            <w:div w:id="1512722284">
              <w:marLeft w:val="0"/>
              <w:marRight w:val="0"/>
              <w:marTop w:val="0"/>
              <w:marBottom w:val="0"/>
              <w:divBdr>
                <w:top w:val="none" w:sz="0" w:space="0" w:color="auto"/>
                <w:left w:val="none" w:sz="0" w:space="0" w:color="auto"/>
                <w:bottom w:val="none" w:sz="0" w:space="0" w:color="auto"/>
                <w:right w:val="none" w:sz="0" w:space="0" w:color="auto"/>
              </w:divBdr>
            </w:div>
            <w:div w:id="1560824242">
              <w:marLeft w:val="0"/>
              <w:marRight w:val="0"/>
              <w:marTop w:val="0"/>
              <w:marBottom w:val="0"/>
              <w:divBdr>
                <w:top w:val="none" w:sz="0" w:space="0" w:color="auto"/>
                <w:left w:val="none" w:sz="0" w:space="0" w:color="auto"/>
                <w:bottom w:val="none" w:sz="0" w:space="0" w:color="auto"/>
                <w:right w:val="none" w:sz="0" w:space="0" w:color="auto"/>
              </w:divBdr>
            </w:div>
            <w:div w:id="1904632050">
              <w:marLeft w:val="0"/>
              <w:marRight w:val="0"/>
              <w:marTop w:val="0"/>
              <w:marBottom w:val="0"/>
              <w:divBdr>
                <w:top w:val="none" w:sz="0" w:space="0" w:color="auto"/>
                <w:left w:val="none" w:sz="0" w:space="0" w:color="auto"/>
                <w:bottom w:val="none" w:sz="0" w:space="0" w:color="auto"/>
                <w:right w:val="none" w:sz="0" w:space="0" w:color="auto"/>
              </w:divBdr>
            </w:div>
            <w:div w:id="20936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9/20190709200244445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709/20190709200244458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CF271-4A92-4C2D-8AC3-10AA82FA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