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D56F5" w14:textId="77777777" w:rsidR="00000000" w:rsidRDefault="00BA07AE">
      <w:pPr>
        <w:pStyle w:val="a9"/>
        <w:shd w:val="clear" w:color="auto" w:fill="FFFFFF"/>
        <w:spacing w:before="0" w:beforeAutospacing="0" w:after="0" w:afterAutospacing="0"/>
        <w:ind w:firstLine="422"/>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21BDDAFC"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0B86B131" w14:textId="77777777" w:rsidR="00000000" w:rsidRDefault="00BA07AE">
      <w:pPr>
        <w:pStyle w:val="a9"/>
        <w:shd w:val="clear" w:color="auto" w:fill="FFFFFF"/>
        <w:spacing w:before="0" w:beforeAutospacing="0" w:after="0" w:afterAutospacing="0"/>
        <w:ind w:firstLine="422"/>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49486EC1"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ACDC6AA" w14:textId="77777777" w:rsidR="00000000" w:rsidRDefault="00BA07AE">
      <w:pPr>
        <w:pStyle w:val="a9"/>
        <w:shd w:val="clear" w:color="auto" w:fill="FFFFFF"/>
        <w:spacing w:before="0" w:beforeAutospacing="0" w:after="0" w:afterAutospacing="0"/>
        <w:ind w:firstLine="422"/>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434B5ED2"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"http://webupload.admin.dongao.com/biz/handout/img/2019/20190711/20190711101053123001.png" \* MERGEFORMATINET </w:instrText>
      </w:r>
      <w:r>
        <w:rPr>
          <w:rFonts w:cs="Calibri"/>
          <w:color w:val="3F3F3F"/>
          <w:sz w:val="21"/>
          <w:szCs w:val="21"/>
        </w:rPr>
        <w:fldChar w:fldCharType="separate"/>
      </w:r>
      <w:r>
        <w:rPr>
          <w:rFonts w:cs="Calibri"/>
          <w:color w:val="3F3F3F"/>
          <w:sz w:val="21"/>
          <w:szCs w:val="21"/>
        </w:rPr>
        <w:pict w14:anchorId="4268E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3.25pt;height:259.5pt;mso-wrap-style:square;mso-position-horizontal-relative:page;mso-position-vertical-relative:page">
            <v:imagedata r:id="rId6" r:href="rId7"/>
          </v:shape>
        </w:pict>
      </w:r>
      <w:r>
        <w:rPr>
          <w:rFonts w:cs="Calibri"/>
          <w:color w:val="3F3F3F"/>
          <w:sz w:val="21"/>
          <w:szCs w:val="21"/>
        </w:rPr>
        <w:fldChar w:fldCharType="end"/>
      </w:r>
    </w:p>
    <w:p w14:paraId="3D8169E4"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8C8343C"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第二部分　内部控制审计的计划和实施</w:t>
      </w:r>
    </w:p>
    <w:p w14:paraId="2388A48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C1DD5B8"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一、计划审计工作</w:t>
      </w:r>
    </w:p>
    <w:p w14:paraId="2F9CD088"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二、内部控制审计的方法论——自上而下的方法</w:t>
      </w:r>
      <w:r>
        <w:rPr>
          <w:rFonts w:cs="Calibri" w:hint="eastAsia"/>
          <w:b/>
          <w:bCs/>
          <w:color w:val="FF0000"/>
          <w:sz w:val="21"/>
          <w:szCs w:val="21"/>
        </w:rPr>
        <w:t>（※※※）</w:t>
      </w:r>
    </w:p>
    <w:p w14:paraId="2DF8BF55"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三、企业层面控制的测试</w:t>
      </w:r>
      <w:r>
        <w:rPr>
          <w:rFonts w:cs="Calibri" w:hint="eastAsia"/>
          <w:b/>
          <w:bCs/>
          <w:color w:val="FF0000"/>
          <w:sz w:val="21"/>
          <w:szCs w:val="21"/>
        </w:rPr>
        <w:t>（※）</w:t>
      </w:r>
    </w:p>
    <w:p w14:paraId="3AD0F61F"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四、业务流程、应用系统或交易层面的控制的测试</w:t>
      </w:r>
    </w:p>
    <w:p w14:paraId="7D7EDFB8"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五、信息系统控制的测试</w:t>
      </w:r>
    </w:p>
    <w:p w14:paraId="07599B98"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一、计划审计工作</w:t>
      </w:r>
    </w:p>
    <w:p w14:paraId="13B2D28A"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计划审计工作时应当考虑的事项</w:t>
      </w:r>
    </w:p>
    <w:p w14:paraId="4E43B41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内部控制审计计划分为总体审计策略和具体审计计划</w:t>
      </w:r>
      <w:r>
        <w:rPr>
          <w:rFonts w:cs="Calibri" w:hint="eastAsia"/>
          <w:b/>
          <w:bCs/>
          <w:color w:val="FF0000"/>
          <w:sz w:val="21"/>
          <w:szCs w:val="21"/>
        </w:rPr>
        <w:t>两个层次</w:t>
      </w:r>
      <w:r>
        <w:rPr>
          <w:rFonts w:cs="Calibri" w:hint="eastAsia"/>
          <w:color w:val="3F3F3F"/>
          <w:sz w:val="21"/>
          <w:szCs w:val="21"/>
        </w:rPr>
        <w:t>，在计划审计工作时，注册会计师</w:t>
      </w:r>
      <w:r>
        <w:rPr>
          <w:rFonts w:cs="Calibri" w:hint="eastAsia"/>
          <w:b/>
          <w:bCs/>
          <w:color w:val="FF0000"/>
          <w:sz w:val="21"/>
          <w:szCs w:val="21"/>
        </w:rPr>
        <w:t>应当评价</w:t>
      </w:r>
      <w:r>
        <w:rPr>
          <w:rFonts w:cs="Calibri" w:hint="eastAsia"/>
          <w:color w:val="3F3F3F"/>
          <w:sz w:val="21"/>
          <w:szCs w:val="21"/>
        </w:rPr>
        <w:t>下列事项对财务报告内部控制、财务报表及审计工作的影响：</w:t>
      </w:r>
    </w:p>
    <w:p w14:paraId="166022BC"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w:t>
      </w:r>
      <w:r>
        <w:rPr>
          <w:rFonts w:cs="Calibri" w:hint="eastAsia"/>
          <w:b/>
          <w:bCs/>
          <w:color w:val="FF0000"/>
          <w:sz w:val="21"/>
          <w:szCs w:val="21"/>
        </w:rPr>
        <w:t>与企业相关的风险</w:t>
      </w:r>
    </w:p>
    <w:p w14:paraId="01213402"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了解企业面临的风险可以帮助识别重大错报风险，继而识别重要账户、重要列报和相关认定以及识别重大业务流程，对内部控制审计的重大风险形成初步评价。</w:t>
      </w:r>
    </w:p>
    <w:p w14:paraId="71D4DC8F"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w:t>
      </w:r>
      <w:r>
        <w:rPr>
          <w:rFonts w:cs="Calibri" w:hint="eastAsia"/>
          <w:b/>
          <w:bCs/>
          <w:color w:val="FF0000"/>
          <w:sz w:val="21"/>
          <w:szCs w:val="21"/>
        </w:rPr>
        <w:t>相关法律法规和行业概况</w:t>
      </w:r>
    </w:p>
    <w:p w14:paraId="0E1E3DC2"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注册会计师应当了解与被审计单位业务相关的法律法规及其合规性，并初步判断是否可能造成非财务报</w:t>
      </w:r>
      <w:r>
        <w:rPr>
          <w:rFonts w:cs="Calibri" w:hint="eastAsia"/>
          <w:color w:val="3F3F3F"/>
          <w:sz w:val="21"/>
          <w:szCs w:val="21"/>
        </w:rPr>
        <w:t>告内部控制的重大缺陷。另外，注册会计师应了解行业因素以确定其对被审计单位经营环境的影响。</w:t>
      </w:r>
    </w:p>
    <w:p w14:paraId="3933F865"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w:t>
      </w:r>
      <w:r>
        <w:rPr>
          <w:rFonts w:cs="Calibri" w:hint="eastAsia"/>
          <w:b/>
          <w:bCs/>
          <w:color w:val="FF0000"/>
          <w:sz w:val="21"/>
          <w:szCs w:val="21"/>
        </w:rPr>
        <w:t>企业组织结构、经营特点和资本结构等相关重要事项</w:t>
      </w:r>
    </w:p>
    <w:p w14:paraId="19CD0805"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注册会计师了解企业的这些情况，以便评价企业是否存在重大的、可能引起重大错报的非常规业务和关联交易，是否构成重大错报风险，以及相关的内部控制是否可能存在重大缺陷。</w:t>
      </w:r>
    </w:p>
    <w:p w14:paraId="69B96CAC"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w:t>
      </w:r>
      <w:r>
        <w:rPr>
          <w:rFonts w:cs="Calibri" w:hint="eastAsia"/>
          <w:b/>
          <w:bCs/>
          <w:color w:val="FF0000"/>
          <w:sz w:val="21"/>
          <w:szCs w:val="21"/>
        </w:rPr>
        <w:t>企业内部控制最近发生变化的程度</w:t>
      </w:r>
    </w:p>
    <w:p w14:paraId="098AFFE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注册会计师应当了解被审计单位本期内部控制发生的变化以及变化的程度，从而相应地调整审计计划。</w:t>
      </w:r>
    </w:p>
    <w:p w14:paraId="34889065"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5</w:t>
      </w:r>
      <w:r>
        <w:rPr>
          <w:rFonts w:cs="Calibri" w:hint="eastAsia"/>
          <w:color w:val="3F3F3F"/>
          <w:sz w:val="21"/>
          <w:szCs w:val="21"/>
        </w:rPr>
        <w:t>）</w:t>
      </w:r>
      <w:r>
        <w:rPr>
          <w:rFonts w:cs="Calibri" w:hint="eastAsia"/>
          <w:b/>
          <w:bCs/>
          <w:color w:val="FF0000"/>
          <w:sz w:val="21"/>
          <w:szCs w:val="21"/>
        </w:rPr>
        <w:t>与企业沟通过的内部控制缺陷</w:t>
      </w:r>
    </w:p>
    <w:p w14:paraId="76184B1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）注册会计师应当了解被审计单位对</w:t>
      </w:r>
      <w:r>
        <w:rPr>
          <w:rFonts w:cs="Calibri" w:hint="eastAsia"/>
          <w:b/>
          <w:bCs/>
          <w:color w:val="FF0000"/>
          <w:sz w:val="21"/>
          <w:szCs w:val="21"/>
        </w:rPr>
        <w:t>以前年度</w:t>
      </w:r>
      <w:r>
        <w:rPr>
          <w:rFonts w:cs="Calibri" w:hint="eastAsia"/>
          <w:color w:val="3F3F3F"/>
          <w:sz w:val="21"/>
          <w:szCs w:val="21"/>
        </w:rPr>
        <w:t>审计中发现的内部控制缺陷所采取的改进措施及改进结果，并相应适当地调整本年的内部控制审计计划。如果以前年度发现的内部控制缺陷未得到有效整改，则注册会计师需要评价这些缺陷对当期的内部控制审计意见的影响。</w:t>
      </w:r>
    </w:p>
    <w:p w14:paraId="1D06318A"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）注册会计师应当阅读企业</w:t>
      </w:r>
      <w:r>
        <w:rPr>
          <w:rFonts w:cs="Calibri" w:hint="eastAsia"/>
          <w:b/>
          <w:bCs/>
          <w:color w:val="FF0000"/>
          <w:sz w:val="21"/>
          <w:szCs w:val="21"/>
        </w:rPr>
        <w:t>当期</w:t>
      </w:r>
      <w:r>
        <w:rPr>
          <w:rFonts w:cs="Calibri" w:hint="eastAsia"/>
          <w:color w:val="3F3F3F"/>
          <w:sz w:val="21"/>
          <w:szCs w:val="21"/>
        </w:rPr>
        <w:t>的</w:t>
      </w:r>
      <w:r>
        <w:rPr>
          <w:rFonts w:cs="Calibri" w:hint="eastAsia"/>
          <w:b/>
          <w:bCs/>
          <w:color w:val="FF0000"/>
          <w:sz w:val="21"/>
          <w:szCs w:val="21"/>
        </w:rPr>
        <w:t>内部审计报告</w:t>
      </w:r>
      <w:r>
        <w:rPr>
          <w:rFonts w:cs="Calibri" w:hint="eastAsia"/>
          <w:color w:val="3F3F3F"/>
          <w:sz w:val="21"/>
          <w:szCs w:val="21"/>
        </w:rPr>
        <w:t>，评价内部审计报告中发现的控制缺陷是否与内部控制审计相关且对内部控制审计程序和审计意见的影响。</w:t>
      </w:r>
    </w:p>
    <w:p w14:paraId="11A72FD0"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w:t>
      </w:r>
      <w:r>
        <w:rPr>
          <w:rFonts w:cs="Calibri" w:hint="eastAsia"/>
          <w:b/>
          <w:bCs/>
          <w:color w:val="FF0000"/>
          <w:sz w:val="21"/>
          <w:szCs w:val="21"/>
        </w:rPr>
        <w:t>重要性、风险等与确定内部控制重大缺陷相关的因素</w:t>
      </w:r>
    </w:p>
    <w:p w14:paraId="55E1E646"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对于已识别的风险，注册会计师应当评价其对财务报表和内部控制的影响程度。注册会计师应当更多地关注内部控制审计的高风险领域</w:t>
      </w:r>
      <w:r>
        <w:rPr>
          <w:rFonts w:cs="Calibri" w:hint="eastAsia"/>
          <w:color w:val="3F3F3F"/>
          <w:sz w:val="21"/>
          <w:szCs w:val="21"/>
        </w:rPr>
        <w:t>，而</w:t>
      </w:r>
      <w:r>
        <w:rPr>
          <w:rFonts w:cs="Calibri" w:hint="eastAsia"/>
          <w:b/>
          <w:bCs/>
          <w:color w:val="FF0000"/>
          <w:sz w:val="21"/>
          <w:szCs w:val="21"/>
        </w:rPr>
        <w:t>没有必要</w:t>
      </w:r>
      <w:r>
        <w:rPr>
          <w:rFonts w:cs="Calibri" w:hint="eastAsia"/>
          <w:color w:val="3F3F3F"/>
          <w:sz w:val="21"/>
          <w:szCs w:val="21"/>
        </w:rPr>
        <w:t>测试那些即使有缺陷、也不可能导致财务报表重大错报的控制。</w:t>
      </w:r>
    </w:p>
    <w:p w14:paraId="564BEF9C"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7</w:t>
      </w:r>
      <w:r>
        <w:rPr>
          <w:rFonts w:cs="Calibri" w:hint="eastAsia"/>
          <w:color w:val="3F3F3F"/>
          <w:sz w:val="21"/>
          <w:szCs w:val="21"/>
        </w:rPr>
        <w:t>）</w:t>
      </w:r>
      <w:r>
        <w:rPr>
          <w:rFonts w:cs="Calibri" w:hint="eastAsia"/>
          <w:b/>
          <w:bCs/>
          <w:color w:val="FF0000"/>
          <w:sz w:val="21"/>
          <w:szCs w:val="21"/>
        </w:rPr>
        <w:t>对内部控制有效性的初步判断</w:t>
      </w:r>
    </w:p>
    <w:p w14:paraId="3A3407E4"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注册会计师综合上述考虑以及借鉴以前年度的审计经验，形成对企业内部控制有效性的初步判断。</w:t>
      </w:r>
    </w:p>
    <w:p w14:paraId="791F95F5"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8</w:t>
      </w:r>
      <w:r>
        <w:rPr>
          <w:rFonts w:cs="Calibri" w:hint="eastAsia"/>
          <w:color w:val="3F3F3F"/>
          <w:sz w:val="21"/>
          <w:szCs w:val="21"/>
        </w:rPr>
        <w:t>）</w:t>
      </w:r>
      <w:r>
        <w:rPr>
          <w:rFonts w:cs="Calibri" w:hint="eastAsia"/>
          <w:b/>
          <w:bCs/>
          <w:color w:val="FF0000"/>
          <w:sz w:val="21"/>
          <w:szCs w:val="21"/>
        </w:rPr>
        <w:t>可获取的、与内部控制有效性相关的证据的类型和范围</w:t>
      </w:r>
    </w:p>
    <w:p w14:paraId="4BC8D9EE"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注册内部控制的特定领域存在重大缺陷的风险越高，注册会计师所需获取的审计证据客观性、可靠性越强。</w:t>
      </w:r>
    </w:p>
    <w:p w14:paraId="735D5819"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F09B2B6"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219E53C"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计划内部控制审计工作时，注册会计师需要了解的企业内部控制的变化包括（　　）。</w:t>
      </w:r>
    </w:p>
    <w:p w14:paraId="067BDE9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新增的业务流程</w:t>
      </w:r>
    </w:p>
    <w:p w14:paraId="59178F70"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原有业务流程的更新</w:t>
      </w:r>
    </w:p>
    <w:p w14:paraId="77E69F30"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内</w:t>
      </w:r>
      <w:r>
        <w:rPr>
          <w:rFonts w:cs="Calibri" w:hint="eastAsia"/>
          <w:color w:val="3F3F3F"/>
          <w:sz w:val="21"/>
          <w:szCs w:val="21"/>
        </w:rPr>
        <w:t>部控制执行人的变更</w:t>
      </w:r>
    </w:p>
    <w:p w14:paraId="6575FD08"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风险评估结果的变化</w:t>
      </w:r>
    </w:p>
    <w:p w14:paraId="7A78FAD6"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0E3BE945" w14:textId="77777777" w:rsidR="00000000" w:rsidRDefault="00BA07AE">
      <w:pPr>
        <w:pStyle w:val="a9"/>
        <w:shd w:val="clear" w:color="auto" w:fill="FFFFFF"/>
        <w:spacing w:before="0" w:beforeAutospacing="0" w:after="0" w:afterAutospacing="0"/>
        <w:ind w:firstLine="413"/>
        <w:jc w:val="both"/>
        <w:rPr>
          <w:rFonts w:cs="Calibri" w:hint="eastAsia"/>
          <w:b/>
          <w:bCs/>
          <w:color w:val="3F3F3F"/>
          <w:sz w:val="21"/>
          <w:szCs w:val="21"/>
        </w:rPr>
      </w:pPr>
      <w:r>
        <w:rPr>
          <w:rFonts w:cs="Calibri" w:hint="eastAsia"/>
          <w:b/>
          <w:bCs/>
          <w:color w:val="3F3F3F"/>
          <w:sz w:val="21"/>
          <w:szCs w:val="21"/>
        </w:rPr>
        <w:t>多项选择题【模拟题】</w:t>
      </w:r>
    </w:p>
    <w:p w14:paraId="2B70A38E" w14:textId="77777777" w:rsidR="00000000" w:rsidRDefault="00BA07AE">
      <w:pPr>
        <w:pStyle w:val="a9"/>
        <w:shd w:val="clear" w:color="auto" w:fill="FFFFFF"/>
        <w:spacing w:before="0" w:beforeAutospacing="0" w:after="0" w:afterAutospacing="0"/>
        <w:ind w:firstLine="413"/>
        <w:jc w:val="both"/>
        <w:rPr>
          <w:rFonts w:cs="Calibri" w:hint="eastAsia"/>
          <w:b/>
          <w:bCs/>
          <w:color w:val="3F3F3F"/>
          <w:sz w:val="21"/>
          <w:szCs w:val="21"/>
        </w:rPr>
      </w:pPr>
      <w:r>
        <w:rPr>
          <w:rFonts w:cs="Calibri" w:hint="eastAsia"/>
          <w:b/>
          <w:bCs/>
          <w:color w:val="3F3F3F"/>
          <w:sz w:val="21"/>
          <w:szCs w:val="21"/>
        </w:rPr>
        <w:t xml:space="preserve"> </w:t>
      </w:r>
    </w:p>
    <w:p w14:paraId="1B3F4DDD"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对于内部控制可能存在重大缺陷的领域，注册会计师可能采取的措施包括（　　）。</w:t>
      </w:r>
    </w:p>
    <w:p w14:paraId="669AD181"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对相关的内部控制利用内部审计的工作</w:t>
      </w:r>
    </w:p>
    <w:p w14:paraId="5C6420D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在接近内部控制评价基准日的时间测试内部控制</w:t>
      </w:r>
    </w:p>
    <w:p w14:paraId="084DF125"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选择更多的子公司或业务部门进行测试</w:t>
      </w:r>
    </w:p>
    <w:p w14:paraId="3128BBA9"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增加相关内部控制的控制测试量</w:t>
      </w:r>
    </w:p>
    <w:p w14:paraId="02B4041C"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4F0E651C"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中，对于内部控制可能存在重大缺陷的领域，注册会计师应给予充分的关注，对相关的内部控制亲自进行测试而非利用他人工作。</w:t>
      </w:r>
    </w:p>
    <w:p w14:paraId="7649D330"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总体审计策略</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2</w:t>
      </w:r>
      <w:r>
        <w:rPr>
          <w:rFonts w:cs="Calibri" w:hint="eastAsia"/>
          <w:b/>
          <w:bCs/>
          <w:color w:val="FF0000"/>
          <w:sz w:val="21"/>
          <w:szCs w:val="21"/>
        </w:rPr>
        <w:t>章</w:t>
      </w:r>
      <w:r>
        <w:rPr>
          <w:rFonts w:cs="Calibri" w:hint="eastAsia"/>
          <w:b/>
          <w:bCs/>
          <w:color w:val="FF0000"/>
          <w:sz w:val="21"/>
          <w:szCs w:val="21"/>
        </w:rPr>
        <w:t>]</w:t>
      </w:r>
    </w:p>
    <w:p w14:paraId="0937DE7D"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）确定</w:t>
      </w:r>
      <w:r>
        <w:rPr>
          <w:rFonts w:cs="Calibri" w:hint="eastAsia"/>
          <w:color w:val="3F3F3F"/>
          <w:sz w:val="21"/>
          <w:szCs w:val="21"/>
        </w:rPr>
        <w:t>审计业务的特征，以界定审计范围；</w:t>
      </w:r>
    </w:p>
    <w:p w14:paraId="3F5F133D"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）明确审计业务的报告目标，以计划审计的时间安排和所需沟通的性质；</w:t>
      </w:r>
    </w:p>
    <w:p w14:paraId="3D71DCFB"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）根据职业判断，考虑用以指导项目组工作方向的重要因素；</w:t>
      </w:r>
    </w:p>
    <w:p w14:paraId="54377082"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）考虑初步业务活动的结果，并考虑对被审计单位执行其他业务时获得的经验是否与内部控制审计业务相关；</w:t>
      </w:r>
    </w:p>
    <w:p w14:paraId="6DE41792"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）确定执行业务所需资源的性质、时间安排和范围。</w:t>
      </w:r>
    </w:p>
    <w:p w14:paraId="62692EE7"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8393F49"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73DDEE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下列各项中，属于注册会计师在制定内部控制审计的总体审计策略时需要考虑的因素有（　　）。</w:t>
      </w:r>
    </w:p>
    <w:p w14:paraId="2B9C7E9C"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被审计单位采用的内部控制标准</w:t>
      </w:r>
    </w:p>
    <w:p w14:paraId="2DB1FFD7"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财务报表整体的重要性和实际执</w:t>
      </w:r>
      <w:r>
        <w:rPr>
          <w:rFonts w:cs="Calibri" w:hint="eastAsia"/>
          <w:color w:val="3F3F3F"/>
          <w:sz w:val="21"/>
          <w:szCs w:val="21"/>
        </w:rPr>
        <w:t>行的重要性</w:t>
      </w:r>
    </w:p>
    <w:p w14:paraId="20B0946E"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注册会计师在执行财务报表审计时对被审计单位财务报告内部控制的了解</w:t>
      </w:r>
    </w:p>
    <w:p w14:paraId="313AF1B7"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以前审计中对内部控制运行有效性评价的结果</w:t>
      </w:r>
    </w:p>
    <w:p w14:paraId="3D57C456"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6B13DC5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具体审计计划</w:t>
      </w:r>
    </w:p>
    <w:p w14:paraId="73F8481F"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w:t>
      </w:r>
      <w:r>
        <w:rPr>
          <w:rFonts w:cs="Calibri" w:hint="eastAsia"/>
          <w:b/>
          <w:bCs/>
          <w:color w:val="FF0000"/>
          <w:sz w:val="21"/>
          <w:szCs w:val="21"/>
        </w:rPr>
        <w:t>了解和识别</w:t>
      </w:r>
      <w:r>
        <w:rPr>
          <w:rFonts w:cs="Calibri" w:hint="eastAsia"/>
          <w:color w:val="3F3F3F"/>
          <w:sz w:val="21"/>
          <w:szCs w:val="21"/>
        </w:rPr>
        <w:t>内部控制的程序的性质、时间安排和范围；</w:t>
      </w:r>
    </w:p>
    <w:p w14:paraId="16F3C3BA"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）测试控制</w:t>
      </w:r>
      <w:r>
        <w:rPr>
          <w:rFonts w:cs="Calibri" w:hint="eastAsia"/>
          <w:b/>
          <w:bCs/>
          <w:color w:val="FF0000"/>
          <w:sz w:val="21"/>
          <w:szCs w:val="21"/>
        </w:rPr>
        <w:t>设计有效性</w:t>
      </w:r>
      <w:r>
        <w:rPr>
          <w:rFonts w:cs="Calibri" w:hint="eastAsia"/>
          <w:color w:val="3F3F3F"/>
          <w:sz w:val="21"/>
          <w:szCs w:val="21"/>
        </w:rPr>
        <w:t>的程序的性质、时间安排和范围；</w:t>
      </w:r>
    </w:p>
    <w:p w14:paraId="20A870CB"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3</w:t>
      </w:r>
      <w:r>
        <w:rPr>
          <w:rFonts w:cs="Calibri" w:hint="eastAsia"/>
          <w:color w:val="3F3F3F"/>
          <w:sz w:val="21"/>
          <w:szCs w:val="21"/>
        </w:rPr>
        <w:t>）测试控制</w:t>
      </w:r>
      <w:r>
        <w:rPr>
          <w:rFonts w:cs="Calibri" w:hint="eastAsia"/>
          <w:b/>
          <w:bCs/>
          <w:color w:val="FF0000"/>
          <w:sz w:val="21"/>
          <w:szCs w:val="21"/>
        </w:rPr>
        <w:t>运行有效性</w:t>
      </w:r>
      <w:r>
        <w:rPr>
          <w:rFonts w:cs="Calibri" w:hint="eastAsia"/>
          <w:color w:val="3F3F3F"/>
          <w:sz w:val="21"/>
          <w:szCs w:val="21"/>
        </w:rPr>
        <w:t>的程序的性质、时间安排和范围。</w:t>
      </w:r>
    </w:p>
    <w:p w14:paraId="78FBD464"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二、内部控制审计的方法论——自上而下的方法</w:t>
      </w:r>
    </w:p>
    <w:p w14:paraId="700FE674"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w:instrText>
      </w:r>
      <w:r>
        <w:rPr>
          <w:rFonts w:cs="Calibri"/>
          <w:color w:val="3F3F3F"/>
          <w:sz w:val="21"/>
          <w:szCs w:val="21"/>
        </w:rPr>
        <w:instrText xml:space="preserve">2019/20190711/20190711101053709002.png" \* MERGEFORMATINET </w:instrText>
      </w:r>
      <w:r>
        <w:rPr>
          <w:rFonts w:cs="Calibri"/>
          <w:color w:val="3F3F3F"/>
          <w:sz w:val="21"/>
          <w:szCs w:val="21"/>
        </w:rPr>
        <w:fldChar w:fldCharType="separate"/>
      </w:r>
      <w:r>
        <w:rPr>
          <w:rFonts w:cs="Calibri"/>
          <w:color w:val="3F3F3F"/>
          <w:sz w:val="21"/>
          <w:szCs w:val="21"/>
        </w:rPr>
        <w:pict w14:anchorId="4D49D512">
          <v:shape id="图片 3" o:spid="_x0000_i1027" type="#_x0000_t75" style="width:382.5pt;height:267.75pt;mso-wrap-style:square;mso-position-horizontal-relative:page;mso-position-vertical-relative:page">
            <v:imagedata r:id="rId8" r:href="rId9"/>
          </v:shape>
        </w:pict>
      </w:r>
      <w:r>
        <w:rPr>
          <w:rFonts w:cs="Calibri"/>
          <w:color w:val="3F3F3F"/>
          <w:sz w:val="21"/>
          <w:szCs w:val="21"/>
        </w:rPr>
        <w:fldChar w:fldCharType="end"/>
      </w:r>
    </w:p>
    <w:p w14:paraId="2D08E029"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（一）识别、了解和测试企业层面控制</w:t>
      </w:r>
    </w:p>
    <w:p w14:paraId="488C4DA6"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企业层面控制的含义</w:t>
      </w:r>
    </w:p>
    <w:p w14:paraId="498BC174"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）企业层面的控制通常为应对企业财务报表</w:t>
      </w:r>
      <w:r>
        <w:rPr>
          <w:rFonts w:cs="Calibri" w:hint="eastAsia"/>
          <w:b/>
          <w:bCs/>
          <w:color w:val="FF0000"/>
          <w:sz w:val="21"/>
          <w:szCs w:val="21"/>
        </w:rPr>
        <w:t>整体层面的风险</w:t>
      </w:r>
      <w:r>
        <w:rPr>
          <w:rFonts w:cs="Calibri" w:hint="eastAsia"/>
          <w:color w:val="3F3F3F"/>
          <w:sz w:val="21"/>
          <w:szCs w:val="21"/>
        </w:rPr>
        <w:t>而设计，通常在比业务流程更高的层面上乃至整个企业范围内运行；</w:t>
      </w:r>
    </w:p>
    <w:p w14:paraId="11896B6A"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）作用比较广泛，通常</w:t>
      </w:r>
      <w:r>
        <w:rPr>
          <w:rFonts w:cs="Calibri" w:hint="eastAsia"/>
          <w:b/>
          <w:bCs/>
          <w:color w:val="FF0000"/>
          <w:sz w:val="21"/>
          <w:szCs w:val="21"/>
        </w:rPr>
        <w:t>不局限于</w:t>
      </w:r>
      <w:r>
        <w:rPr>
          <w:rFonts w:cs="Calibri" w:hint="eastAsia"/>
          <w:color w:val="3F3F3F"/>
          <w:sz w:val="21"/>
          <w:szCs w:val="21"/>
        </w:rPr>
        <w:t>某个具体认定。</w:t>
      </w:r>
    </w:p>
    <w:p w14:paraId="5FEA870A"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企业层面控制的内容</w:t>
      </w:r>
      <w:r>
        <w:rPr>
          <w:rFonts w:cs="Calibri" w:hint="eastAsia"/>
          <w:b/>
          <w:bCs/>
          <w:color w:val="FF0000"/>
          <w:sz w:val="21"/>
          <w:szCs w:val="21"/>
        </w:rPr>
        <w:t>【多选题考点】</w:t>
      </w:r>
    </w:p>
    <w:p w14:paraId="434B7A0D"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）与控制</w:t>
      </w:r>
      <w:r>
        <w:rPr>
          <w:rFonts w:cs="Calibri" w:hint="eastAsia"/>
          <w:b/>
          <w:bCs/>
          <w:color w:val="FF0000"/>
          <w:sz w:val="21"/>
          <w:szCs w:val="21"/>
        </w:rPr>
        <w:t>环境</w:t>
      </w:r>
      <w:r>
        <w:rPr>
          <w:rFonts w:cs="Calibri" w:hint="eastAsia"/>
          <w:color w:val="3F3F3F"/>
          <w:sz w:val="21"/>
          <w:szCs w:val="21"/>
        </w:rPr>
        <w:t>（即内部环境）相关的控制；</w:t>
      </w:r>
    </w:p>
    <w:p w14:paraId="41962262"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）针对管理层和治理层</w:t>
      </w:r>
      <w:r>
        <w:rPr>
          <w:rFonts w:cs="Calibri" w:hint="eastAsia"/>
          <w:b/>
          <w:bCs/>
          <w:color w:val="FF0000"/>
          <w:sz w:val="21"/>
          <w:szCs w:val="21"/>
        </w:rPr>
        <w:t>凌驾</w:t>
      </w:r>
      <w:r>
        <w:rPr>
          <w:rFonts w:cs="Calibri" w:hint="eastAsia"/>
          <w:color w:val="3F3F3F"/>
          <w:sz w:val="21"/>
          <w:szCs w:val="21"/>
        </w:rPr>
        <w:t>于控制之上的风险而设计的控制；</w:t>
      </w:r>
    </w:p>
    <w:p w14:paraId="37B1E564"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）被审计单位的</w:t>
      </w:r>
      <w:r>
        <w:rPr>
          <w:rFonts w:cs="Calibri" w:hint="eastAsia"/>
          <w:b/>
          <w:bCs/>
          <w:color w:val="FF0000"/>
          <w:sz w:val="21"/>
          <w:szCs w:val="21"/>
        </w:rPr>
        <w:t>风险评估过程</w:t>
      </w:r>
      <w:r>
        <w:rPr>
          <w:rFonts w:cs="Calibri" w:hint="eastAsia"/>
          <w:color w:val="3F3F3F"/>
          <w:sz w:val="21"/>
          <w:szCs w:val="21"/>
        </w:rPr>
        <w:t>；</w:t>
      </w:r>
    </w:p>
    <w:p w14:paraId="3EB9F45C"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）对内部信息传递和期末财务</w:t>
      </w:r>
      <w:r>
        <w:rPr>
          <w:rFonts w:cs="Calibri" w:hint="eastAsia"/>
          <w:b/>
          <w:bCs/>
          <w:color w:val="FF0000"/>
          <w:sz w:val="21"/>
          <w:szCs w:val="21"/>
        </w:rPr>
        <w:t>报告流程</w:t>
      </w:r>
      <w:r>
        <w:rPr>
          <w:rFonts w:cs="Calibri" w:hint="eastAsia"/>
          <w:color w:val="3F3F3F"/>
          <w:sz w:val="21"/>
          <w:szCs w:val="21"/>
        </w:rPr>
        <w:t>的控制；</w:t>
      </w:r>
    </w:p>
    <w:p w14:paraId="7EE04EC0"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）对控制有效性的内部</w:t>
      </w:r>
      <w:r>
        <w:rPr>
          <w:rFonts w:cs="Calibri" w:hint="eastAsia"/>
          <w:b/>
          <w:bCs/>
          <w:color w:val="FF0000"/>
          <w:sz w:val="21"/>
          <w:szCs w:val="21"/>
        </w:rPr>
        <w:t>监督</w:t>
      </w:r>
      <w:r>
        <w:rPr>
          <w:rFonts w:cs="Calibri" w:hint="eastAsia"/>
          <w:color w:val="3F3F3F"/>
          <w:sz w:val="21"/>
          <w:szCs w:val="21"/>
        </w:rPr>
        <w:t>（即监督其他控制的控制）</w:t>
      </w:r>
      <w:r>
        <w:rPr>
          <w:rFonts w:cs="Calibri" w:hint="eastAsia"/>
          <w:color w:val="3F3F3F"/>
          <w:sz w:val="21"/>
          <w:szCs w:val="21"/>
        </w:rPr>
        <w:t xml:space="preserve"> </w:t>
      </w:r>
      <w:r>
        <w:rPr>
          <w:rFonts w:cs="Calibri" w:hint="eastAsia"/>
          <w:color w:val="3F3F3F"/>
          <w:sz w:val="21"/>
          <w:szCs w:val="21"/>
        </w:rPr>
        <w:t>和内部控制评价；</w:t>
      </w:r>
    </w:p>
    <w:p w14:paraId="7E3A1A13"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w:t>
      </w:r>
      <w:r>
        <w:rPr>
          <w:rFonts w:cs="Calibri" w:hint="eastAsia"/>
          <w:b/>
          <w:bCs/>
          <w:color w:val="FF0000"/>
          <w:sz w:val="21"/>
          <w:szCs w:val="21"/>
        </w:rPr>
        <w:t>集中化</w:t>
      </w:r>
      <w:r>
        <w:rPr>
          <w:rFonts w:cs="Calibri" w:hint="eastAsia"/>
          <w:color w:val="3F3F3F"/>
          <w:sz w:val="21"/>
          <w:szCs w:val="21"/>
        </w:rPr>
        <w:t>的处理和控制（包括共享的服务环境）</w:t>
      </w:r>
      <w:r>
        <w:rPr>
          <w:rFonts w:cs="Calibri" w:hint="eastAsia"/>
          <w:color w:val="3F3F3F"/>
          <w:sz w:val="21"/>
          <w:szCs w:val="21"/>
        </w:rPr>
        <w:t xml:space="preserve"> </w:t>
      </w:r>
      <w:r>
        <w:rPr>
          <w:rFonts w:cs="Calibri" w:hint="eastAsia"/>
          <w:color w:val="3F3F3F"/>
          <w:sz w:val="21"/>
          <w:szCs w:val="21"/>
        </w:rPr>
        <w:t>、监控经营成果的控制以及针对重大经营控制及风险管理实务的政策。</w:t>
      </w:r>
    </w:p>
    <w:p w14:paraId="160754B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企业层面控制对其他控制及其测试的影响</w:t>
      </w:r>
    </w:p>
    <w:p w14:paraId="32490C01"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不同的企业层面控制在</w:t>
      </w:r>
      <w:r>
        <w:rPr>
          <w:rFonts w:cs="Calibri" w:hint="eastAsia"/>
          <w:b/>
          <w:bCs/>
          <w:color w:val="FF0000"/>
          <w:sz w:val="21"/>
          <w:szCs w:val="21"/>
        </w:rPr>
        <w:t>性质和精确度</w:t>
      </w:r>
      <w:r>
        <w:rPr>
          <w:rFonts w:cs="Calibri" w:hint="eastAsia"/>
          <w:color w:val="3F3F3F"/>
          <w:sz w:val="21"/>
          <w:szCs w:val="21"/>
        </w:rPr>
        <w:t>上存在差异，注册会计师对企业层面控制的评价，</w:t>
      </w:r>
      <w:r>
        <w:rPr>
          <w:rFonts w:cs="Calibri" w:hint="eastAsia"/>
          <w:b/>
          <w:bCs/>
          <w:color w:val="FF0000"/>
          <w:sz w:val="21"/>
          <w:szCs w:val="21"/>
        </w:rPr>
        <w:t>可能增加或减少</w:t>
      </w:r>
      <w:r>
        <w:rPr>
          <w:rFonts w:cs="Calibri" w:hint="eastAsia"/>
          <w:color w:val="3F3F3F"/>
          <w:sz w:val="21"/>
          <w:szCs w:val="21"/>
        </w:rPr>
        <w:t>本应对其他控制所进行的测试。</w:t>
      </w:r>
    </w:p>
    <w:p w14:paraId="375E45F3"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）与</w:t>
      </w:r>
      <w:r>
        <w:rPr>
          <w:rFonts w:cs="Calibri" w:hint="eastAsia"/>
          <w:b/>
          <w:bCs/>
          <w:color w:val="FF0000"/>
          <w:sz w:val="21"/>
          <w:szCs w:val="21"/>
        </w:rPr>
        <w:t>控制环境</w:t>
      </w:r>
      <w:r>
        <w:rPr>
          <w:rFonts w:cs="Calibri" w:hint="eastAsia"/>
          <w:color w:val="3F3F3F"/>
          <w:sz w:val="21"/>
          <w:szCs w:val="21"/>
        </w:rPr>
        <w:t>相关的控制，对及时防止或发现并纠正相关认定的错报的可能性有</w:t>
      </w:r>
      <w:r>
        <w:rPr>
          <w:rFonts w:cs="Calibri" w:hint="eastAsia"/>
          <w:b/>
          <w:bCs/>
          <w:color w:val="FF0000"/>
          <w:sz w:val="21"/>
          <w:szCs w:val="21"/>
        </w:rPr>
        <w:t>间接的重要影响</w:t>
      </w:r>
      <w:r>
        <w:rPr>
          <w:rFonts w:cs="Calibri" w:hint="eastAsia"/>
          <w:color w:val="3F3F3F"/>
          <w:sz w:val="21"/>
          <w:szCs w:val="21"/>
        </w:rPr>
        <w:t>，可能</w:t>
      </w:r>
      <w:r>
        <w:rPr>
          <w:rFonts w:cs="Calibri" w:hint="eastAsia"/>
          <w:b/>
          <w:bCs/>
          <w:color w:val="FF0000"/>
          <w:sz w:val="21"/>
          <w:szCs w:val="21"/>
        </w:rPr>
        <w:t>影响</w:t>
      </w:r>
      <w:r>
        <w:rPr>
          <w:rFonts w:cs="Calibri" w:hint="eastAsia"/>
          <w:color w:val="3F3F3F"/>
          <w:sz w:val="21"/>
          <w:szCs w:val="21"/>
        </w:rPr>
        <w:t>注册</w:t>
      </w:r>
      <w:r>
        <w:rPr>
          <w:rFonts w:cs="Calibri" w:hint="eastAsia"/>
          <w:color w:val="3F3F3F"/>
          <w:sz w:val="21"/>
          <w:szCs w:val="21"/>
        </w:rPr>
        <w:t>会计师拟测试的其他控制及其对其他控制所执行程序的性质、时间安排和范围。</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7</w:t>
      </w:r>
      <w:r>
        <w:rPr>
          <w:rFonts w:cs="Calibri" w:hint="eastAsia"/>
          <w:b/>
          <w:bCs/>
          <w:color w:val="FF0000"/>
          <w:sz w:val="21"/>
          <w:szCs w:val="21"/>
        </w:rPr>
        <w:t>章</w:t>
      </w:r>
      <w:r>
        <w:rPr>
          <w:rFonts w:cs="Calibri" w:hint="eastAsia"/>
          <w:b/>
          <w:bCs/>
          <w:color w:val="FF0000"/>
          <w:sz w:val="21"/>
          <w:szCs w:val="21"/>
        </w:rPr>
        <w:t>]</w:t>
      </w:r>
    </w:p>
    <w:p w14:paraId="36AE4EF9"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）某些企业层面控制能够</w:t>
      </w:r>
      <w:r>
        <w:rPr>
          <w:rFonts w:cs="Calibri" w:hint="eastAsia"/>
          <w:b/>
          <w:bCs/>
          <w:color w:val="FF0000"/>
          <w:sz w:val="21"/>
          <w:szCs w:val="21"/>
        </w:rPr>
        <w:t>监督</w:t>
      </w:r>
      <w:r>
        <w:rPr>
          <w:rFonts w:cs="Calibri" w:hint="eastAsia"/>
          <w:color w:val="3F3F3F"/>
          <w:sz w:val="21"/>
          <w:szCs w:val="21"/>
        </w:rPr>
        <w:t>其他控制的有效性，但本身</w:t>
      </w:r>
      <w:r>
        <w:rPr>
          <w:rFonts w:cs="Calibri" w:hint="eastAsia"/>
          <w:b/>
          <w:bCs/>
          <w:color w:val="FF0000"/>
          <w:sz w:val="21"/>
          <w:szCs w:val="21"/>
        </w:rPr>
        <w:t>并非</w:t>
      </w:r>
      <w:r>
        <w:rPr>
          <w:rFonts w:cs="Calibri" w:hint="eastAsia"/>
          <w:color w:val="3F3F3F"/>
          <w:sz w:val="21"/>
          <w:szCs w:val="21"/>
        </w:rPr>
        <w:t>精确到足以及时防止或发现相关认定的重大错报。当这些控制运行有效时，注册会计师</w:t>
      </w:r>
      <w:r>
        <w:rPr>
          <w:rFonts w:cs="Calibri" w:hint="eastAsia"/>
          <w:b/>
          <w:bCs/>
          <w:color w:val="FF0000"/>
          <w:sz w:val="21"/>
          <w:szCs w:val="21"/>
        </w:rPr>
        <w:t>可以减少</w:t>
      </w:r>
      <w:r>
        <w:rPr>
          <w:rFonts w:cs="Calibri" w:hint="eastAsia"/>
          <w:color w:val="3F3F3F"/>
          <w:sz w:val="21"/>
          <w:szCs w:val="21"/>
        </w:rPr>
        <w:t>对其他控制的测试。</w:t>
      </w:r>
    </w:p>
    <w:p w14:paraId="58187C2D"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）某些企业层面控制本身能够</w:t>
      </w:r>
      <w:r>
        <w:rPr>
          <w:rFonts w:cs="Calibri" w:hint="eastAsia"/>
          <w:b/>
          <w:bCs/>
          <w:color w:val="FF0000"/>
          <w:sz w:val="21"/>
          <w:szCs w:val="21"/>
        </w:rPr>
        <w:t>精确</w:t>
      </w:r>
      <w:r>
        <w:rPr>
          <w:rFonts w:cs="Calibri" w:hint="eastAsia"/>
          <w:color w:val="3F3F3F"/>
          <w:sz w:val="21"/>
          <w:szCs w:val="21"/>
        </w:rPr>
        <w:t>到足以及时防止或发现并纠正相关</w:t>
      </w:r>
      <w:r>
        <w:rPr>
          <w:rFonts w:cs="Calibri" w:hint="eastAsia"/>
          <w:b/>
          <w:bCs/>
          <w:color w:val="FF0000"/>
          <w:sz w:val="21"/>
          <w:szCs w:val="21"/>
        </w:rPr>
        <w:t>认定的错报</w:t>
      </w:r>
      <w:r>
        <w:rPr>
          <w:rFonts w:cs="Calibri" w:hint="eastAsia"/>
          <w:color w:val="3F3F3F"/>
          <w:sz w:val="21"/>
          <w:szCs w:val="21"/>
        </w:rPr>
        <w:t>。如果一项企业层面控制足以应对已评估的错报风险，注册会计师就</w:t>
      </w:r>
      <w:r>
        <w:rPr>
          <w:rFonts w:cs="Calibri" w:hint="eastAsia"/>
          <w:b/>
          <w:bCs/>
          <w:color w:val="FF0000"/>
          <w:sz w:val="21"/>
          <w:szCs w:val="21"/>
        </w:rPr>
        <w:t>不必测试</w:t>
      </w:r>
      <w:r>
        <w:rPr>
          <w:rFonts w:cs="Calibri" w:hint="eastAsia"/>
          <w:color w:val="3F3F3F"/>
          <w:sz w:val="21"/>
          <w:szCs w:val="21"/>
        </w:rPr>
        <w:t>与该风险相关的其他控制。</w:t>
      </w:r>
    </w:p>
    <w:p w14:paraId="3E609C65"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w:instrText>
      </w:r>
      <w:r>
        <w:rPr>
          <w:rFonts w:cs="Calibri"/>
          <w:color w:val="3F3F3F"/>
          <w:sz w:val="21"/>
          <w:szCs w:val="21"/>
        </w:rPr>
        <w:instrText xml:space="preserve">com/biz/handout/img/2019/20190711/20190711101053728003.png" \* MERGEFORMATINET </w:instrText>
      </w:r>
      <w:r>
        <w:rPr>
          <w:rFonts w:cs="Calibri"/>
          <w:color w:val="3F3F3F"/>
          <w:sz w:val="21"/>
          <w:szCs w:val="21"/>
        </w:rPr>
        <w:fldChar w:fldCharType="separate"/>
      </w:r>
      <w:r>
        <w:rPr>
          <w:rFonts w:cs="Calibri"/>
          <w:color w:val="3F3F3F"/>
          <w:sz w:val="21"/>
          <w:szCs w:val="21"/>
        </w:rPr>
        <w:pict>
          <v:shape id="图片 4" o:spid="_x0000_i1028" type="#_x0000_t75" style="width:420pt;height:251.25pt;mso-wrap-style:square;mso-position-horizontal-relative:page;mso-position-vertical-relative:page">
            <v:imagedata r:id="rId10" r:href="rId11"/>
          </v:shape>
        </w:pict>
      </w:r>
      <w:r>
        <w:rPr>
          <w:rFonts w:cs="Calibri"/>
          <w:color w:val="3F3F3F"/>
          <w:sz w:val="21"/>
          <w:szCs w:val="21"/>
        </w:rPr>
        <w:fldChar w:fldCharType="end"/>
      </w:r>
    </w:p>
    <w:p w14:paraId="1B5CA490"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C21E1EF"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AE55B7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下列与企业层面控制相关说法中，错误的有（　　）。</w:t>
      </w:r>
    </w:p>
    <w:p w14:paraId="5BF22B82"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企业层面控制通常不局限于某个具体认定，因此无法及时防止或发现一个或多个相关认定中存在的重大错报</w:t>
      </w:r>
    </w:p>
    <w:p w14:paraId="747C072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如果一项企业层面控制足以应对已评估的重大错报风险，注册会计师可能不必测试与该风险相关的其他控制</w:t>
      </w:r>
    </w:p>
    <w:p w14:paraId="552C00DE"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注册会计师无须考虑对重大错报是否能够被及时防止或发现</w:t>
      </w:r>
      <w:r>
        <w:rPr>
          <w:rFonts w:cs="Calibri" w:hint="eastAsia"/>
          <w:color w:val="3F3F3F"/>
          <w:sz w:val="21"/>
          <w:szCs w:val="21"/>
        </w:rPr>
        <w:t>的可能性有间接影响的企业层面控制</w:t>
      </w:r>
    </w:p>
    <w:p w14:paraId="142A356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注册会计师对企业层面控制的评价，可能增加或减少本应对其他控制所进行的测试</w:t>
      </w:r>
    </w:p>
    <w:p w14:paraId="32500B82"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w:t>
      </w:r>
    </w:p>
    <w:p w14:paraId="43D65890"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中，某些企业层面控制</w:t>
      </w:r>
      <w:r>
        <w:rPr>
          <w:rFonts w:cs="Calibri" w:hint="eastAsia"/>
          <w:b/>
          <w:bCs/>
          <w:color w:val="FF0000"/>
          <w:sz w:val="21"/>
          <w:szCs w:val="21"/>
        </w:rPr>
        <w:t>本身能精确到</w:t>
      </w:r>
      <w:r>
        <w:rPr>
          <w:rFonts w:cs="Calibri" w:hint="eastAsia"/>
          <w:color w:val="3F3F3F"/>
          <w:sz w:val="21"/>
          <w:szCs w:val="21"/>
        </w:rPr>
        <w:t>足以及时防止或发现一个或多个相关认定中存在的重大错报。选项</w:t>
      </w:r>
      <w:r>
        <w:rPr>
          <w:rFonts w:cs="Calibri" w:hint="eastAsia"/>
          <w:color w:val="3F3F3F"/>
          <w:sz w:val="21"/>
          <w:szCs w:val="21"/>
        </w:rPr>
        <w:t>C</w:t>
      </w:r>
      <w:r>
        <w:rPr>
          <w:rFonts w:cs="Calibri" w:hint="eastAsia"/>
          <w:color w:val="3F3F3F"/>
          <w:sz w:val="21"/>
          <w:szCs w:val="21"/>
        </w:rPr>
        <w:t>中，某些企业层面控制，对重大错报是否能够被及时防止或发现的可能性有重要影响，虽然这种影响是</w:t>
      </w:r>
      <w:r>
        <w:rPr>
          <w:rFonts w:cs="Calibri" w:hint="eastAsia"/>
          <w:b/>
          <w:bCs/>
          <w:color w:val="FF0000"/>
          <w:sz w:val="21"/>
          <w:szCs w:val="21"/>
        </w:rPr>
        <w:t>间接</w:t>
      </w:r>
      <w:r>
        <w:rPr>
          <w:rFonts w:cs="Calibri" w:hint="eastAsia"/>
          <w:color w:val="3F3F3F"/>
          <w:sz w:val="21"/>
          <w:szCs w:val="21"/>
        </w:rPr>
        <w:t>的，但这些控制可能影响注册会计师拟测试的其他控制及其对其他控制所执行程序的性质、时间安排和范围，注册会计师应当予以考虑。</w:t>
      </w:r>
    </w:p>
    <w:p w14:paraId="11105A17"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（二）识别重要账户、列报及其相关认定</w:t>
      </w:r>
    </w:p>
    <w:p w14:paraId="3B5CECA9"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重要账户、列报及相关认</w:t>
      </w:r>
      <w:r>
        <w:rPr>
          <w:rFonts w:cs="Calibri" w:hint="eastAsia"/>
          <w:color w:val="3F3F3F"/>
          <w:sz w:val="21"/>
          <w:szCs w:val="21"/>
        </w:rPr>
        <w:t>定的含义</w:t>
      </w:r>
      <w:r>
        <w:rPr>
          <w:rFonts w:cs="Calibri" w:hint="eastAsia"/>
          <w:b/>
          <w:bCs/>
          <w:color w:val="FF0000"/>
          <w:sz w:val="21"/>
          <w:szCs w:val="21"/>
        </w:rPr>
        <w:t>【单选题考点】</w:t>
      </w:r>
    </w:p>
    <w:p w14:paraId="76EFF418"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）注册会计师在确定重要性水平之后，应当识别重要账户、列报及其相关认定。</w:t>
      </w:r>
    </w:p>
    <w:p w14:paraId="6E7441B7"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）某账户或列报可能存在一个错报，该错报单独或连同其他错报将导致财务报表发生重大错报，则该账户或列报为重要账户或列报。</w:t>
      </w:r>
    </w:p>
    <w:p w14:paraId="7D09F333"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）如果某财务报表认定可能存在一个或多个错报，这些错报将导致财务报表发生重大错报，则该认定为相关认定。</w:t>
      </w:r>
    </w:p>
    <w:p w14:paraId="01C3F71F"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）在识别重要账户、列报及相关认定时，应当依据其</w:t>
      </w:r>
      <w:r>
        <w:rPr>
          <w:rFonts w:cs="Calibri" w:hint="eastAsia"/>
          <w:b/>
          <w:bCs/>
          <w:color w:val="FF0000"/>
          <w:sz w:val="21"/>
          <w:szCs w:val="21"/>
        </w:rPr>
        <w:t>固有风险</w:t>
      </w:r>
      <w:r>
        <w:rPr>
          <w:rFonts w:cs="Calibri" w:hint="eastAsia"/>
          <w:color w:val="3F3F3F"/>
          <w:sz w:val="21"/>
          <w:szCs w:val="21"/>
        </w:rPr>
        <w:t>，而</w:t>
      </w:r>
      <w:r>
        <w:rPr>
          <w:rFonts w:cs="Calibri" w:hint="eastAsia"/>
          <w:b/>
          <w:bCs/>
          <w:color w:val="FF0000"/>
          <w:sz w:val="21"/>
          <w:szCs w:val="21"/>
        </w:rPr>
        <w:t>不应考虑</w:t>
      </w:r>
      <w:r>
        <w:rPr>
          <w:rFonts w:cs="Calibri" w:hint="eastAsia"/>
          <w:color w:val="3F3F3F"/>
          <w:sz w:val="21"/>
          <w:szCs w:val="21"/>
        </w:rPr>
        <w:t>相关控制的影响。</w:t>
      </w:r>
    </w:p>
    <w:p w14:paraId="55EC2306"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识别要求</w:t>
      </w:r>
      <w:r>
        <w:rPr>
          <w:rFonts w:cs="Calibri" w:hint="eastAsia"/>
          <w:b/>
          <w:bCs/>
          <w:color w:val="FF0000"/>
          <w:sz w:val="21"/>
          <w:szCs w:val="21"/>
        </w:rPr>
        <w:t>【单选题考点】</w:t>
      </w:r>
    </w:p>
    <w:p w14:paraId="5F0870F3"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）注册会计师应当从</w:t>
      </w:r>
      <w:r>
        <w:rPr>
          <w:rFonts w:cs="Calibri" w:hint="eastAsia"/>
          <w:b/>
          <w:bCs/>
          <w:color w:val="FF0000"/>
          <w:sz w:val="21"/>
          <w:szCs w:val="21"/>
        </w:rPr>
        <w:t>定性</w:t>
      </w:r>
      <w:r>
        <w:rPr>
          <w:rFonts w:cs="Calibri" w:hint="eastAsia"/>
          <w:color w:val="3F3F3F"/>
          <w:sz w:val="21"/>
          <w:szCs w:val="21"/>
        </w:rPr>
        <w:t>和</w:t>
      </w:r>
      <w:r>
        <w:rPr>
          <w:rFonts w:cs="Calibri" w:hint="eastAsia"/>
          <w:b/>
          <w:bCs/>
          <w:color w:val="FF0000"/>
          <w:sz w:val="21"/>
          <w:szCs w:val="21"/>
        </w:rPr>
        <w:t>定量</w:t>
      </w:r>
      <w:r>
        <w:rPr>
          <w:rFonts w:cs="Calibri" w:hint="eastAsia"/>
          <w:color w:val="3F3F3F"/>
          <w:sz w:val="21"/>
          <w:szCs w:val="21"/>
        </w:rPr>
        <w:t>两个方面作出评价；</w:t>
      </w:r>
    </w:p>
    <w:tbl>
      <w:tblPr>
        <w:tblW w:w="0" w:type="auto"/>
        <w:jc w:val="center"/>
        <w:tblInd w:w="0" w:type="dxa"/>
        <w:tblLayout w:type="fixed"/>
        <w:tblCellMar>
          <w:left w:w="0" w:type="dxa"/>
          <w:right w:w="0" w:type="dxa"/>
        </w:tblCellMar>
        <w:tblLook w:val="0000" w:firstRow="0" w:lastRow="0" w:firstColumn="0" w:lastColumn="0" w:noHBand="0" w:noVBand="0"/>
      </w:tblPr>
      <w:tblGrid>
        <w:gridCol w:w="957"/>
        <w:gridCol w:w="7548"/>
      </w:tblGrid>
      <w:tr w:rsidR="00000000" w14:paraId="56BE12B5" w14:textId="77777777">
        <w:trPr>
          <w:trHeight w:val="454"/>
          <w:jc w:val="center"/>
        </w:trPr>
        <w:tc>
          <w:tcPr>
            <w:tcW w:w="95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1E20DF7" w14:textId="77777777" w:rsidR="00000000" w:rsidRDefault="00BA07AE">
            <w:pPr>
              <w:rPr>
                <w:rFonts w:eastAsia="微软雅黑" w:cs="Calibri"/>
                <w:color w:val="3F3F3F"/>
                <w:szCs w:val="21"/>
              </w:rPr>
            </w:pPr>
          </w:p>
        </w:tc>
        <w:tc>
          <w:tcPr>
            <w:tcW w:w="7548" w:type="dxa"/>
            <w:tcBorders>
              <w:top w:val="single" w:sz="8" w:space="0" w:color="000000"/>
              <w:left w:val="nil"/>
              <w:bottom w:val="single" w:sz="8" w:space="0" w:color="000000"/>
              <w:right w:val="single" w:sz="8" w:space="0" w:color="000000"/>
            </w:tcBorders>
            <w:tcMar>
              <w:top w:w="72" w:type="dxa"/>
              <w:left w:w="144" w:type="dxa"/>
              <w:bottom w:w="72" w:type="dxa"/>
              <w:right w:w="144" w:type="dxa"/>
            </w:tcMar>
            <w:vAlign w:val="center"/>
          </w:tcPr>
          <w:p w14:paraId="383EA7F4" w14:textId="77777777" w:rsidR="00000000" w:rsidRDefault="00BA07A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要求</w:t>
            </w:r>
          </w:p>
        </w:tc>
      </w:tr>
      <w:tr w:rsidR="00000000" w14:paraId="07052781" w14:textId="77777777">
        <w:trPr>
          <w:trHeight w:val="454"/>
          <w:jc w:val="center"/>
        </w:trPr>
        <w:tc>
          <w:tcPr>
            <w:tcW w:w="957" w:type="dxa"/>
            <w:tcBorders>
              <w:top w:val="nil"/>
              <w:left w:val="single" w:sz="8" w:space="0" w:color="000000"/>
              <w:bottom w:val="single" w:sz="8" w:space="0" w:color="000000"/>
              <w:right w:val="single" w:sz="8" w:space="0" w:color="000000"/>
            </w:tcBorders>
            <w:tcMar>
              <w:top w:w="72" w:type="dxa"/>
              <w:left w:w="144" w:type="dxa"/>
              <w:bottom w:w="72" w:type="dxa"/>
              <w:right w:w="144" w:type="dxa"/>
            </w:tcMar>
            <w:vAlign w:val="center"/>
          </w:tcPr>
          <w:p w14:paraId="54E08624" w14:textId="77777777" w:rsidR="00000000" w:rsidRDefault="00BA07A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定性</w:t>
            </w:r>
          </w:p>
        </w:tc>
        <w:tc>
          <w:tcPr>
            <w:tcW w:w="7548" w:type="dxa"/>
            <w:tcBorders>
              <w:top w:val="nil"/>
              <w:left w:val="nil"/>
              <w:bottom w:val="single" w:sz="8" w:space="0" w:color="000000"/>
              <w:right w:val="single" w:sz="8" w:space="0" w:color="000000"/>
            </w:tcBorders>
            <w:tcMar>
              <w:top w:w="72" w:type="dxa"/>
              <w:left w:w="144" w:type="dxa"/>
              <w:bottom w:w="72" w:type="dxa"/>
              <w:right w:w="144" w:type="dxa"/>
            </w:tcMar>
            <w:vAlign w:val="center"/>
          </w:tcPr>
          <w:p w14:paraId="4486EB7E" w14:textId="77777777" w:rsidR="00000000" w:rsidRDefault="00BA07A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考虑固有风险或舞弊风险</w:t>
            </w:r>
          </w:p>
        </w:tc>
      </w:tr>
      <w:tr w:rsidR="00000000" w14:paraId="3767C736" w14:textId="77777777">
        <w:trPr>
          <w:trHeight w:val="1252"/>
          <w:jc w:val="center"/>
        </w:trPr>
        <w:tc>
          <w:tcPr>
            <w:tcW w:w="957" w:type="dxa"/>
            <w:tcBorders>
              <w:top w:val="nil"/>
              <w:left w:val="single" w:sz="8" w:space="0" w:color="000000"/>
              <w:bottom w:val="single" w:sz="8" w:space="0" w:color="000000"/>
              <w:right w:val="single" w:sz="8" w:space="0" w:color="000000"/>
            </w:tcBorders>
            <w:tcMar>
              <w:top w:w="15" w:type="dxa"/>
              <w:left w:w="142" w:type="dxa"/>
              <w:bottom w:w="0" w:type="dxa"/>
              <w:right w:w="142" w:type="dxa"/>
            </w:tcMar>
            <w:vAlign w:val="center"/>
          </w:tcPr>
          <w:p w14:paraId="6BC93476" w14:textId="77777777" w:rsidR="00000000" w:rsidRDefault="00BA07A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定量</w:t>
            </w:r>
          </w:p>
        </w:tc>
        <w:tc>
          <w:tcPr>
            <w:tcW w:w="7548" w:type="dxa"/>
            <w:tcBorders>
              <w:top w:val="nil"/>
              <w:left w:val="nil"/>
              <w:bottom w:val="single" w:sz="8" w:space="0" w:color="000000"/>
              <w:right w:val="single" w:sz="8" w:space="0" w:color="000000"/>
            </w:tcBorders>
            <w:tcMar>
              <w:top w:w="15" w:type="dxa"/>
              <w:left w:w="142" w:type="dxa"/>
              <w:bottom w:w="0" w:type="dxa"/>
              <w:right w:w="142" w:type="dxa"/>
            </w:tcMar>
            <w:vAlign w:val="center"/>
          </w:tcPr>
          <w:p w14:paraId="20EE8057" w14:textId="77777777" w:rsidR="00000000" w:rsidRDefault="00BA07A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）超过财务报表整体重要性的账户，通常被认定为重要账户</w:t>
            </w:r>
          </w:p>
          <w:p w14:paraId="78BE4B9D" w14:textId="77777777" w:rsidR="00000000" w:rsidRDefault="00BA07A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）一个账户或列报的金额超过财务报表整体重要性，不必然表明其属于重要账户或列报</w:t>
            </w:r>
          </w:p>
        </w:tc>
      </w:tr>
    </w:tbl>
    <w:p w14:paraId="23524227"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）在识别重要账户、列报及其相关认定时，注册会计师还</w:t>
      </w:r>
      <w:r>
        <w:rPr>
          <w:rFonts w:cs="Calibri" w:hint="eastAsia"/>
          <w:b/>
          <w:bCs/>
          <w:color w:val="FF0000"/>
          <w:sz w:val="21"/>
          <w:szCs w:val="21"/>
        </w:rPr>
        <w:t>应当确定</w:t>
      </w:r>
      <w:r>
        <w:rPr>
          <w:rFonts w:cs="Calibri" w:hint="eastAsia"/>
          <w:color w:val="3F3F3F"/>
          <w:sz w:val="21"/>
          <w:szCs w:val="21"/>
        </w:rPr>
        <w:t>重大错报的</w:t>
      </w:r>
      <w:r>
        <w:rPr>
          <w:rFonts w:cs="Calibri" w:hint="eastAsia"/>
          <w:b/>
          <w:bCs/>
          <w:color w:val="FF0000"/>
          <w:sz w:val="21"/>
          <w:szCs w:val="21"/>
        </w:rPr>
        <w:t>可能来源</w:t>
      </w:r>
      <w:r>
        <w:rPr>
          <w:rFonts w:cs="Calibri" w:hint="eastAsia"/>
          <w:color w:val="3F3F3F"/>
          <w:sz w:val="21"/>
          <w:szCs w:val="21"/>
        </w:rPr>
        <w:t>；</w:t>
      </w:r>
    </w:p>
    <w:p w14:paraId="25C09C59"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）在识别重要账户、列报及其相关认定时，注册会计师</w:t>
      </w:r>
      <w:r>
        <w:rPr>
          <w:rFonts w:cs="Calibri" w:hint="eastAsia"/>
          <w:b/>
          <w:bCs/>
          <w:color w:val="FF0000"/>
          <w:sz w:val="21"/>
          <w:szCs w:val="21"/>
        </w:rPr>
        <w:t>不应考虑</w:t>
      </w:r>
      <w:r>
        <w:rPr>
          <w:rFonts w:cs="Calibri" w:hint="eastAsia"/>
          <w:color w:val="3F3F3F"/>
          <w:sz w:val="21"/>
          <w:szCs w:val="21"/>
        </w:rPr>
        <w:t>控制的影响，因为内部控制审计的目标本身就是评价控制的有效性；</w:t>
      </w:r>
    </w:p>
    <w:p w14:paraId="693AD56D"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）如果某账户或列报的各成分存在的</w:t>
      </w:r>
      <w:r>
        <w:rPr>
          <w:rFonts w:cs="Calibri" w:hint="eastAsia"/>
          <w:b/>
          <w:bCs/>
          <w:color w:val="FF0000"/>
          <w:sz w:val="21"/>
          <w:szCs w:val="21"/>
        </w:rPr>
        <w:t>风险差异较大</w:t>
      </w:r>
      <w:r>
        <w:rPr>
          <w:rFonts w:cs="Calibri" w:hint="eastAsia"/>
          <w:color w:val="3F3F3F"/>
          <w:sz w:val="21"/>
          <w:szCs w:val="21"/>
        </w:rPr>
        <w:t>，被审计单位可能需要采用不同的控制以应对这些风险，注册会计师</w:t>
      </w:r>
      <w:r>
        <w:rPr>
          <w:rFonts w:cs="Calibri" w:hint="eastAsia"/>
          <w:b/>
          <w:bCs/>
          <w:color w:val="FF0000"/>
          <w:sz w:val="21"/>
          <w:szCs w:val="21"/>
        </w:rPr>
        <w:t>应当分别</w:t>
      </w:r>
      <w:r>
        <w:rPr>
          <w:rFonts w:cs="Calibri" w:hint="eastAsia"/>
          <w:color w:val="3F3F3F"/>
          <w:sz w:val="21"/>
          <w:szCs w:val="21"/>
        </w:rPr>
        <w:t>予以考虑；</w:t>
      </w:r>
    </w:p>
    <w:p w14:paraId="111AA14C"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w:instrText>
      </w:r>
      <w:r>
        <w:rPr>
          <w:rFonts w:cs="Calibri"/>
          <w:color w:val="3F3F3F"/>
          <w:sz w:val="21"/>
          <w:szCs w:val="21"/>
        </w:rPr>
        <w:instrText xml:space="preserve">CLUDEPICTURE "http://webupload.admin.dongao.com/biz/handout/img/2019/20190711/20190711101053811004.png"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200.25pt;mso-wrap-style:square;mso-position-horizontal-relative:page;mso-position-vertical-relative:page">
            <v:imagedata r:id="rId12" r:href="rId13"/>
          </v:shape>
        </w:pict>
      </w:r>
      <w:r>
        <w:rPr>
          <w:rFonts w:cs="Calibri"/>
          <w:color w:val="3F3F3F"/>
          <w:sz w:val="21"/>
          <w:szCs w:val="21"/>
        </w:rPr>
        <w:fldChar w:fldCharType="end"/>
      </w:r>
    </w:p>
    <w:p w14:paraId="45AAAD43"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）以前年度审计中了解到的情况影响注册会计师对固有风险的评估，因而应当在确定重要账户、列报及其相关认定时</w:t>
      </w:r>
      <w:r>
        <w:rPr>
          <w:rFonts w:cs="Calibri" w:hint="eastAsia"/>
          <w:b/>
          <w:bCs/>
          <w:color w:val="FF0000"/>
          <w:sz w:val="21"/>
          <w:szCs w:val="21"/>
        </w:rPr>
        <w:t>加以考虑</w:t>
      </w:r>
      <w:r>
        <w:rPr>
          <w:rFonts w:cs="Calibri" w:hint="eastAsia"/>
          <w:color w:val="3F3F3F"/>
          <w:sz w:val="21"/>
          <w:szCs w:val="21"/>
        </w:rPr>
        <w:t>；</w:t>
      </w:r>
    </w:p>
    <w:p w14:paraId="3FC5B636" w14:textId="77777777" w:rsidR="00000000" w:rsidRDefault="00BA07A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）在内部控制审计中，注册会计师在识别重要账户、列报及其相关认定时应当评价的风险因素，与财务报表审计中考虑的因素相同。因此，在这两种审计中</w:t>
      </w:r>
      <w:r>
        <w:rPr>
          <w:rFonts w:cs="Calibri" w:hint="eastAsia"/>
          <w:color w:val="3F3F3F"/>
          <w:sz w:val="21"/>
          <w:szCs w:val="21"/>
        </w:rPr>
        <w:t>识别的重要账户、列报及其相关认定</w:t>
      </w:r>
      <w:r>
        <w:rPr>
          <w:rFonts w:cs="Calibri" w:hint="eastAsia"/>
          <w:b/>
          <w:bCs/>
          <w:color w:val="FF0000"/>
          <w:sz w:val="21"/>
          <w:szCs w:val="21"/>
        </w:rPr>
        <w:t>应当相同</w:t>
      </w:r>
      <w:r>
        <w:rPr>
          <w:rFonts w:cs="Calibri" w:hint="eastAsia"/>
          <w:color w:val="3F3F3F"/>
          <w:sz w:val="21"/>
          <w:szCs w:val="21"/>
        </w:rPr>
        <w:t>。</w:t>
      </w:r>
    </w:p>
    <w:p w14:paraId="1EEC0B6A"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07E9428"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7306BAA3"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注册会计师执行内部控制审计时，下列有关识别重要账户、列报及其相关认定的说法中，错误的是（　　）。</w:t>
      </w:r>
    </w:p>
    <w:p w14:paraId="643305E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注册会计师应当从定性和定量两个方面识别重要账户、列报及其相关认定</w:t>
      </w:r>
    </w:p>
    <w:p w14:paraId="14779272"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在识别重要账户、列报及其相关认定时，注册会计师应当确定重大错报的可能来源</w:t>
      </w:r>
    </w:p>
    <w:p w14:paraId="4A39D31D"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注册会计师通常将超过财务报表整体重要性的账户认定为重要账户</w:t>
      </w:r>
    </w:p>
    <w:p w14:paraId="2764E61D"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在识别重要账户、列报及其相关认定时，注册会计师应当考虑控制的影响</w:t>
      </w:r>
    </w:p>
    <w:p w14:paraId="64DCB38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1E16AAA"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在识别重要账户、列报</w:t>
      </w:r>
      <w:r>
        <w:rPr>
          <w:rFonts w:cs="Calibri" w:hint="eastAsia"/>
          <w:color w:val="3F3F3F"/>
          <w:sz w:val="21"/>
          <w:szCs w:val="21"/>
        </w:rPr>
        <w:t>及其相关认定时，注册会计师不应考虑控制的影响，因为内部控制审计的目标本身就是评价控制的有效性。</w:t>
      </w:r>
    </w:p>
    <w:p w14:paraId="3FC5BCF2" w14:textId="77777777" w:rsidR="00000000" w:rsidRDefault="00BA07A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FEE6AC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下列有关注册会计师识别重要账户、列报及其相关认定的说法中，正确的有（　　）。</w:t>
      </w:r>
    </w:p>
    <w:p w14:paraId="188437FB"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注册会计师应当将超过财务报表整体重要性的账户认定为重要账户</w:t>
      </w:r>
    </w:p>
    <w:p w14:paraId="2364552D"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识别重要账户、列报及其相关认定时，注册会计师不应考虑控制的影响</w:t>
      </w:r>
    </w:p>
    <w:p w14:paraId="5B2473A4"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在财务报表审计和内部控制审计中识别的重要账户、列报及其相关认定应当相同</w:t>
      </w:r>
    </w:p>
    <w:p w14:paraId="207541AF"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以前年度审计中识别的错报会影响注册会计师对某账户是否属于重要账户的评估</w:t>
      </w:r>
    </w:p>
    <w:p w14:paraId="4D6587A7"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4B11EA88"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w:t>
      </w:r>
      <w:r>
        <w:rPr>
          <w:rFonts w:cs="Calibri" w:hint="eastAsia"/>
          <w:color w:val="3F3F3F"/>
          <w:sz w:val="21"/>
          <w:szCs w:val="21"/>
        </w:rPr>
        <w:t>，一个账户或列报的金额超过财务报表整体重要性，并不必然表明其属于重要账户或列报，因为注册会计师还需要考虑定性的因素。</w:t>
      </w:r>
    </w:p>
    <w:p w14:paraId="095F4D95"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8300F5E" w14:textId="77777777" w:rsidR="00000000" w:rsidRDefault="00BA07AE">
      <w:pPr>
        <w:pStyle w:val="a9"/>
        <w:shd w:val="clear" w:color="auto" w:fill="FFFFFF"/>
        <w:spacing w:before="0" w:beforeAutospacing="0" w:after="0" w:afterAutospacing="0"/>
        <w:ind w:firstLine="562"/>
        <w:jc w:val="center"/>
        <w:rPr>
          <w:rFonts w:ascii="Calibri" w:eastAsia="微软雅黑" w:hAnsi="Calibri" w:cs="Calibri"/>
          <w:color w:val="3F3F3F"/>
          <w:sz w:val="21"/>
          <w:szCs w:val="21"/>
        </w:rPr>
      </w:pPr>
      <w:r>
        <w:rPr>
          <w:rFonts w:cs="Calibri" w:hint="eastAsia"/>
          <w:b/>
          <w:bCs/>
          <w:color w:val="3F3F3F"/>
          <w:sz w:val="28"/>
          <w:szCs w:val="28"/>
        </w:rPr>
        <w:t>脉络和复习</w:t>
      </w:r>
    </w:p>
    <w:p w14:paraId="56CA5281" w14:textId="77777777" w:rsidR="00000000" w:rsidRDefault="00BA07A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ACBF209" w14:textId="77777777" w:rsidR="00000000" w:rsidRDefault="00BA07A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"http://webupload.admin.dongao.com/biz/handout/img/2019/20190711/20190711101054670005.png" \* MERGEFORMATINET </w:instrText>
      </w:r>
      <w:r>
        <w:rPr>
          <w:rFonts w:cs="Calibri"/>
          <w:color w:val="3F3F3F"/>
          <w:sz w:val="21"/>
          <w:szCs w:val="21"/>
        </w:rPr>
        <w:fldChar w:fldCharType="separate"/>
      </w:r>
      <w:r>
        <w:rPr>
          <w:rFonts w:cs="Calibri"/>
          <w:color w:val="3F3F3F"/>
          <w:sz w:val="21"/>
          <w:szCs w:val="21"/>
        </w:rPr>
        <w:pict>
          <v:shape id="图片 6" o:spid="_x0000_i1030" type="#_x0000_t75" style="width:420pt;height:215.25pt;mso-wrap-style:square;mso-position-horizontal-relative:page;mso-position-vertical-relative:page">
            <v:imagedata r:id="rId14" r:href="rId15"/>
          </v:shape>
        </w:pict>
      </w:r>
      <w:r>
        <w:rPr>
          <w:rFonts w:cs="Calibri"/>
          <w:color w:val="3F3F3F"/>
          <w:sz w:val="21"/>
          <w:szCs w:val="21"/>
        </w:rPr>
        <w:fldChar w:fldCharType="end"/>
      </w:r>
    </w:p>
    <w:p w14:paraId="6D110E92" w14:textId="77777777" w:rsidR="00000000" w:rsidRDefault="00BA07AE">
      <w:pPr>
        <w:rPr>
          <w:rFonts w:hint="eastAsia"/>
        </w:rPr>
      </w:pPr>
      <w:r>
        <w:rPr>
          <w:rFonts w:ascii="微软雅黑" w:eastAsia="微软雅黑" w:hAnsi="微软雅黑" w:cs="宋体" w:hint="eastAsia"/>
          <w:color w:val="3F3F3F"/>
          <w:szCs w:val="21"/>
        </w:rPr>
        <w:t xml:space="preserve"> </w:t>
      </w:r>
    </w:p>
    <w:sectPr w:rsidR="00000000">
      <w:headerReference w:type="default" r:id="rId16"/>
      <w:footerReference w:type="default" r:id="rId17"/>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229B2" w14:textId="77777777" w:rsidR="00000000" w:rsidRDefault="00BA07AE">
      <w:r>
        <w:separator/>
      </w:r>
    </w:p>
  </w:endnote>
  <w:endnote w:type="continuationSeparator" w:id="0">
    <w:p w14:paraId="2BABA103" w14:textId="77777777" w:rsidR="00000000" w:rsidRDefault="00B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7ACEACE" w14:textId="77777777">
      <w:trPr>
        <w:trHeight w:val="274"/>
      </w:trPr>
      <w:tc>
        <w:tcPr>
          <w:tcW w:w="2050" w:type="dxa"/>
          <w:vAlign w:val="center"/>
        </w:tcPr>
        <w:p w14:paraId="6DA0F4D0" w14:textId="77777777" w:rsidR="00000000" w:rsidRDefault="00BA07AE">
          <w:pPr>
            <w:jc w:val="left"/>
            <w:rPr>
              <w:rFonts w:ascii="楷体" w:eastAsia="楷体" w:hAnsi="楷体"/>
              <w:b/>
              <w:sz w:val="28"/>
              <w:szCs w:val="28"/>
            </w:rPr>
          </w:pPr>
          <w:r>
            <w:rPr>
              <w:lang w:val="en-US" w:eastAsia="zh-CN"/>
            </w:rPr>
            <w:pict w14:anchorId="10E7F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52DCD2FC" w14:textId="77777777" w:rsidR="00000000" w:rsidRDefault="00BA07A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C96FE76" w14:textId="77777777" w:rsidR="00000000" w:rsidRDefault="00BA07A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FB8B714" w14:textId="77777777" w:rsidR="00000000" w:rsidRDefault="00BA07AE">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FE5D0" w14:textId="77777777" w:rsidR="00000000" w:rsidRDefault="00BA07AE">
      <w:r>
        <w:separator/>
      </w:r>
    </w:p>
  </w:footnote>
  <w:footnote w:type="continuationSeparator" w:id="0">
    <w:p w14:paraId="6F1DC413" w14:textId="77777777" w:rsidR="00000000" w:rsidRDefault="00BA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E501955" w14:textId="77777777">
      <w:trPr>
        <w:trHeight w:val="501"/>
      </w:trPr>
      <w:tc>
        <w:tcPr>
          <w:tcW w:w="4272" w:type="dxa"/>
          <w:vAlign w:val="center"/>
        </w:tcPr>
        <w:p w14:paraId="027C2B39" w14:textId="77777777" w:rsidR="00000000" w:rsidRDefault="00BA07AE">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7092E460" w14:textId="77777777" w:rsidR="00000000" w:rsidRDefault="00BA07AE">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w:t>
          </w:r>
          <w:r>
            <w:rPr>
              <w:rFonts w:ascii="微软雅黑" w:eastAsia="微软雅黑" w:hAnsi="微软雅黑"/>
              <w:sz w:val="24"/>
              <w:szCs w:val="24"/>
            </w:rPr>
            <w:t>企业内部控制审计</w:t>
          </w:r>
        </w:p>
      </w:tc>
    </w:tr>
  </w:tbl>
  <w:p w14:paraId="71E8B65B" w14:textId="77777777" w:rsidR="00000000" w:rsidRDefault="00BA07AE">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417B"/>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03AF"/>
    <w:rsid w:val="00B672D4"/>
    <w:rsid w:val="00B81282"/>
    <w:rsid w:val="00BA07AE"/>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578C6B53"/>
    <w:rsid w:val="670F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E27B18B"/>
  <w15:chartTrackingRefBased/>
  <w15:docId w15:val="{3DDB4159-583B-40D2-A924-9142D3A1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711/20190711101053811004.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ebupload.admin.dongao.com/biz/handout/img/2019/20190711/20190711101053123001.png"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711/20190711101053728003.png" TargetMode="External"/><Relationship Id="rId5" Type="http://schemas.openxmlformats.org/officeDocument/2006/relationships/endnotes" Target="endnotes.xml"/><Relationship Id="rId15" Type="http://schemas.openxmlformats.org/officeDocument/2006/relationships/image" Target="http://webupload.admin.dongao.com/biz/handout/img/2019/20190711/20190711101054670005.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http://webupload.admin.dongao.com/biz/handout/img/2019/20190711/20190711101053709002.pn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