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24E79" w14:textId="77777777" w:rsidR="00B60D90" w:rsidRDefault="00B60D90" w:rsidP="00B60D9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第七编·第二十一章·会计师事务所业务质量控制</w:t>
      </w:r>
    </w:p>
    <w:p w14:paraId="7E197B3A" w14:textId="77777777" w:rsidR="00B60D90" w:rsidRDefault="00B60D90" w:rsidP="00B60D9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分述•原则七•业务工作底稿</w:t>
      </w:r>
    </w:p>
    <w:p w14:paraId="32996944"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【原则7-3】业务工作底稿的电子扫描</w:t>
      </w:r>
    </w:p>
    <w:p w14:paraId="42681FA8"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如果原纸质记录经</w:t>
      </w:r>
      <w:r>
        <w:rPr>
          <w:rFonts w:cs="Calibri" w:hint="eastAsia"/>
          <w:b/>
          <w:bCs/>
          <w:color w:val="FF0000"/>
          <w:sz w:val="21"/>
          <w:szCs w:val="21"/>
        </w:rPr>
        <w:t>电子扫描</w:t>
      </w:r>
      <w:r>
        <w:rPr>
          <w:rFonts w:cs="Calibri" w:hint="eastAsia"/>
          <w:color w:val="3F3F3F"/>
          <w:sz w:val="21"/>
          <w:szCs w:val="21"/>
        </w:rPr>
        <w:t>后存入业务档案，会计师事务所应当实施适当的控制程序：</w:t>
      </w:r>
    </w:p>
    <w:p w14:paraId="2F935496"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1.生成与原纸质记录的形式和内容完全相同的</w:t>
      </w:r>
      <w:r>
        <w:rPr>
          <w:rFonts w:cs="Calibri" w:hint="eastAsia"/>
          <w:b/>
          <w:bCs/>
          <w:color w:val="FF0000"/>
          <w:sz w:val="21"/>
          <w:szCs w:val="21"/>
        </w:rPr>
        <w:t>扫描复制</w:t>
      </w:r>
      <w:r>
        <w:rPr>
          <w:rFonts w:cs="Calibri" w:hint="eastAsia"/>
          <w:color w:val="3F3F3F"/>
          <w:sz w:val="21"/>
          <w:szCs w:val="21"/>
        </w:rPr>
        <w:t>件，包括人工签名、交叉索引和有关注释。</w:t>
      </w:r>
    </w:p>
    <w:p w14:paraId="4220CF31"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2.将扫描复制件，包括必要时对扫描复制件的索引和签字，</w:t>
      </w:r>
      <w:r>
        <w:rPr>
          <w:rFonts w:cs="Calibri" w:hint="eastAsia"/>
          <w:b/>
          <w:bCs/>
          <w:color w:val="FF0000"/>
          <w:sz w:val="21"/>
          <w:szCs w:val="21"/>
        </w:rPr>
        <w:t>归整</w:t>
      </w:r>
      <w:r>
        <w:rPr>
          <w:rFonts w:cs="Calibri" w:hint="eastAsia"/>
          <w:color w:val="3F3F3F"/>
          <w:sz w:val="21"/>
          <w:szCs w:val="21"/>
        </w:rPr>
        <w:t>到业务档案中。</w:t>
      </w:r>
    </w:p>
    <w:p w14:paraId="7FB95653"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3.能够</w:t>
      </w:r>
      <w:r>
        <w:rPr>
          <w:rFonts w:cs="Calibri" w:hint="eastAsia"/>
          <w:b/>
          <w:bCs/>
          <w:color w:val="FF0000"/>
          <w:sz w:val="21"/>
          <w:szCs w:val="21"/>
        </w:rPr>
        <w:t>检索和打印</w:t>
      </w:r>
      <w:r>
        <w:rPr>
          <w:rFonts w:cs="Calibri" w:hint="eastAsia"/>
          <w:color w:val="3F3F3F"/>
          <w:sz w:val="21"/>
          <w:szCs w:val="21"/>
        </w:rPr>
        <w:t>扫描复制件。</w:t>
      </w:r>
    </w:p>
    <w:p w14:paraId="0431B1F5"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4.会计师事务所</w:t>
      </w:r>
      <w:r>
        <w:rPr>
          <w:rFonts w:cs="Calibri" w:hint="eastAsia"/>
          <w:b/>
          <w:bCs/>
          <w:color w:val="FF0000"/>
          <w:sz w:val="21"/>
          <w:szCs w:val="21"/>
        </w:rPr>
        <w:t>应当保留</w:t>
      </w:r>
      <w:r>
        <w:rPr>
          <w:rFonts w:cs="Calibri" w:hint="eastAsia"/>
          <w:color w:val="3F3F3F"/>
          <w:sz w:val="21"/>
          <w:szCs w:val="21"/>
        </w:rPr>
        <w:t>已扫描的原纸质记录。</w:t>
      </w:r>
    </w:p>
    <w:p w14:paraId="0184A49A"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【案例38】</w:t>
      </w:r>
    </w:p>
    <w:p w14:paraId="58AB5BF2"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根据ABC会计师事务所的工作底稿保管制度规定，推行业务档案电子化，将纸质工作底稿经电子扫描后，存为业务电子档案，同时销毁纸质工作底稿。</w:t>
      </w:r>
    </w:p>
    <w:p w14:paraId="40F32F01"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4C5F015E"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上述质量控制制度不恰当，事务所应当按照规定的保存期限</w:t>
      </w:r>
      <w:r>
        <w:rPr>
          <w:rFonts w:cs="Calibri" w:hint="eastAsia"/>
          <w:b/>
          <w:bCs/>
          <w:color w:val="FF0000"/>
          <w:sz w:val="21"/>
          <w:szCs w:val="21"/>
        </w:rPr>
        <w:t>保存纸质工作底稿</w:t>
      </w:r>
      <w:r>
        <w:rPr>
          <w:rFonts w:cs="Calibri" w:hint="eastAsia"/>
          <w:color w:val="3F3F3F"/>
          <w:sz w:val="21"/>
          <w:szCs w:val="21"/>
        </w:rPr>
        <w:t>。</w:t>
      </w:r>
    </w:p>
    <w:p w14:paraId="73C46257"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【原则7-4】业务工作底稿的保存期限</w:t>
      </w:r>
    </w:p>
    <w:p w14:paraId="4FFD92B9"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对鉴证业务，包括历史财务信息审计和审阅业务、其他鉴证业务，会计师事务所应当自</w:t>
      </w:r>
      <w:r>
        <w:rPr>
          <w:rFonts w:cs="Calibri" w:hint="eastAsia"/>
          <w:b/>
          <w:bCs/>
          <w:color w:val="FF0000"/>
          <w:sz w:val="21"/>
          <w:szCs w:val="21"/>
        </w:rPr>
        <w:t>业务报告日</w:t>
      </w:r>
      <w:r>
        <w:rPr>
          <w:rFonts w:cs="Calibri" w:hint="eastAsia"/>
          <w:color w:val="3F3F3F"/>
          <w:sz w:val="21"/>
          <w:szCs w:val="21"/>
        </w:rPr>
        <w:t>起，对业务工作底稿</w:t>
      </w:r>
      <w:r>
        <w:rPr>
          <w:rFonts w:cs="Calibri" w:hint="eastAsia"/>
          <w:b/>
          <w:bCs/>
          <w:color w:val="FF0000"/>
          <w:sz w:val="21"/>
          <w:szCs w:val="21"/>
        </w:rPr>
        <w:t>至少保存10年</w:t>
      </w:r>
      <w:r>
        <w:rPr>
          <w:rFonts w:cs="Calibri" w:hint="eastAsia"/>
          <w:color w:val="3F3F3F"/>
          <w:sz w:val="21"/>
          <w:szCs w:val="21"/>
        </w:rPr>
        <w:t>。如果法律法规有更高的要求，还应保存更长的时间。</w:t>
      </w:r>
    </w:p>
    <w:p w14:paraId="4DF2AB6F"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【案例39】</w:t>
      </w:r>
    </w:p>
    <w:p w14:paraId="71A78E33"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根据ABC会计师事务所的质量控制制度，对鉴证业务的工作底稿从业务报告日起至少保存十年；如果组成部分业务报告日与集团业务报告日不同，从各自的业务报告日起至少保存十年。</w:t>
      </w:r>
    </w:p>
    <w:p w14:paraId="4407224E" w14:textId="77777777" w:rsidR="00B60D90" w:rsidRDefault="00B60D90" w:rsidP="00B60D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"http://webupload.admin.dongao.com/biz/handout/img/2019/20190711/20190711095816975001.png"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37pt">
            <v:imagedata r:id="rId7" r:href="rId8"/>
          </v:shape>
        </w:pict>
      </w:r>
      <w:r>
        <w:rPr>
          <w:rFonts w:ascii="Calibri" w:eastAsia="微软雅黑" w:hAnsi="Calibri" w:cs="Calibri"/>
          <w:color w:val="3F3F3F"/>
          <w:sz w:val="21"/>
          <w:szCs w:val="21"/>
        </w:rPr>
        <w:fldChar w:fldCharType="end"/>
      </w:r>
    </w:p>
    <w:p w14:paraId="60BBD3D7"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20BAC037"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上述质量控制制度不恰当，如果组成部分业务报告日早于集团业务报告日，应当</w:t>
      </w:r>
      <w:r>
        <w:rPr>
          <w:rFonts w:cs="Calibri" w:hint="eastAsia"/>
          <w:b/>
          <w:bCs/>
          <w:color w:val="FF0000"/>
          <w:sz w:val="21"/>
          <w:szCs w:val="21"/>
        </w:rPr>
        <w:t>自集团业务报告日</w:t>
      </w:r>
      <w:r>
        <w:rPr>
          <w:rFonts w:cs="Calibri" w:hint="eastAsia"/>
          <w:color w:val="3F3F3F"/>
          <w:sz w:val="21"/>
          <w:szCs w:val="21"/>
        </w:rPr>
        <w:t>起对组成部分业务工作底稿至少保存十年。</w:t>
      </w:r>
    </w:p>
    <w:p w14:paraId="376CC10B"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【案例40】</w:t>
      </w:r>
    </w:p>
    <w:p w14:paraId="62368C46"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根据ABC会计师事务所的质量控制制度，事务所应当自业务报告日起，对鉴证业务工作底稿</w:t>
      </w:r>
      <w:r>
        <w:rPr>
          <w:rFonts w:cs="Calibri" w:hint="eastAsia"/>
          <w:b/>
          <w:bCs/>
          <w:color w:val="FF0000"/>
          <w:sz w:val="21"/>
          <w:szCs w:val="21"/>
        </w:rPr>
        <w:t>至少保存12年</w:t>
      </w:r>
      <w:r>
        <w:rPr>
          <w:rFonts w:cs="Calibri" w:hint="eastAsia"/>
          <w:color w:val="3F3F3F"/>
          <w:sz w:val="21"/>
          <w:szCs w:val="21"/>
        </w:rPr>
        <w:t>。</w:t>
      </w:r>
    </w:p>
    <w:p w14:paraId="61B04BFE"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43604510"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上述质量控制制度恰当。</w:t>
      </w:r>
    </w:p>
    <w:p w14:paraId="5F463EF8"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【原则7-5】业务工作底稿的所有权</w:t>
      </w:r>
    </w:p>
    <w:p w14:paraId="24EA86DD"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业务工作底稿的所有权</w:t>
      </w:r>
      <w:r>
        <w:rPr>
          <w:rFonts w:cs="Calibri" w:hint="eastAsia"/>
          <w:b/>
          <w:bCs/>
          <w:color w:val="FF0000"/>
          <w:sz w:val="21"/>
          <w:szCs w:val="21"/>
        </w:rPr>
        <w:t>属于</w:t>
      </w:r>
      <w:r>
        <w:rPr>
          <w:rFonts w:cs="Calibri" w:hint="eastAsia"/>
          <w:color w:val="3F3F3F"/>
          <w:sz w:val="21"/>
          <w:szCs w:val="21"/>
        </w:rPr>
        <w:t>会计师事务所。会计师事务所可</w:t>
      </w:r>
      <w:r>
        <w:rPr>
          <w:rFonts w:cs="Calibri" w:hint="eastAsia"/>
          <w:b/>
          <w:bCs/>
          <w:color w:val="FF0000"/>
          <w:sz w:val="21"/>
          <w:szCs w:val="21"/>
        </w:rPr>
        <w:t>自主决定</w:t>
      </w:r>
      <w:r>
        <w:rPr>
          <w:rFonts w:cs="Calibri" w:hint="eastAsia"/>
          <w:color w:val="3F3F3F"/>
          <w:sz w:val="21"/>
          <w:szCs w:val="21"/>
        </w:rPr>
        <w:t>是否允许客户获取业务工作底稿部分内容，或摘录部分工作底稿，但披露这些信息</w:t>
      </w:r>
      <w:r>
        <w:rPr>
          <w:rFonts w:cs="Calibri" w:hint="eastAsia"/>
          <w:b/>
          <w:bCs/>
          <w:color w:val="FF0000"/>
          <w:sz w:val="21"/>
          <w:szCs w:val="21"/>
        </w:rPr>
        <w:t>不得损害</w:t>
      </w:r>
      <w:r>
        <w:rPr>
          <w:rFonts w:cs="Calibri" w:hint="eastAsia"/>
          <w:color w:val="3F3F3F"/>
          <w:sz w:val="21"/>
          <w:szCs w:val="21"/>
        </w:rPr>
        <w:t>会计师事务所执行业务的有效性。</w:t>
      </w:r>
    </w:p>
    <w:p w14:paraId="54448CCC" w14:textId="77777777" w:rsidR="00B60D90" w:rsidRDefault="00B60D90" w:rsidP="00B60D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"http://webupload.admin.dongao.com/biz/handout/img/2019/20190711/20190711095816924002.png"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210.75pt;height:145.5pt">
            <v:imagedata r:id="rId9" r:href="rId10"/>
          </v:shape>
        </w:pict>
      </w:r>
      <w:r>
        <w:rPr>
          <w:rFonts w:ascii="Calibri" w:eastAsia="微软雅黑" w:hAnsi="Calibri" w:cs="Calibri"/>
          <w:color w:val="3F3F3F"/>
          <w:sz w:val="21"/>
          <w:szCs w:val="21"/>
        </w:rPr>
        <w:fldChar w:fldCharType="end"/>
      </w:r>
    </w:p>
    <w:p w14:paraId="64DA5702"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【案例41】</w:t>
      </w:r>
    </w:p>
    <w:p w14:paraId="2748CCF5"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甲公司是ABC会计师事务所的常年审计客户，ABC会计师事务所委托A注册会计师担任2016年度甲公司财务报表审计的项目合伙人，乙公司是甲公司的重要业务客户，审计报告日后，由于欠款纠纷，甲公司向A注册会计师提出要求，拟索取审计项目组在现场工作期间获得的乙公司询证函回函作为法律诉讼证据，经由ABC会计师事务所合规部批准，A注册会计师将回函复印件提供给甲公司。</w:t>
      </w:r>
    </w:p>
    <w:p w14:paraId="2EEB95B1" w14:textId="77777777" w:rsidR="00B60D90" w:rsidRDefault="00B60D90" w:rsidP="00B60D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"http://webupload.admin.dongao.com/biz/handout/img/2019/20190711/20190711095816987003.png"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180pt;height:192pt">
            <v:imagedata r:id="rId11" r:href="rId12"/>
          </v:shape>
        </w:pict>
      </w:r>
      <w:r>
        <w:rPr>
          <w:rFonts w:ascii="Calibri" w:eastAsia="微软雅黑" w:hAnsi="Calibri" w:cs="Calibri"/>
          <w:color w:val="3F3F3F"/>
          <w:sz w:val="21"/>
          <w:szCs w:val="21"/>
        </w:rPr>
        <w:fldChar w:fldCharType="end"/>
      </w:r>
    </w:p>
    <w:p w14:paraId="1EDA741B"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3DA4EA41"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上述做法不违反质量控制制度的要求。</w:t>
      </w:r>
    </w:p>
    <w:p w14:paraId="7ABB8D29" w14:textId="77777777" w:rsidR="00B60D90" w:rsidRDefault="00B60D90" w:rsidP="00B60D9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分述•原则八•监控</w:t>
      </w:r>
    </w:p>
    <w:p w14:paraId="08235E07"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【原则8-1】监控人员</w:t>
      </w:r>
    </w:p>
    <w:p w14:paraId="4FDAD708"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会计师事务所可以委派主任会计师、副主任会计师或具有足够、适当经验和权限的其他人员履行监控责任。</w:t>
      </w:r>
    </w:p>
    <w:p w14:paraId="1978395B"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【原则8-2】实施检查的频率</w:t>
      </w:r>
    </w:p>
    <w:p w14:paraId="343D1DAB"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会计师事务所应当周期性地选取已完成的业务进行检查，周期</w:t>
      </w:r>
      <w:r>
        <w:rPr>
          <w:rFonts w:cs="Calibri" w:hint="eastAsia"/>
          <w:b/>
          <w:bCs/>
          <w:color w:val="FF0000"/>
          <w:sz w:val="21"/>
          <w:szCs w:val="21"/>
        </w:rPr>
        <w:t>最长不得超过3年</w:t>
      </w:r>
      <w:r>
        <w:rPr>
          <w:rFonts w:cs="Calibri" w:hint="eastAsia"/>
          <w:color w:val="3F3F3F"/>
          <w:sz w:val="21"/>
          <w:szCs w:val="21"/>
        </w:rPr>
        <w:t>。在每个周期内，应对</w:t>
      </w:r>
      <w:r>
        <w:rPr>
          <w:rFonts w:cs="Calibri" w:hint="eastAsia"/>
          <w:b/>
          <w:bCs/>
          <w:color w:val="FF0000"/>
          <w:sz w:val="21"/>
          <w:szCs w:val="21"/>
        </w:rPr>
        <w:t>每个项目合伙人</w:t>
      </w:r>
      <w:r>
        <w:rPr>
          <w:rFonts w:cs="Calibri" w:hint="eastAsia"/>
          <w:color w:val="3F3F3F"/>
          <w:sz w:val="21"/>
          <w:szCs w:val="21"/>
        </w:rPr>
        <w:t>的业务</w:t>
      </w:r>
      <w:r>
        <w:rPr>
          <w:rFonts w:cs="Calibri" w:hint="eastAsia"/>
          <w:b/>
          <w:bCs/>
          <w:color w:val="FF0000"/>
          <w:sz w:val="21"/>
          <w:szCs w:val="21"/>
        </w:rPr>
        <w:t>至少选取一项</w:t>
      </w:r>
      <w:r>
        <w:rPr>
          <w:rFonts w:cs="Calibri" w:hint="eastAsia"/>
          <w:color w:val="3F3F3F"/>
          <w:sz w:val="21"/>
          <w:szCs w:val="21"/>
        </w:rPr>
        <w:t>进行检查。</w:t>
      </w:r>
    </w:p>
    <w:p w14:paraId="27A7F925"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【案例42】</w:t>
      </w:r>
    </w:p>
    <w:p w14:paraId="720DD9FA"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根据ABC会计师事务所的质量控制制度，事务所质量控制部门每三年进行一次业务检查，每次检查选取每位合伙人已完成的一个项目。</w:t>
      </w:r>
    </w:p>
    <w:p w14:paraId="18704E59"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【解析】</w:t>
      </w:r>
    </w:p>
    <w:p w14:paraId="277A6FFE"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上述质量控制制度恰当。</w:t>
      </w:r>
    </w:p>
    <w:p w14:paraId="1F273DF0"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【案例43</w:t>
      </w:r>
      <w:r>
        <w:rPr>
          <w:rFonts w:cs="Calibri" w:hint="eastAsia"/>
          <w:b/>
          <w:bCs/>
          <w:color w:val="3F3F3F"/>
          <w:sz w:val="21"/>
          <w:szCs w:val="21"/>
        </w:rPr>
        <w:t>】</w:t>
      </w:r>
    </w:p>
    <w:p w14:paraId="3F7FF1C9"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根据ABC会计师事务所的质量控制制度，以三年为周期，选取每一位合伙人已完成的一个项目进行检查。如果合伙人在连续两次的检查中被评为优秀，以后可每隔五年检查一次。</w:t>
      </w:r>
    </w:p>
    <w:p w14:paraId="2A6B7E71"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8DE8765"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上述质量控制制度不恰当，业务检查的周期</w:t>
      </w:r>
      <w:r>
        <w:rPr>
          <w:rFonts w:cs="Calibri" w:hint="eastAsia"/>
          <w:b/>
          <w:bCs/>
          <w:color w:val="FF0000"/>
          <w:sz w:val="21"/>
          <w:szCs w:val="21"/>
        </w:rPr>
        <w:t>不得超过3年</w:t>
      </w:r>
      <w:r>
        <w:rPr>
          <w:rFonts w:cs="Calibri" w:hint="eastAsia"/>
          <w:color w:val="3F3F3F"/>
          <w:sz w:val="21"/>
          <w:szCs w:val="21"/>
        </w:rPr>
        <w:t>，每3年至少应检查每个合伙人的业务一次。</w:t>
      </w:r>
    </w:p>
    <w:p w14:paraId="0BFD1F70"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【原则8-3】检查的组织方式</w:t>
      </w:r>
    </w:p>
    <w:p w14:paraId="08ABB4FA"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会计师事务所应当根据具体情况，确定某</w:t>
      </w:r>
      <w:r>
        <w:rPr>
          <w:rFonts w:cs="Calibri" w:hint="eastAsia"/>
          <w:b/>
          <w:bCs/>
          <w:color w:val="FF0000"/>
          <w:sz w:val="21"/>
          <w:szCs w:val="21"/>
        </w:rPr>
        <w:t>分支机构</w:t>
      </w:r>
      <w:r>
        <w:rPr>
          <w:rFonts w:cs="Calibri" w:hint="eastAsia"/>
          <w:color w:val="3F3F3F"/>
          <w:sz w:val="21"/>
          <w:szCs w:val="21"/>
        </w:rPr>
        <w:t>是否经授权执行自我检查，或只有总部才有检查的权力。</w:t>
      </w:r>
    </w:p>
    <w:p w14:paraId="3E4A9185" w14:textId="77777777" w:rsidR="00B60D90" w:rsidRDefault="00B60D90" w:rsidP="00B60D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"http://webupload.admin.dongao.com/biz/handout/img/2019/20190711/20190711095816184004.png"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419.25pt;height:164.25pt">
            <v:imagedata r:id="rId13" r:href="rId14"/>
          </v:shape>
        </w:pict>
      </w:r>
      <w:r>
        <w:rPr>
          <w:rFonts w:ascii="Calibri" w:eastAsia="微软雅黑" w:hAnsi="Calibri" w:cs="Calibri"/>
          <w:color w:val="3F3F3F"/>
          <w:sz w:val="21"/>
          <w:szCs w:val="21"/>
        </w:rPr>
        <w:fldChar w:fldCharType="end"/>
      </w:r>
    </w:p>
    <w:p w14:paraId="4DBD65B8"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【案例44】</w:t>
      </w:r>
    </w:p>
    <w:p w14:paraId="75F42BD7"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根据ABC会计师事务所的质量控制制度，以两年为限期，选取每位合伙人已完成的一个项目进行检查，对分所合伙人的检查可以由总所授权由分所自行安排相关人员执行。</w:t>
      </w:r>
    </w:p>
    <w:p w14:paraId="3342DBCE"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26F73BB0"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上述做法符合质量控制准则的规定。会计师事务所可以规定分支机构经授权执行自我检查，也可以规定只有总部才有检查的权力。</w:t>
      </w:r>
    </w:p>
    <w:p w14:paraId="75B99E35"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【原则8-4】检查的时间和人员</w:t>
      </w:r>
    </w:p>
    <w:p w14:paraId="6CF75E33"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会计师事务所在选取单项业务进行检查时，</w:t>
      </w:r>
      <w:r>
        <w:rPr>
          <w:rFonts w:cs="Calibri" w:hint="eastAsia"/>
          <w:b/>
          <w:bCs/>
          <w:color w:val="FF0000"/>
          <w:sz w:val="21"/>
          <w:szCs w:val="21"/>
        </w:rPr>
        <w:t>可以不事先告知</w:t>
      </w:r>
      <w:r>
        <w:rPr>
          <w:rFonts w:cs="Calibri" w:hint="eastAsia"/>
          <w:color w:val="3F3F3F"/>
          <w:sz w:val="21"/>
          <w:szCs w:val="21"/>
        </w:rPr>
        <w:t>相关项目组。</w:t>
      </w:r>
      <w:r>
        <w:rPr>
          <w:rFonts w:cs="Calibri" w:hint="eastAsia"/>
          <w:b/>
          <w:bCs/>
          <w:color w:val="FF0000"/>
          <w:sz w:val="21"/>
          <w:szCs w:val="21"/>
        </w:rPr>
        <w:t>参与业务执行</w:t>
      </w:r>
      <w:r>
        <w:rPr>
          <w:rFonts w:cs="Calibri" w:hint="eastAsia"/>
          <w:color w:val="3F3F3F"/>
          <w:sz w:val="21"/>
          <w:szCs w:val="21"/>
        </w:rPr>
        <w:t>或项目质量控制复核的人员</w:t>
      </w:r>
      <w:r>
        <w:rPr>
          <w:rFonts w:cs="Calibri" w:hint="eastAsia"/>
          <w:b/>
          <w:bCs/>
          <w:color w:val="FF0000"/>
          <w:sz w:val="21"/>
          <w:szCs w:val="21"/>
        </w:rPr>
        <w:t>不应承担</w:t>
      </w:r>
      <w:r>
        <w:rPr>
          <w:rFonts w:cs="Calibri" w:hint="eastAsia"/>
          <w:color w:val="3F3F3F"/>
          <w:sz w:val="21"/>
          <w:szCs w:val="21"/>
        </w:rPr>
        <w:t>该项业务的检查工作。</w:t>
      </w:r>
    </w:p>
    <w:p w14:paraId="68E5A99C"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【案例45】</w:t>
      </w:r>
    </w:p>
    <w:p w14:paraId="4DA8B2D8"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根据ABC会计师事务所的质量控制制度，针对应当实施项目质量控制复核的审计业务，由项目质量控制复核人员在执行复核的同时对项目组遵循质量控制政策与程序的情况</w:t>
      </w:r>
      <w:r>
        <w:rPr>
          <w:rFonts w:cs="Calibri" w:hint="eastAsia"/>
          <w:b/>
          <w:bCs/>
          <w:color w:val="FF0000"/>
          <w:sz w:val="21"/>
          <w:szCs w:val="21"/>
        </w:rPr>
        <w:t>进行检查</w:t>
      </w:r>
      <w:r>
        <w:rPr>
          <w:rFonts w:cs="Calibri" w:hint="eastAsia"/>
          <w:color w:val="3F3F3F"/>
          <w:sz w:val="21"/>
          <w:szCs w:val="21"/>
        </w:rPr>
        <w:t>，并直接向负责业务质量的主任会计师报告检查结果，以实时监控质量控制制度的有效性。</w:t>
      </w:r>
    </w:p>
    <w:p w14:paraId="5BE1D4E5"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01B13986"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上述做法不符合质量控制准则的要求，参与项目质量控制复核的人员</w:t>
      </w:r>
      <w:r>
        <w:rPr>
          <w:rFonts w:cs="Calibri" w:hint="eastAsia"/>
          <w:b/>
          <w:bCs/>
          <w:color w:val="FF0000"/>
          <w:sz w:val="21"/>
          <w:szCs w:val="21"/>
        </w:rPr>
        <w:t>不应承担</w:t>
      </w:r>
      <w:r>
        <w:rPr>
          <w:rFonts w:cs="Calibri" w:hint="eastAsia"/>
          <w:color w:val="3F3F3F"/>
          <w:sz w:val="21"/>
          <w:szCs w:val="21"/>
        </w:rPr>
        <w:t>本项业务的检查工作。</w:t>
      </w:r>
    </w:p>
    <w:p w14:paraId="06F8857A"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【原则8-5】外部独立检查</w:t>
      </w:r>
    </w:p>
    <w:p w14:paraId="07254ADB"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w:t>
      </w:r>
      <w:r>
        <w:rPr>
          <w:rFonts w:cs="Calibri" w:hint="eastAsia"/>
          <w:b/>
          <w:bCs/>
          <w:color w:val="FF0000"/>
          <w:sz w:val="21"/>
          <w:szCs w:val="21"/>
        </w:rPr>
        <w:t>可以考虑</w:t>
      </w:r>
      <w:r>
        <w:rPr>
          <w:rFonts w:cs="Calibri" w:hint="eastAsia"/>
          <w:color w:val="3F3F3F"/>
          <w:sz w:val="21"/>
          <w:szCs w:val="21"/>
        </w:rPr>
        <w:t>外部独立检查的范围或结论，但这些检查</w:t>
      </w:r>
      <w:r>
        <w:rPr>
          <w:rFonts w:cs="Calibri" w:hint="eastAsia"/>
          <w:b/>
          <w:bCs/>
          <w:color w:val="FF0000"/>
          <w:sz w:val="21"/>
          <w:szCs w:val="21"/>
        </w:rPr>
        <w:t>并不能替代</w:t>
      </w:r>
      <w:r>
        <w:rPr>
          <w:rFonts w:cs="Calibri" w:hint="eastAsia"/>
          <w:color w:val="3F3F3F"/>
          <w:sz w:val="21"/>
          <w:szCs w:val="21"/>
        </w:rPr>
        <w:t>自身的内部监控。</w:t>
      </w:r>
    </w:p>
    <w:p w14:paraId="3CB55A23"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【案例46】</w:t>
      </w:r>
    </w:p>
    <w:p w14:paraId="144FD034"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根据ABC会计师事务所的内部业务检查制度规定，以每三年为一个周期，选取已完成业务进行检查，如果事务所当年接受相关部门的外部检查，则当年</w:t>
      </w:r>
      <w:r>
        <w:rPr>
          <w:rFonts w:cs="Calibri" w:hint="eastAsia"/>
          <w:b/>
          <w:bCs/>
          <w:color w:val="FF0000"/>
          <w:sz w:val="21"/>
          <w:szCs w:val="21"/>
        </w:rPr>
        <w:t>暂停</w:t>
      </w:r>
      <w:r>
        <w:rPr>
          <w:rFonts w:cs="Calibri" w:hint="eastAsia"/>
          <w:color w:val="3F3F3F"/>
          <w:sz w:val="21"/>
          <w:szCs w:val="21"/>
        </w:rPr>
        <w:t>对所有业务的内部检查。</w:t>
      </w:r>
    </w:p>
    <w:p w14:paraId="54F32585"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0EF335DD"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上述质量控制制度不恰当，在确定检查的范围时，事务所可以考虑外部独立检查的范围或结论，但这些检查并</w:t>
      </w:r>
      <w:r>
        <w:rPr>
          <w:rFonts w:cs="Calibri" w:hint="eastAsia"/>
          <w:b/>
          <w:bCs/>
          <w:color w:val="FF0000"/>
          <w:sz w:val="21"/>
          <w:szCs w:val="21"/>
        </w:rPr>
        <w:t>不能</w:t>
      </w:r>
      <w:r>
        <w:rPr>
          <w:rFonts w:cs="Calibri" w:hint="eastAsia"/>
          <w:color w:val="3F3F3F"/>
          <w:sz w:val="21"/>
          <w:szCs w:val="21"/>
        </w:rPr>
        <w:t>替代内部业务检查。</w:t>
      </w:r>
    </w:p>
    <w:p w14:paraId="23660AE5"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【案例47】</w:t>
      </w:r>
    </w:p>
    <w:p w14:paraId="1CBCC218"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质量控制制度规定，以两年为周期，每个周期内，应对每位项目合伙人的业务至少选取一项进行检查，考虑到A注册会计师担任项目合伙人的甲集团公司审计项目已被选取为外部监管机构的检查项目，故不再选取A注册会计师的审计项目进行内部检查。</w:t>
      </w:r>
    </w:p>
    <w:p w14:paraId="106ED077"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06400C1F"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上述做法不符合质量控制制度的要求，在确定检查的范围时，事务所可以考虑外部独立检查的范围或结论，但这些检查并</w:t>
      </w:r>
      <w:r>
        <w:rPr>
          <w:rFonts w:cs="Calibri" w:hint="eastAsia"/>
          <w:b/>
          <w:bCs/>
          <w:color w:val="FF0000"/>
          <w:sz w:val="21"/>
          <w:szCs w:val="21"/>
        </w:rPr>
        <w:t>不能替代</w:t>
      </w:r>
      <w:r>
        <w:rPr>
          <w:rFonts w:cs="Calibri" w:hint="eastAsia"/>
          <w:color w:val="3F3F3F"/>
          <w:sz w:val="21"/>
          <w:szCs w:val="21"/>
        </w:rPr>
        <w:t>内部业务检查。</w:t>
      </w:r>
    </w:p>
    <w:p w14:paraId="621DBF27"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【原则8-6】定期告知监控结果</w:t>
      </w:r>
    </w:p>
    <w:p w14:paraId="2A3B165B"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会计师事务所应当</w:t>
      </w:r>
      <w:r>
        <w:rPr>
          <w:rFonts w:cs="Calibri" w:hint="eastAsia"/>
          <w:b/>
          <w:bCs/>
          <w:color w:val="FF0000"/>
          <w:sz w:val="21"/>
          <w:szCs w:val="21"/>
        </w:rPr>
        <w:t>每年至少一次</w:t>
      </w:r>
      <w:r>
        <w:rPr>
          <w:rFonts w:cs="Calibri" w:hint="eastAsia"/>
          <w:color w:val="3F3F3F"/>
          <w:sz w:val="21"/>
          <w:szCs w:val="21"/>
        </w:rPr>
        <w:t>将质量控制制度的监控结果，传达给项目合伙人及会计师事务所内部的其他适当人员。向相关项目合伙人</w:t>
      </w:r>
      <w:r>
        <w:rPr>
          <w:rFonts w:cs="Calibri" w:hint="eastAsia"/>
          <w:b/>
          <w:bCs/>
          <w:color w:val="FF0000"/>
          <w:sz w:val="21"/>
          <w:szCs w:val="21"/>
        </w:rPr>
        <w:t>以外</w:t>
      </w:r>
      <w:r>
        <w:rPr>
          <w:rFonts w:cs="Calibri" w:hint="eastAsia"/>
          <w:color w:val="3F3F3F"/>
          <w:sz w:val="21"/>
          <w:szCs w:val="21"/>
        </w:rPr>
        <w:t>的人员传达已发现的缺陷，通常</w:t>
      </w:r>
      <w:r>
        <w:rPr>
          <w:rFonts w:cs="Calibri" w:hint="eastAsia"/>
          <w:b/>
          <w:bCs/>
          <w:color w:val="FF0000"/>
          <w:sz w:val="21"/>
          <w:szCs w:val="21"/>
        </w:rPr>
        <w:t>不指明</w:t>
      </w:r>
      <w:r>
        <w:rPr>
          <w:rFonts w:cs="Calibri" w:hint="eastAsia"/>
          <w:color w:val="3F3F3F"/>
          <w:sz w:val="21"/>
          <w:szCs w:val="21"/>
        </w:rPr>
        <w:t>涉及的具体业务，除非指明具体业务对这些人员适当履行职责是必要的。</w:t>
      </w:r>
    </w:p>
    <w:p w14:paraId="37D57D12"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【案例48】</w:t>
      </w:r>
    </w:p>
    <w:p w14:paraId="142BF77B"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根据ABC会计师事务所的质量控制制度，会计师事务所对其质量控制制度和程序的遵守情况实施监控，</w:t>
      </w:r>
      <w:r>
        <w:rPr>
          <w:rFonts w:cs="Calibri" w:hint="eastAsia"/>
          <w:b/>
          <w:bCs/>
          <w:color w:val="FF0000"/>
          <w:sz w:val="21"/>
          <w:szCs w:val="21"/>
        </w:rPr>
        <w:t>每三年至少一次</w:t>
      </w:r>
      <w:r>
        <w:rPr>
          <w:rFonts w:cs="Calibri" w:hint="eastAsia"/>
          <w:color w:val="3F3F3F"/>
          <w:sz w:val="21"/>
          <w:szCs w:val="21"/>
        </w:rPr>
        <w:t>将监控结果向项目合伙人及事务所内部的其他适当人员通报，如果发现重大缺陷，立即通报。</w:t>
      </w:r>
    </w:p>
    <w:p w14:paraId="75C1D849"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289367F9"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上述质量控制制度不恰当，会计师事务所对其质量控制制度和程序的遵守情况实施监控，</w:t>
      </w:r>
      <w:r>
        <w:rPr>
          <w:rFonts w:cs="Calibri" w:hint="eastAsia"/>
          <w:b/>
          <w:bCs/>
          <w:color w:val="FF0000"/>
          <w:sz w:val="21"/>
          <w:szCs w:val="21"/>
        </w:rPr>
        <w:t>每年至少一次</w:t>
      </w:r>
      <w:r>
        <w:rPr>
          <w:rFonts w:cs="Calibri" w:hint="eastAsia"/>
          <w:color w:val="3F3F3F"/>
          <w:sz w:val="21"/>
          <w:szCs w:val="21"/>
        </w:rPr>
        <w:t>将监控结果向项目合伙人及事务所内部的其他适当人员通报。</w:t>
      </w:r>
    </w:p>
    <w:p w14:paraId="3A08943F"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【原则8-7】投诉和指控的方式</w:t>
      </w:r>
    </w:p>
    <w:p w14:paraId="762C1817"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如果投诉和指控人要求对其身份保密，会计师事务所应当</w:t>
      </w:r>
      <w:r>
        <w:rPr>
          <w:rFonts w:cs="Calibri" w:hint="eastAsia"/>
          <w:b/>
          <w:bCs/>
          <w:color w:val="FF0000"/>
          <w:sz w:val="21"/>
          <w:szCs w:val="21"/>
        </w:rPr>
        <w:t>予以保密</w:t>
      </w:r>
      <w:r>
        <w:rPr>
          <w:rFonts w:cs="Calibri" w:hint="eastAsia"/>
          <w:color w:val="3F3F3F"/>
          <w:sz w:val="21"/>
          <w:szCs w:val="21"/>
        </w:rPr>
        <w:t>，未经本人许可，不得披露其姓名。如果收到匿名的投诉和指控，会计师事务所应当以适当的方式向全体人员表明，与实名的投诉和指控相比，匿名的投诉和指控更难调查和反馈，</w:t>
      </w:r>
      <w:r>
        <w:rPr>
          <w:rFonts w:cs="Calibri" w:hint="eastAsia"/>
          <w:b/>
          <w:bCs/>
          <w:color w:val="FF0000"/>
          <w:sz w:val="21"/>
          <w:szCs w:val="21"/>
        </w:rPr>
        <w:t>鼓励</w:t>
      </w:r>
      <w:r>
        <w:rPr>
          <w:rFonts w:cs="Calibri" w:hint="eastAsia"/>
          <w:color w:val="3F3F3F"/>
          <w:sz w:val="21"/>
          <w:szCs w:val="21"/>
        </w:rPr>
        <w:t>用实名投诉和指控。会计师事务所还应当表明所有的投诉和指控都将得到记录、调查并会将结果反馈给投诉和指控人。反馈调查结果通常采取</w:t>
      </w:r>
      <w:r>
        <w:rPr>
          <w:rFonts w:cs="Calibri" w:hint="eastAsia"/>
          <w:b/>
          <w:bCs/>
          <w:color w:val="FF0000"/>
          <w:sz w:val="21"/>
          <w:szCs w:val="21"/>
        </w:rPr>
        <w:t>书面形式</w:t>
      </w:r>
      <w:r>
        <w:rPr>
          <w:rFonts w:cs="Calibri" w:hint="eastAsia"/>
          <w:color w:val="3F3F3F"/>
          <w:sz w:val="21"/>
          <w:szCs w:val="21"/>
        </w:rPr>
        <w:t>。</w:t>
      </w:r>
    </w:p>
    <w:p w14:paraId="14A51714"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【原则8-8】投诉和指控的处理人员</w:t>
      </w:r>
    </w:p>
    <w:p w14:paraId="1C732353"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会计师事务所应当委派本所内部</w:t>
      </w:r>
      <w:r>
        <w:rPr>
          <w:rFonts w:cs="Calibri" w:hint="eastAsia"/>
          <w:b/>
          <w:bCs/>
          <w:color w:val="FF0000"/>
          <w:sz w:val="21"/>
          <w:szCs w:val="21"/>
        </w:rPr>
        <w:t>不参与该项业务</w:t>
      </w:r>
      <w:r>
        <w:rPr>
          <w:rFonts w:cs="Calibri" w:hint="eastAsia"/>
          <w:color w:val="3F3F3F"/>
          <w:sz w:val="21"/>
          <w:szCs w:val="21"/>
        </w:rPr>
        <w:t>的具有足够、适当经验和权限的人员负责对调查的监督。必要时，聘请法律专家参与调查工作。</w:t>
      </w:r>
    </w:p>
    <w:p w14:paraId="081EDE74" w14:textId="77777777" w:rsidR="00B60D90" w:rsidRDefault="00B60D90" w:rsidP="00B60D90">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【案例49】</w:t>
      </w:r>
    </w:p>
    <w:p w14:paraId="2348BD91"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ABC会计师事务所设立了不当行为举报热线，并制定了有关调查和处理举报事项的政策和程序。对所有举报事项的调查和处理过程均需执行监督，该项工作由具有适当经验和权限的业务部门的A合伙人兼任。</w:t>
      </w:r>
    </w:p>
    <w:p w14:paraId="389D2AB5" w14:textId="77777777" w:rsidR="00B60D90" w:rsidRDefault="00B60D90" w:rsidP="00B60D90">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007C4317" w14:textId="77777777" w:rsidR="00B60D90" w:rsidRDefault="00B60D90" w:rsidP="00B60D90">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上述质量控制制度不恰当，投诉或指控所涉项目可能是A合伙人负责的项目，由其执行监督</w:t>
      </w:r>
      <w:r>
        <w:rPr>
          <w:rFonts w:cs="Calibri" w:hint="eastAsia"/>
          <w:b/>
          <w:bCs/>
          <w:color w:val="FF0000"/>
          <w:sz w:val="21"/>
          <w:szCs w:val="21"/>
        </w:rPr>
        <w:t>不具有客观性</w:t>
      </w:r>
      <w:r>
        <w:rPr>
          <w:rFonts w:cs="Calibri" w:hint="eastAsia"/>
          <w:color w:val="3F3F3F"/>
          <w:sz w:val="21"/>
          <w:szCs w:val="21"/>
        </w:rPr>
        <w:t>。</w:t>
      </w:r>
    </w:p>
    <w:p w14:paraId="3A267AF5" w14:textId="77777777" w:rsidR="00B60D90" w:rsidRDefault="00B60D90" w:rsidP="00B60D90">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提示和复习</w:t>
      </w:r>
    </w:p>
    <w:p w14:paraId="7147EC48" w14:textId="77777777" w:rsidR="00B60D90" w:rsidRDefault="00B60D90" w:rsidP="00B60D90">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"http://webupload.admin.dongao.com/biz/handout/img/2019/20190711/20190711095816494005.png"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218.25pt">
            <v:imagedata r:id="rId15" r:href="rId16"/>
          </v:shape>
        </w:pict>
      </w:r>
      <w:r>
        <w:rPr>
          <w:rFonts w:ascii="Calibri" w:eastAsia="微软雅黑" w:hAnsi="Calibri" w:cs="Calibri"/>
          <w:color w:val="3F3F3F"/>
          <w:sz w:val="21"/>
          <w:szCs w:val="21"/>
        </w:rPr>
        <w:fldChar w:fldCharType="end"/>
      </w:r>
    </w:p>
    <w:p w14:paraId="6F40854F" w14:textId="77777777" w:rsidR="00B60D90" w:rsidRDefault="00B60D90" w:rsidP="00B60D90">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本章复习计划</w:t>
      </w:r>
    </w:p>
    <w:p w14:paraId="19470AFB" w14:textId="77777777" w:rsidR="00B60D90" w:rsidRDefault="00B60D90" w:rsidP="00B60D90">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第一轮：</w:t>
      </w:r>
    </w:p>
    <w:p w14:paraId="557D0C95" w14:textId="77777777" w:rsidR="00B60D90" w:rsidRDefault="00B60D90" w:rsidP="00B60D90">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w:t>
      </w:r>
      <w:r>
        <w:rPr>
          <w:rFonts w:cs="Calibri" w:hint="eastAsia"/>
          <w:color w:val="3F3F3F"/>
          <w:sz w:val="21"/>
          <w:szCs w:val="21"/>
        </w:rPr>
        <w:t>演练随堂的49个案例，识记质量控制准则的核心条款。</w:t>
      </w:r>
    </w:p>
    <w:p w14:paraId="3958A252" w14:textId="77777777" w:rsidR="00B60D90" w:rsidRDefault="00B60D90" w:rsidP="00B60D90">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第二轮：</w:t>
      </w:r>
    </w:p>
    <w:p w14:paraId="1857F6BD" w14:textId="77777777" w:rsidR="00B60D90" w:rsidRDefault="00B60D90" w:rsidP="00B60D90">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w:t>
      </w:r>
      <w:r>
        <w:rPr>
          <w:rFonts w:cs="Calibri" w:hint="eastAsia"/>
          <w:color w:val="3F3F3F"/>
          <w:sz w:val="21"/>
          <w:szCs w:val="21"/>
        </w:rPr>
        <w:t>演练随堂的49个案例，识记质量控制准则的核心条款。</w:t>
      </w:r>
    </w:p>
    <w:p w14:paraId="01A16710" w14:textId="77777777" w:rsidR="00B60D90" w:rsidRDefault="00B60D90" w:rsidP="00B60D90">
      <w:pPr>
        <w:shd w:val="clear" w:color="auto" w:fill="FFFFFF"/>
        <w:rPr>
          <w:rFonts w:ascii="微软雅黑" w:eastAsia="微软雅黑" w:hAnsi="微软雅黑" w:cs="宋体"/>
          <w:color w:val="3F3F3F"/>
          <w:szCs w:val="21"/>
        </w:rPr>
      </w:pPr>
    </w:p>
    <w:p w14:paraId="27FB7F58" w14:textId="77777777" w:rsidR="00271D8C" w:rsidRPr="00B60D90" w:rsidRDefault="00271D8C" w:rsidP="00B60D90">
      <w:pPr>
        <w:rPr>
          <w:rFonts w:hint="eastAsia"/>
        </w:rPr>
      </w:pPr>
    </w:p>
    <w:sectPr w:rsidR="00271D8C" w:rsidRPr="00B60D90" w:rsidSect="001F62DD">
      <w:headerReference w:type="default" r:id="rId17"/>
      <w:footerReference w:type="default" r:id="rId18"/>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3BA5" w14:textId="77777777" w:rsidR="0076186D" w:rsidRDefault="0076186D" w:rsidP="00CD53C5">
      <w:r>
        <w:separator/>
      </w:r>
    </w:p>
  </w:endnote>
  <w:endnote w:type="continuationSeparator" w:id="0">
    <w:p w14:paraId="579F89B0" w14:textId="77777777" w:rsidR="0076186D" w:rsidRDefault="0076186D"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56A7516" w14:textId="77777777" w:rsidTr="007B0BFD">
      <w:trPr>
        <w:trHeight w:val="274"/>
      </w:trPr>
      <w:tc>
        <w:tcPr>
          <w:tcW w:w="2050" w:type="dxa"/>
          <w:shd w:val="clear" w:color="auto" w:fill="auto"/>
          <w:vAlign w:val="center"/>
        </w:tcPr>
        <w:p w14:paraId="44F77958"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0" type="#_x0000_t75" style="width:90.75pt;height:26.25pt;visibility:visible">
                <v:imagedata r:id="rId1" o:title=""/>
              </v:shape>
            </w:pict>
          </w:r>
        </w:p>
      </w:tc>
      <w:tc>
        <w:tcPr>
          <w:tcW w:w="3742" w:type="dxa"/>
          <w:shd w:val="clear" w:color="auto" w:fill="auto"/>
          <w:vAlign w:val="center"/>
        </w:tcPr>
        <w:p w14:paraId="64F6F61D"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714CABDF"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001A9634"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12517" w14:textId="77777777" w:rsidR="0076186D" w:rsidRDefault="0076186D" w:rsidP="00CD53C5">
      <w:r>
        <w:separator/>
      </w:r>
    </w:p>
  </w:footnote>
  <w:footnote w:type="continuationSeparator" w:id="0">
    <w:p w14:paraId="467B2FEC" w14:textId="77777777" w:rsidR="0076186D" w:rsidRDefault="0076186D"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393E70D" w14:textId="77777777" w:rsidTr="007B0BFD">
      <w:trPr>
        <w:trHeight w:val="501"/>
      </w:trPr>
      <w:tc>
        <w:tcPr>
          <w:tcW w:w="4272" w:type="dxa"/>
          <w:shd w:val="clear" w:color="auto" w:fill="auto"/>
          <w:vAlign w:val="center"/>
        </w:tcPr>
        <w:p w14:paraId="18952F75" w14:textId="77777777" w:rsidR="001545C6" w:rsidRPr="001F62DD" w:rsidRDefault="00B60D90"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2E4A4DB5" w14:textId="77777777" w:rsidR="001545C6" w:rsidRPr="004D61E7" w:rsidRDefault="00B60D90"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第二十一章</w:t>
          </w:r>
          <w:r>
            <w:rPr>
              <w:rFonts w:ascii="微软雅黑" w:eastAsia="微软雅黑" w:hAnsi="微软雅黑"/>
              <w:sz w:val="24"/>
              <w:szCs w:val="24"/>
            </w:rPr>
            <w:t>+会计师事务所业务质量控制</w:t>
          </w:r>
        </w:p>
      </w:tc>
    </w:tr>
  </w:tbl>
  <w:p w14:paraId="0C13D6CF"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6397F"/>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6186D"/>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0D90"/>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F02A0E0"/>
  <w15:docId w15:val="{6E916808-1049-4910-B5FF-0ADFE7C8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35458736">
      <w:bodyDiv w:val="1"/>
      <w:marLeft w:val="0"/>
      <w:marRight w:val="0"/>
      <w:marTop w:val="0"/>
      <w:marBottom w:val="0"/>
      <w:divBdr>
        <w:top w:val="none" w:sz="0" w:space="0" w:color="auto"/>
        <w:left w:val="none" w:sz="0" w:space="0" w:color="auto"/>
        <w:bottom w:val="none" w:sz="0" w:space="0" w:color="auto"/>
        <w:right w:val="none" w:sz="0" w:space="0" w:color="auto"/>
      </w:divBdr>
      <w:divsChild>
        <w:div w:id="1923949956">
          <w:marLeft w:val="0"/>
          <w:marRight w:val="0"/>
          <w:marTop w:val="0"/>
          <w:marBottom w:val="0"/>
          <w:divBdr>
            <w:top w:val="none" w:sz="0" w:space="0" w:color="auto"/>
            <w:left w:val="none" w:sz="0" w:space="0" w:color="auto"/>
            <w:bottom w:val="none" w:sz="0" w:space="0" w:color="auto"/>
            <w:right w:val="none" w:sz="0" w:space="0" w:color="auto"/>
          </w:divBdr>
          <w:divsChild>
            <w:div w:id="53507345">
              <w:marLeft w:val="0"/>
              <w:marRight w:val="0"/>
              <w:marTop w:val="0"/>
              <w:marBottom w:val="0"/>
              <w:divBdr>
                <w:top w:val="none" w:sz="0" w:space="0" w:color="auto"/>
                <w:left w:val="none" w:sz="0" w:space="0" w:color="auto"/>
                <w:bottom w:val="none" w:sz="0" w:space="0" w:color="auto"/>
                <w:right w:val="none" w:sz="0" w:space="0" w:color="auto"/>
              </w:divBdr>
            </w:div>
            <w:div w:id="236281053">
              <w:marLeft w:val="0"/>
              <w:marRight w:val="0"/>
              <w:marTop w:val="0"/>
              <w:marBottom w:val="0"/>
              <w:divBdr>
                <w:top w:val="none" w:sz="0" w:space="0" w:color="auto"/>
                <w:left w:val="none" w:sz="0" w:space="0" w:color="auto"/>
                <w:bottom w:val="none" w:sz="0" w:space="0" w:color="auto"/>
                <w:right w:val="none" w:sz="0" w:space="0" w:color="auto"/>
              </w:divBdr>
            </w:div>
            <w:div w:id="423888830">
              <w:marLeft w:val="0"/>
              <w:marRight w:val="0"/>
              <w:marTop w:val="0"/>
              <w:marBottom w:val="0"/>
              <w:divBdr>
                <w:top w:val="none" w:sz="0" w:space="0" w:color="auto"/>
                <w:left w:val="none" w:sz="0" w:space="0" w:color="auto"/>
                <w:bottom w:val="none" w:sz="0" w:space="0" w:color="auto"/>
                <w:right w:val="none" w:sz="0" w:space="0" w:color="auto"/>
              </w:divBdr>
            </w:div>
            <w:div w:id="453057983">
              <w:marLeft w:val="0"/>
              <w:marRight w:val="0"/>
              <w:marTop w:val="0"/>
              <w:marBottom w:val="0"/>
              <w:divBdr>
                <w:top w:val="none" w:sz="0" w:space="0" w:color="auto"/>
                <w:left w:val="none" w:sz="0" w:space="0" w:color="auto"/>
                <w:bottom w:val="none" w:sz="0" w:space="0" w:color="auto"/>
                <w:right w:val="none" w:sz="0" w:space="0" w:color="auto"/>
              </w:divBdr>
            </w:div>
            <w:div w:id="513156038">
              <w:marLeft w:val="0"/>
              <w:marRight w:val="0"/>
              <w:marTop w:val="0"/>
              <w:marBottom w:val="0"/>
              <w:divBdr>
                <w:top w:val="none" w:sz="0" w:space="0" w:color="auto"/>
                <w:left w:val="none" w:sz="0" w:space="0" w:color="auto"/>
                <w:bottom w:val="none" w:sz="0" w:space="0" w:color="auto"/>
                <w:right w:val="none" w:sz="0" w:space="0" w:color="auto"/>
              </w:divBdr>
            </w:div>
            <w:div w:id="544292978">
              <w:marLeft w:val="0"/>
              <w:marRight w:val="0"/>
              <w:marTop w:val="0"/>
              <w:marBottom w:val="0"/>
              <w:divBdr>
                <w:top w:val="none" w:sz="0" w:space="0" w:color="auto"/>
                <w:left w:val="none" w:sz="0" w:space="0" w:color="auto"/>
                <w:bottom w:val="none" w:sz="0" w:space="0" w:color="auto"/>
                <w:right w:val="none" w:sz="0" w:space="0" w:color="auto"/>
              </w:divBdr>
            </w:div>
            <w:div w:id="724763890">
              <w:marLeft w:val="0"/>
              <w:marRight w:val="0"/>
              <w:marTop w:val="0"/>
              <w:marBottom w:val="0"/>
              <w:divBdr>
                <w:top w:val="none" w:sz="0" w:space="0" w:color="auto"/>
                <w:left w:val="none" w:sz="0" w:space="0" w:color="auto"/>
                <w:bottom w:val="none" w:sz="0" w:space="0" w:color="auto"/>
                <w:right w:val="none" w:sz="0" w:space="0" w:color="auto"/>
              </w:divBdr>
            </w:div>
            <w:div w:id="910386494">
              <w:marLeft w:val="0"/>
              <w:marRight w:val="0"/>
              <w:marTop w:val="0"/>
              <w:marBottom w:val="0"/>
              <w:divBdr>
                <w:top w:val="none" w:sz="0" w:space="0" w:color="auto"/>
                <w:left w:val="none" w:sz="0" w:space="0" w:color="auto"/>
                <w:bottom w:val="none" w:sz="0" w:space="0" w:color="auto"/>
                <w:right w:val="none" w:sz="0" w:space="0" w:color="auto"/>
              </w:divBdr>
            </w:div>
            <w:div w:id="1110011229">
              <w:marLeft w:val="0"/>
              <w:marRight w:val="0"/>
              <w:marTop w:val="0"/>
              <w:marBottom w:val="0"/>
              <w:divBdr>
                <w:top w:val="none" w:sz="0" w:space="0" w:color="auto"/>
                <w:left w:val="none" w:sz="0" w:space="0" w:color="auto"/>
                <w:bottom w:val="none" w:sz="0" w:space="0" w:color="auto"/>
                <w:right w:val="none" w:sz="0" w:space="0" w:color="auto"/>
              </w:divBdr>
            </w:div>
            <w:div w:id="1146974326">
              <w:marLeft w:val="0"/>
              <w:marRight w:val="0"/>
              <w:marTop w:val="0"/>
              <w:marBottom w:val="0"/>
              <w:divBdr>
                <w:top w:val="none" w:sz="0" w:space="0" w:color="auto"/>
                <w:left w:val="none" w:sz="0" w:space="0" w:color="auto"/>
                <w:bottom w:val="none" w:sz="0" w:space="0" w:color="auto"/>
                <w:right w:val="none" w:sz="0" w:space="0" w:color="auto"/>
              </w:divBdr>
            </w:div>
            <w:div w:id="1200242335">
              <w:marLeft w:val="0"/>
              <w:marRight w:val="0"/>
              <w:marTop w:val="0"/>
              <w:marBottom w:val="0"/>
              <w:divBdr>
                <w:top w:val="none" w:sz="0" w:space="0" w:color="auto"/>
                <w:left w:val="none" w:sz="0" w:space="0" w:color="auto"/>
                <w:bottom w:val="none" w:sz="0" w:space="0" w:color="auto"/>
                <w:right w:val="none" w:sz="0" w:space="0" w:color="auto"/>
              </w:divBdr>
            </w:div>
            <w:div w:id="1533347171">
              <w:marLeft w:val="0"/>
              <w:marRight w:val="0"/>
              <w:marTop w:val="0"/>
              <w:marBottom w:val="0"/>
              <w:divBdr>
                <w:top w:val="none" w:sz="0" w:space="0" w:color="auto"/>
                <w:left w:val="none" w:sz="0" w:space="0" w:color="auto"/>
                <w:bottom w:val="none" w:sz="0" w:space="0" w:color="auto"/>
                <w:right w:val="none" w:sz="0" w:space="0" w:color="auto"/>
              </w:divBdr>
            </w:div>
            <w:div w:id="1659534814">
              <w:marLeft w:val="0"/>
              <w:marRight w:val="0"/>
              <w:marTop w:val="0"/>
              <w:marBottom w:val="0"/>
              <w:divBdr>
                <w:top w:val="none" w:sz="0" w:space="0" w:color="auto"/>
                <w:left w:val="none" w:sz="0" w:space="0" w:color="auto"/>
                <w:bottom w:val="none" w:sz="0" w:space="0" w:color="auto"/>
                <w:right w:val="none" w:sz="0" w:space="0" w:color="auto"/>
              </w:divBdr>
            </w:div>
            <w:div w:id="18254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1/20190711095816975001.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11/20190711095816987003.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711/20190711095816494005.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711/2019071109581692400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711/20190711095816184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0A97E-0ACA-4CA7-994F-B8F71306D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