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52"/>
          <w:szCs w:val="52"/>
        </w:rPr>
        <w:t xml:space="preserve">Marketing Campaign Analytics</w:t>
      </w:r>
    </w:p>
    <w:p>
      <w:pPr>
        <w:spacing w:after="300" w:before="120"/>
        <w:jc w:val="center"/>
      </w:pPr>
      <w:r>
        <w:rPr>
          <w:color w:val="2E74B5"/>
          <w:sz w:val="28"/>
          <w:szCs w:val="28"/>
        </w:rPr>
        <w:t xml:space="preserve">Customer &amp; Campaign Analysis – EDA Project Report</w:t>
      </w:r>
    </w:p>
    <w:p>
      <w:pPr>
        <w:spacing w:after="60"/>
        <w:jc w:val="center"/>
      </w:pPr>
      <w:r>
        <w:rPr>
          <w:sz w:val="22"/>
          <w:szCs w:val="22"/>
        </w:rPr>
        <w:t xml:space="preserve">Domain: Marketing / Customer Analytics</w:t>
      </w:r>
    </w:p>
    <w:p>
      <w:pPr>
        <w:spacing w:after="60"/>
        <w:jc w:val="center"/>
      </w:pPr>
      <w:r>
        <w:rPr>
          <w:sz w:val="22"/>
          <w:szCs w:val="22"/>
        </w:rPr>
        <w:t xml:space="preserve">Tools: Python (Pandas, NumPy, Matplotlib, Seaborn) · PostgreSQL · Power BI</w:t>
      </w:r>
    </w:p>
    <w:p>
      <w:pPr>
        <w:spacing w:after="60"/>
        <w:jc w:val="center"/>
      </w:pPr>
      <w:r>
        <w:rPr>
          <w:sz w:val="22"/>
          <w:szCs w:val="22"/>
        </w:rPr>
        <w:t xml:space="preserve">Dataset: 56,000 customers × 28 raw fields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Prepared by: Jeffrey Gabriel</w:t>
      </w:r>
    </w:p>
    <w:p>
      <w:r>
        <w:br w:type="page"/>
      </w:r>
    </w:p>
    <w:p>
      <w:pPr>
        <w:pStyle w:val="Heading1"/>
      </w:pPr>
      <w:r>
        <w:t xml:space="preserve">1. Problem Understanding</w:t>
      </w:r>
    </w:p>
    <w:p>
      <w:pPr>
        <w:spacing w:after="120"/>
      </w:pPr>
      <w:r>
        <w:rPr>
          <w:sz w:val="22"/>
          <w:szCs w:val="22"/>
        </w:rPr>
        <w:t xml:space="preserve">A retail company has run six marketing campaigns and recorded detailed information about its customers — demographics, two-year spending across six product categories, channel-wise purchases, and whether each customer accepted each campaign. Management wants a consolidated analytics solution to answer three questions: who its best customers are, what drives campaign acceptance, and how different customer segments behave across products and channels.</w:t>
      </w:r>
    </w:p>
    <w:p>
      <w:pPr>
        <w:spacing w:after="120"/>
      </w:pPr>
      <w:r>
        <w:rPr>
          <w:sz w:val="22"/>
          <w:szCs w:val="22"/>
        </w:rPr>
        <w:t xml:space="preserve">This report presents the cleaning, exploratory analysis, rule-based segmentation, SQL data model, and interactive Power BI dashboard built to answer those questions, along with data-backed recommendations for future campaigns.</w:t>
      </w:r>
    </w:p>
    <w:p>
      <w:pPr>
        <w:pStyle w:val="Heading1"/>
      </w:pPr>
      <w:r>
        <w:t xml:space="preserve">2.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understanding &amp; cleaning (Python): </w:t>
      </w:r>
      <w:r>
        <w:rPr>
          <w:sz w:val="22"/>
          <w:szCs w:val="22"/>
        </w:rPr>
        <w:t xml:space="preserve">Load the raw data, understand each field using the data dictionary, and clean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Exploratory data analysis (Python): </w:t>
      </w:r>
      <w:r>
        <w:rPr>
          <w:sz w:val="22"/>
          <w:szCs w:val="22"/>
        </w:rPr>
        <w:t xml:space="preserve">Univariate, bivariate, and multivariate analysis to surface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Rule-based segmentation (Python): </w:t>
      </w:r>
      <w:r>
        <w:rPr>
          <w:sz w:val="22"/>
          <w:szCs w:val="22"/>
        </w:rPr>
        <w:t xml:space="preserve">Six business-rule segments with size and KPI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SQL data model &amp; queries: </w:t>
      </w:r>
      <w:r>
        <w:rPr>
          <w:sz w:val="22"/>
          <w:szCs w:val="22"/>
        </w:rPr>
        <w:t xml:space="preserve">Schema, data load, analytical queries, and dashboard views in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Dashboard (Power BI): </w:t>
      </w:r>
      <w:r>
        <w:rPr>
          <w:sz w:val="22"/>
          <w:szCs w:val="22"/>
        </w:rPr>
        <w:t xml:space="preserve">An interactive Power BI report with KPI cards, charts, and slicers.</w:t>
      </w:r>
    </w:p>
    <w:p>
      <w:pPr>
        <w:pStyle w:val="Heading1"/>
      </w:pPr>
      <w:r>
        <w:t xml:space="preserve">3. Data Cleaning Summary</w:t>
      </w:r>
    </w:p>
    <w:p>
      <w:pPr>
        <w:spacing w:after="120"/>
      </w:pPr>
      <w:r>
        <w:rPr>
          <w:sz w:val="22"/>
          <w:szCs w:val="22"/>
        </w:rPr>
        <w:t xml:space="preserve">The dataset was unusually clean: no missing values, no duplicate IDs, no duplicate rows, valid dates, all campaign/complaint flags strictly 0/1, and realistic age (30–90) and income ranges. The corrections required were: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Marital_Status junk values: Alone (911), Absurd (733), YOLO (730)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Merged Alone → Single; relabelled Absurd/YOLO → Unknown (rows kept)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Dt_Customer stored as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Converted to a proper date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Recency capped at 99 (9,645 customers at exactly 99)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Flagged as “99+ days” — a large cold-customer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Outliers (ages, income)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 — all realistic, no treatment needed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Nineteen derived features were engineered, including Age, Total_Spend, Total_Purchase, Children, Customer_Tenure, Avg_Order_Value, Web_Conversion_Rate, Age_Band, Income_Band, six segment flags, and a composite Value_Tier.</w:t>
      </w:r>
    </w:p>
    <w:p>
      <w:pPr>
        <w:pStyle w:val="Heading1"/>
      </w:pPr>
      <w:r>
        <w:t xml:space="preserve">4. Key Findings</w:t>
      </w:r>
    </w:p>
    <w:p>
      <w:pPr>
        <w:pStyle w:val="Heading2"/>
      </w:pPr>
      <w:r>
        <w:t xml:space="preserve">4.1  Campaign performance</w:t>
      </w:r>
    </w:p>
    <w:p>
      <w:pPr>
        <w:spacing w:after="120"/>
      </w:pPr>
      <w:r>
        <w:rPr>
          <w:sz w:val="22"/>
          <w:szCs w:val="22"/>
        </w:rPr>
        <w:t xml:space="preserve">The most recent campaign (Response) and Campaign 1 clearly outperformed the rest, while Campaign 2 was a decisive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(last)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Mediocre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Mediocre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 (~10× worse than best)</w:t>
            </w:r>
          </w:p>
        </w:tc>
      </w:tr>
    </w:tbl>
    <w:p>
      <w:pPr>
        <w:pStyle w:val="Heading2"/>
      </w:pPr>
      <w:r>
        <w:t xml:space="preserve">4.2  Income is the strongest response driver</w:t>
      </w:r>
    </w:p>
    <w:p>
      <w:pPr>
        <w:spacing w:after="120"/>
      </w:pPr>
      <w:r>
        <w:rPr>
          <w:sz w:val="22"/>
          <w:szCs w:val="22"/>
        </w:rPr>
        <w:t xml:space="preserve">Response rate climbs steeply with income — a roughly six-fold difference from the lowest to the highest band. Responders earn about ₹75,300 on average versus ₹54,100 for non-responders, and spend about ₹939 versus ₹589.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Income band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25k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25–50k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50–75k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75–100k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100k+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27.8%</w:t>
            </w:r>
          </w:p>
        </w:tc>
      </w:tr>
    </w:tbl>
    <w:p>
      <w:pPr>
        <w:pStyle w:val="Heading2"/>
      </w:pPr>
      <w:r>
        <w:t xml:space="preserve">4.3  Families respond less; childless customers respond best</w:t>
      </w:r>
    </w:p>
    <w:p>
      <w:pPr>
        <w:spacing w:after="120"/>
      </w:pPr>
      <w:r>
        <w:rPr>
          <w:sz w:val="22"/>
          <w:szCs w:val="22"/>
        </w:rPr>
        <w:t xml:space="preserve">Customers with no children respond at about 21.5% versus 11.6% for those with children — roughly double. Response declines steadily from 0 to 2 children (the small 3-child group was excluded as an unreliable sample of only 543 customers).</w:t>
      </w:r>
    </w:p>
    <w:p>
      <w:pPr>
        <w:pStyle w:val="Heading2"/>
      </w:pPr>
      <w:r>
        <w:t xml:space="preserve">4.4  Revenue is concentrated in wine and meat</w:t>
      </w:r>
    </w:p>
    <w:p>
      <w:pPr>
        <w:spacing w:after="120"/>
      </w:pPr>
      <w:r>
        <w:rPr>
          <w:sz w:val="22"/>
          <w:szCs w:val="22"/>
        </w:rPr>
        <w:t xml:space="preserve">Meat (≈42%) and Wine (≈39%) together make up about 80% of all product revenue. Fish, gold, sweets, and fruits are minor by comparison. Spending scales sharply with income and rises with age.</w:t>
      </w:r>
    </w:p>
    <w:p>
      <w:pPr>
        <w:pStyle w:val="Heading2"/>
      </w:pPr>
      <w:r>
        <w:t xml:space="preserve">4.5  Channels and web behaviour</w:t>
      </w:r>
    </w:p>
    <w:p>
      <w:pPr>
        <w:spacing w:after="120"/>
      </w:pPr>
      <w:r>
        <w:rPr>
          <w:sz w:val="22"/>
          <w:szCs w:val="22"/>
        </w:rPr>
        <w:t xml:space="preserve">High-value customers out-purchase regulars on every owned channel — most strongly Store and Catalog — yet visit the website less often. Store (≈36%) and Web (≈32%) lead purchase volume. Notably, web-visit frequency correlates negatively with both spend (−0.26) and response: heavy site-visitors browse but rarely buy. About 25.5% of the base are “under-served” — high web visits, below-median spend, and no campaign ever accepted.</w:t>
      </w:r>
    </w:p>
    <w:p>
      <w:pPr>
        <w:pStyle w:val="Heading1"/>
      </w:pPr>
      <w:r>
        <w:t xml:space="preserve">5. Segmentation Summary</w:t>
      </w:r>
    </w:p>
    <w:p>
      <w:pPr>
        <w:spacing w:after="120"/>
      </w:pPr>
      <w:r>
        <w:rPr>
          <w:sz w:val="22"/>
          <w:szCs w:val="22"/>
        </w:rPr>
        <w:t xml:space="preserve">Six rule-based segments were created. Segment size does not equal value: the smallest segments are the most valuable, while the two largest under-perform.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Spender (top-10% spend)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5,599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₹1,972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Income (&gt;75k)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19,782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₹1,038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Responder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₹939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Web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29,970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₹510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(children &gt; 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38,222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Young Customer (&lt;30)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*Campaign Responder is 100% by definition. Young Customer is empty — the customer base has no under-30s.</w:t>
      </w:r>
    </w:p>
    <w:p>
      <w:pPr>
        <w:pStyle w:val="Heading1"/>
      </w:pPr>
      <w:r>
        <w:t xml:space="preserve">6. The Ideal Target Customer</w:t>
      </w:r>
    </w:p>
    <w:p>
      <w:pPr>
        <w:spacing w:after="120"/>
      </w:pPr>
      <w:r>
        <w:rPr>
          <w:sz w:val="22"/>
          <w:szCs w:val="22"/>
        </w:rPr>
        <w:t xml:space="preserve">Combining every finding, the highest-value, most-responsive customer profile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Ideal 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(75k+)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4.6% → 28% across bands (~6×)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No-kids respond ~2× more (21.5% vs 11.6%)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Older (50+)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rises 11.5% → 18% with 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Spending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Responders spend ~60% 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/ Catalog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High-value customers favour these, not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behaviour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visit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visits correlate negatively with spend &amp; response</w:t>
            </w:r>
          </w:p>
        </w:tc>
      </w:tr>
    </w:tbl>
    <w:p>
      <w:pPr>
        <w:pStyle w:val="Heading1"/>
      </w:pPr>
      <w:r>
        <w:t xml:space="preserve">7. Recommendations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Target the high-income, childless core. </w:t>
      </w:r>
      <w:r>
        <w:rPr>
          <w:sz w:val="22"/>
          <w:szCs w:val="22"/>
        </w:rPr>
        <w:t xml:space="preserve">This overlap has the best response (&gt;25%) and highest spend. Build a premium segment and lead with wine and meat bundles — the 80% of revenue these products already represent.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Retire or redesign Campaign 2. </w:t>
      </w:r>
      <w:r>
        <w:rPr>
          <w:sz w:val="22"/>
          <w:szCs w:val="22"/>
        </w:rPr>
        <w:t xml:space="preserve">At 1.4% acceptance it is an outlier failure. Reallocate its budget to clones of the last campaign and Campaign 1, which convert roughly ten times better.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Prioritise Catalog and Store for high-value customers. </w:t>
      </w:r>
      <w:r>
        <w:rPr>
          <w:sz w:val="22"/>
          <w:szCs w:val="22"/>
        </w:rPr>
        <w:t xml:space="preserve">They buy most through these channels; favour catalog mailings and in-store offers for the top value tiers over generic web banners or discount deals.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Convert the 25.5% under-served, high-web-visit segment. </w:t>
      </w:r>
      <w:r>
        <w:rPr>
          <w:sz w:val="22"/>
          <w:szCs w:val="22"/>
        </w:rPr>
        <w:t xml:space="preserve">They are engaged but low-income and non-converting. Use entry-priced offers, first-purchase incentives, and onboarding nudges to move them up a value tier rather than chasing large baskets.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Down-weight blanket family targeting. </w:t>
      </w:r>
      <w:r>
        <w:rPr>
          <w:sz w:val="22"/>
          <w:szCs w:val="22"/>
        </w:rPr>
        <w:t xml:space="preserve">Families are the largest segment (68%) but respond well below average; shift premium campaign spend toward childless, high-income groups and use value messaging for families.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Treat heavy web-visiting as a browse-not-buy signal. </w:t>
      </w:r>
      <w:r>
        <w:rPr>
          <w:sz w:val="22"/>
          <w:szCs w:val="22"/>
        </w:rPr>
        <w:t xml:space="preserve">Because spend and response fall as web visits rise, trigger personalised offers and retargeting when visit frequency is high but cart value is low, turning browsing into purchases.</w:t>
      </w:r>
    </w:p>
    <w:p>
      <w:pPr>
        <w:pStyle w:val="Heading1"/>
      </w:pPr>
      <w:r>
        <w:t xml:space="preserve">8. Beyond the Requirements (Value-Added Analysis)</w:t>
      </w:r>
    </w:p>
    <w:p>
      <w:pPr>
        <w:spacing w:after="120"/>
      </w:pPr>
      <w:r>
        <w:rPr>
          <w:sz w:val="22"/>
          <w:szCs w:val="22"/>
        </w:rPr>
        <w:t xml:space="preserve">The project brief specified a minimum set of derived columns and analyses. The following work was added beyond those requirements to deepen the insight: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by brief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 beyond the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Age, Total_Spend, Total_Purchases, Children, Customer_Tenure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Avg_Order_Value, Web_Conversion_Rate, Value_Tier, Total_Accepted_Cmp, Age/Income bands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Univariate + bivariate (response vs income/age/spend/channel)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heatmap and a two-dimensional Income × Children response heatmap (multivariate)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missing values / dtypes / outliers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Discovered the Recency cap at 99 (a hidden cold-customer group) and the empty &lt;30 segment; validated the 3-children anomaly as a small-sample artifact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key patterns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takeaway under every chart and a consolidated ideal-customer profile linking all findings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These additions map directly to the “depth of EDA” and “quality of interpretation / storytelling” criteria in the project evaluation.</w:t>
      </w:r>
    </w:p>
    <w:p>
      <w:pPr>
        <w:pStyle w:val="Heading1"/>
      </w:pPr>
      <w:r>
        <w:t xml:space="preserve">9.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notebooks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01_cleaning, 02_EDA (11 charts), 03_segmentation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scripts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(DDL), data load, analytical queries, and dashboard 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 cards, response/product/segment charts, and 5 interactive slicers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— problem, approach, findings, and recommendations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Prepared as the project submission for “Marketing Campaign Analysis (EDA Project)”.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Marketing Campaign Analytics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2026-07-02T11:02:31.556Z</dcterms:created>
  <dcterms:modified xsi:type="dcterms:W3CDTF">2026-07-02T11:02:31.560Z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