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000B0" w14:textId="5B134DE3" w:rsidR="003723D8" w:rsidRDefault="003723D8" w:rsidP="00FD3C9D">
      <w:pPr>
        <w:pStyle w:val="ListParagraph"/>
        <w:numPr>
          <w:ilvl w:val="0"/>
          <w:numId w:val="4"/>
        </w:numPr>
        <w:jc w:val="both"/>
      </w:pPr>
    </w:p>
    <w:p w14:paraId="2A0E958A" w14:textId="51B5F02A" w:rsidR="003723D8" w:rsidRDefault="003723D8" w:rsidP="00FD3C9D">
      <w:pPr>
        <w:pStyle w:val="ListParagraph"/>
        <w:numPr>
          <w:ilvl w:val="0"/>
          <w:numId w:val="3"/>
        </w:numPr>
        <w:jc w:val="both"/>
      </w:pPr>
      <w:r>
        <w:t>Accountants would welcome flat taxes as it simplifies the taxation processing allowing them to more quickly process individuals.</w:t>
      </w:r>
    </w:p>
    <w:p w14:paraId="4BCB6B6D" w14:textId="1B1BA515" w:rsidR="003723D8" w:rsidRDefault="003723D8" w:rsidP="00FD3C9D">
      <w:pPr>
        <w:pStyle w:val="ListParagraph"/>
        <w:numPr>
          <w:ilvl w:val="0"/>
          <w:numId w:val="3"/>
        </w:numPr>
        <w:jc w:val="both"/>
      </w:pPr>
      <w:r>
        <w:t>Small business owners would welcome flat taxes as it reduces the tax burden and simplifies the process.</w:t>
      </w:r>
    </w:p>
    <w:p w14:paraId="0E98D13A" w14:textId="45BFC440" w:rsidR="003723D8" w:rsidRDefault="003723D8" w:rsidP="00FD3C9D">
      <w:pPr>
        <w:pStyle w:val="ListParagraph"/>
        <w:numPr>
          <w:ilvl w:val="0"/>
          <w:numId w:val="3"/>
        </w:numPr>
        <w:jc w:val="both"/>
      </w:pPr>
      <w:r>
        <w:t>Individuals with investments in the stock market would welcome flax taxes as it would reduce dividend taxes</w:t>
      </w:r>
      <w:r w:rsidR="004D5AC6">
        <w:t>,</w:t>
      </w:r>
    </w:p>
    <w:p w14:paraId="03A3250B" w14:textId="0FAE7EE9" w:rsidR="003723D8" w:rsidRDefault="003723D8" w:rsidP="00FD3C9D">
      <w:pPr>
        <w:pStyle w:val="ListParagraph"/>
        <w:numPr>
          <w:ilvl w:val="0"/>
          <w:numId w:val="3"/>
        </w:numPr>
        <w:jc w:val="both"/>
      </w:pPr>
      <w:r>
        <w:t xml:space="preserve">Government tax department workers </w:t>
      </w:r>
      <w:r w:rsidR="004D5AC6">
        <w:t>would likely not welcome flat taxes as a simplification of the system could result in potential loss of employment.</w:t>
      </w:r>
    </w:p>
    <w:p w14:paraId="34475FC7" w14:textId="7A3375B5" w:rsidR="004D5AC6" w:rsidRDefault="004D5AC6" w:rsidP="00FD3C9D">
      <w:pPr>
        <w:pStyle w:val="ListParagraph"/>
        <w:numPr>
          <w:ilvl w:val="0"/>
          <w:numId w:val="3"/>
        </w:numPr>
        <w:jc w:val="both"/>
      </w:pPr>
      <w:r>
        <w:t>Low wage earners would likely be unaffected by a flat tax as they are protected from paying high levels of tax due to their income.</w:t>
      </w:r>
    </w:p>
    <w:p w14:paraId="2337A8AD" w14:textId="5E25059A" w:rsidR="004D5AC6" w:rsidRDefault="004D5AC6" w:rsidP="00FD3C9D">
      <w:pPr>
        <w:pStyle w:val="ListParagraph"/>
        <w:numPr>
          <w:ilvl w:val="0"/>
          <w:numId w:val="3"/>
        </w:numPr>
        <w:jc w:val="both"/>
      </w:pPr>
      <w:r>
        <w:t>The rich would welcome a flat tax as it means their tax rate would be less on account of their high incomes</w:t>
      </w:r>
      <w:r w:rsidR="008F0BC2">
        <w:t>.</w:t>
      </w:r>
    </w:p>
    <w:p w14:paraId="3B47F372" w14:textId="7F3A4175" w:rsidR="004D5AC6" w:rsidRDefault="008F0BC2" w:rsidP="00FD3C9D">
      <w:pPr>
        <w:pStyle w:val="ListParagraph"/>
        <w:numPr>
          <w:ilvl w:val="0"/>
          <w:numId w:val="3"/>
        </w:numPr>
        <w:jc w:val="both"/>
      </w:pPr>
      <w:r>
        <w:t xml:space="preserve">Capital equipment manufactures would approve of flat taxes because </w:t>
      </w:r>
      <w:r w:rsidR="00DD276A">
        <w:t>they would only be taxed on the purchase year and not later years.</w:t>
      </w:r>
    </w:p>
    <w:p w14:paraId="78EE1A77" w14:textId="21D4AAF5" w:rsidR="00DD276A" w:rsidRDefault="00DD276A" w:rsidP="00FD3C9D">
      <w:pPr>
        <w:pStyle w:val="ListParagraph"/>
        <w:numPr>
          <w:ilvl w:val="0"/>
          <w:numId w:val="3"/>
        </w:numPr>
        <w:jc w:val="both"/>
      </w:pPr>
      <w:r>
        <w:t>Leasing companies would oppose the change because leasers pay tax on the amount leased and a flat tax would reduce the amount paid in taxes.</w:t>
      </w:r>
    </w:p>
    <w:p w14:paraId="76AF2D4D" w14:textId="2714DBA9" w:rsidR="00DD276A" w:rsidRDefault="00DD276A" w:rsidP="00FD3C9D">
      <w:pPr>
        <w:pStyle w:val="ListParagraph"/>
        <w:numPr>
          <w:ilvl w:val="0"/>
          <w:numId w:val="3"/>
        </w:numPr>
        <w:jc w:val="both"/>
      </w:pPr>
      <w:r>
        <w:t>Welfare recipients would approve of a flat tax as there is data</w:t>
      </w:r>
      <w:r w:rsidR="00A96940">
        <w:t xml:space="preserve"> that suggests a flat tax may increase tax revenues benefitting welfare recipients.</w:t>
      </w:r>
    </w:p>
    <w:p w14:paraId="663BAD8C" w14:textId="31DD4C74" w:rsidR="00A96940" w:rsidRDefault="00A96940" w:rsidP="00FD3C9D">
      <w:pPr>
        <w:pStyle w:val="ListParagraph"/>
        <w:numPr>
          <w:ilvl w:val="0"/>
          <w:numId w:val="3"/>
        </w:numPr>
        <w:jc w:val="both"/>
      </w:pPr>
      <w:r>
        <w:t xml:space="preserve">As a student who does not make enough funds to have </w:t>
      </w:r>
      <w:proofErr w:type="gramStart"/>
      <w:r>
        <w:t>a</w:t>
      </w:r>
      <w:proofErr w:type="gramEnd"/>
      <w:r>
        <w:t xml:space="preserve"> attitude. But as my family is well off, as a family we would benefit from a flat tax.</w:t>
      </w:r>
    </w:p>
    <w:p w14:paraId="11CACC72" w14:textId="670C57D7" w:rsidR="00A96940" w:rsidRDefault="00A96940" w:rsidP="00FD3C9D">
      <w:pPr>
        <w:jc w:val="both"/>
      </w:pPr>
    </w:p>
    <w:p w14:paraId="5F92BDBA" w14:textId="58A93F53" w:rsidR="00A96940" w:rsidRDefault="00A96940" w:rsidP="00FD3C9D">
      <w:pPr>
        <w:pStyle w:val="ListParagraph"/>
        <w:numPr>
          <w:ilvl w:val="0"/>
          <w:numId w:val="4"/>
        </w:numPr>
        <w:jc w:val="both"/>
      </w:pPr>
      <w:r>
        <w:t>The stock market would increase as companies would have more capital to make impactful business decisions.</w:t>
      </w:r>
    </w:p>
    <w:p w14:paraId="6FEF3083" w14:textId="77777777" w:rsidR="00A96940" w:rsidRDefault="00A96940" w:rsidP="00FD3C9D">
      <w:pPr>
        <w:pStyle w:val="ListParagraph"/>
        <w:jc w:val="both"/>
      </w:pPr>
    </w:p>
    <w:p w14:paraId="4DD3FD4D" w14:textId="2DBAE3AA" w:rsidR="005E523F" w:rsidRDefault="005E523F" w:rsidP="00FD3C9D">
      <w:pPr>
        <w:pStyle w:val="ListParagraph"/>
        <w:numPr>
          <w:ilvl w:val="0"/>
          <w:numId w:val="4"/>
        </w:numPr>
        <w:jc w:val="both"/>
      </w:pPr>
      <w:r>
        <w:t>Yes, having the ability to fully expense capital equipment fully in the year of purchase would change the company’s decision to invest. I think this would lead to more monopolies and larger firms as they could expense and purchase assets in a single year allowing them to save money in the long. This means that large companies who can afford these expenses are much better off.</w:t>
      </w:r>
    </w:p>
    <w:p w14:paraId="75BCBB4F" w14:textId="77777777" w:rsidR="005E523F" w:rsidRDefault="005E523F" w:rsidP="00FD3C9D">
      <w:pPr>
        <w:jc w:val="both"/>
      </w:pPr>
      <w:r>
        <w:br w:type="page"/>
      </w:r>
    </w:p>
    <w:p w14:paraId="74F79115" w14:textId="245B8443" w:rsidR="005E523F" w:rsidRDefault="005E523F" w:rsidP="00FD3C9D">
      <w:pPr>
        <w:pStyle w:val="Heading1"/>
        <w:jc w:val="both"/>
      </w:pPr>
      <w:r>
        <w:lastRenderedPageBreak/>
        <w:t>Mission Statement</w:t>
      </w:r>
    </w:p>
    <w:p w14:paraId="1CF3D55F" w14:textId="1D7D4BC3" w:rsidR="005E523F" w:rsidRDefault="00D41080" w:rsidP="00FD3C9D">
      <w:pPr>
        <w:jc w:val="both"/>
      </w:pPr>
      <w:r>
        <w:t>The mission of GastroCroc is to develop a holistic approach to gait rehabilitation that’s not only about improving the physical but protecting and improving the mental as you progress on your rehabilitation journey. We are committed to serving our customers of all ages with the dignity, respect, and kindness they deserve.</w:t>
      </w:r>
    </w:p>
    <w:p w14:paraId="6AD026E4" w14:textId="4E70FBBA" w:rsidR="00D41080" w:rsidRDefault="00D41080" w:rsidP="00FD3C9D">
      <w:pPr>
        <w:jc w:val="both"/>
      </w:pPr>
    </w:p>
    <w:p w14:paraId="01CD19ED" w14:textId="13DFE7B4" w:rsidR="00AB7345" w:rsidRDefault="00AB7345" w:rsidP="00FD3C9D">
      <w:pPr>
        <w:pStyle w:val="Heading1"/>
        <w:jc w:val="both"/>
      </w:pPr>
      <w:r>
        <w:t>Market Analysis</w:t>
      </w:r>
    </w:p>
    <w:p w14:paraId="14CA10C7" w14:textId="1ADA3888" w:rsidR="00B73DA9" w:rsidRDefault="00AB7345" w:rsidP="00FD3C9D">
      <w:pPr>
        <w:jc w:val="both"/>
      </w:pPr>
      <w:r>
        <w:t>The GastroCroc operates in the physical and occupational therapy industry</w:t>
      </w:r>
      <w:r w:rsidR="00166172">
        <w:t>,</w:t>
      </w:r>
      <w:r>
        <w:t xml:space="preserve"> which was worth $34.5 billion in 2018</w:t>
      </w:r>
      <w:r w:rsidR="00B73DA9">
        <w:t xml:space="preserve"> in the United States (US)</w:t>
      </w:r>
      <w:r>
        <w:t xml:space="preserve">. Our customer base is a much smaller subsection of children suffering from Cerebral Palsy (CP) who require gait rehabilitation. In the </w:t>
      </w:r>
      <w:r w:rsidR="00B73DA9">
        <w:t>US</w:t>
      </w:r>
      <w:r w:rsidR="00166172">
        <w:t>,</w:t>
      </w:r>
      <w:r>
        <w:t xml:space="preserve"> there</w:t>
      </w:r>
      <w:r w:rsidR="00B73DA9">
        <w:t xml:space="preserve"> </w:t>
      </w:r>
      <w:r w:rsidR="00166172">
        <w:t xml:space="preserve">are </w:t>
      </w:r>
      <w:r w:rsidR="00B73DA9">
        <w:t xml:space="preserve">approximately 500 000 children under the age of 18 who have CP. </w:t>
      </w:r>
      <w:r w:rsidR="00166172">
        <w:t>Although</w:t>
      </w:r>
      <w:r>
        <w:t xml:space="preserve"> a smaller market</w:t>
      </w:r>
      <w:r w:rsidR="00166172">
        <w:t>,</w:t>
      </w:r>
      <w:r>
        <w:t xml:space="preserve"> this presents an optimal opportunity to meet our clients specialized needs. </w:t>
      </w:r>
    </w:p>
    <w:p w14:paraId="2E4F1962" w14:textId="3B674D56" w:rsidR="00AB7345" w:rsidRDefault="00B73DA9" w:rsidP="00FD3C9D">
      <w:pPr>
        <w:jc w:val="both"/>
      </w:pPr>
      <w:r>
        <w:t xml:space="preserve">Our primary competition is the “Smart Insole” market. </w:t>
      </w:r>
      <w:proofErr w:type="spellStart"/>
      <w:r>
        <w:t>Digitsole</w:t>
      </w:r>
      <w:proofErr w:type="spellEnd"/>
      <w:r w:rsidR="00166172">
        <w:t>, (Do you need registered or trademark here?)</w:t>
      </w:r>
      <w:r>
        <w:t xml:space="preserve"> a leader in the smart insole market</w:t>
      </w:r>
      <w:r w:rsidR="00166172">
        <w:t>,</w:t>
      </w:r>
      <w:r>
        <w:t xml:space="preserve"> sells a smart insole capable of doing gait analysis and tracking called the PodoSmart. The PodoSmart system comes with 6 pairs of smart insoles, and the necessary equipment for 2000</w:t>
      </w:r>
      <w:r>
        <w:rPr>
          <w:rFonts w:cstheme="minorHAnsi"/>
        </w:rPr>
        <w:t>€</w:t>
      </w:r>
      <w:r>
        <w:t>. This system is designed for use by a healthcare professional and is meant to be primarily used at a practitioner’s office as opposed to at home. The PodoSmart is advanced with its use of artificial intelligence to detect mobility disorders.</w:t>
      </w:r>
    </w:p>
    <w:p w14:paraId="405792F5" w14:textId="1CF0FD65" w:rsidR="00B93707" w:rsidRDefault="00B93707" w:rsidP="00FD3C9D">
      <w:pPr>
        <w:jc w:val="both"/>
      </w:pPr>
      <w:r>
        <w:t>Another current unreleased competitor is Bonbouton</w:t>
      </w:r>
      <w:r w:rsidR="00166172">
        <w:t>,</w:t>
      </w:r>
      <w:r>
        <w:t xml:space="preserve"> which has developed a smart insole that detects foot ulcers. While not competing with us directly</w:t>
      </w:r>
      <w:r w:rsidR="00166172">
        <w:t>,</w:t>
      </w:r>
      <w:r>
        <w:t xml:space="preserve"> Bonbouton could easily develop their IOT smart sole to compete with our own. Bonbouton currently has no release date or price for their product but they represent a growing interest in the industry.</w:t>
      </w:r>
    </w:p>
    <w:p w14:paraId="6F7EA135" w14:textId="5B9060F7" w:rsidR="00517023" w:rsidRDefault="00B93707" w:rsidP="00FD3C9D">
      <w:pPr>
        <w:jc w:val="both"/>
      </w:pPr>
      <w:r>
        <w:t xml:space="preserve">By marketing ourselves as an at home solution meant to </w:t>
      </w:r>
      <w:r w:rsidR="00166172">
        <w:t xml:space="preserve">improve </w:t>
      </w:r>
      <w:r>
        <w:t xml:space="preserve">rehabilitation and reduce the number of </w:t>
      </w:r>
      <w:r w:rsidR="00166172">
        <w:t xml:space="preserve">healthcare appointments, </w:t>
      </w:r>
      <w:r>
        <w:t xml:space="preserve">we can not only market to </w:t>
      </w:r>
      <w:r w:rsidR="00F953E2">
        <w:t xml:space="preserve">parents who want to track progress but also to physiotherapists allowing them to inflate the volume of clients they can see by allowing them to analyze this client data outside regular working ours. This also opens up opportunities for full remote physiotherapists who do not have a typical office but look at the information provided by </w:t>
      </w:r>
      <w:r w:rsidR="00517023">
        <w:t>our solution and future remote</w:t>
      </w:r>
      <w:r w:rsidR="00F953E2">
        <w:t xml:space="preserve"> devices to prescribe stretches and routines remotely allowing them to significantly reduce costs and provide service at a much cheaper price.</w:t>
      </w:r>
    </w:p>
    <w:p w14:paraId="75C193B1" w14:textId="77777777" w:rsidR="00FD3C9D" w:rsidRDefault="00FD3C9D" w:rsidP="00FD3C9D">
      <w:pPr>
        <w:jc w:val="both"/>
      </w:pPr>
    </w:p>
    <w:p w14:paraId="26782B1C" w14:textId="0AFCEEA2" w:rsidR="00517023" w:rsidRDefault="00F953E2" w:rsidP="00FD3C9D">
      <w:pPr>
        <w:pStyle w:val="Heading1"/>
        <w:jc w:val="both"/>
      </w:pPr>
      <w:r>
        <w:t>Financial Viability</w:t>
      </w:r>
    </w:p>
    <w:p w14:paraId="3493EF54" w14:textId="2A5130A0" w:rsidR="00E94DB1" w:rsidRDefault="00517023" w:rsidP="00FD3C9D">
      <w:pPr>
        <w:jc w:val="both"/>
      </w:pPr>
      <w:r>
        <w:t xml:space="preserve">We see a unique opportunity for the GastroCroc in the at home rehabilitation market. We estimate that it will cost us approximately and the breakdown is as </w:t>
      </w:r>
      <w:r w:rsidR="00E94DB1">
        <w:t>follows:</w:t>
      </w:r>
    </w:p>
    <w:tbl>
      <w:tblPr>
        <w:tblStyle w:val="TableGrid"/>
        <w:tblW w:w="802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8"/>
        <w:gridCol w:w="2634"/>
        <w:gridCol w:w="3175"/>
      </w:tblGrid>
      <w:tr w:rsidR="00FD3C9D" w14:paraId="5931E1AC" w14:textId="77777777" w:rsidTr="00FD3C9D">
        <w:trPr>
          <w:trHeight w:val="225"/>
        </w:trPr>
        <w:tc>
          <w:tcPr>
            <w:tcW w:w="2218" w:type="dxa"/>
          </w:tcPr>
          <w:p w14:paraId="52AF1EB1" w14:textId="788B92BB" w:rsidR="00FD3C9D" w:rsidRDefault="00FD3C9D" w:rsidP="00FD3C9D">
            <w:pPr>
              <w:jc w:val="both"/>
            </w:pPr>
            <w:r>
              <w:t>$20 in labour</w:t>
            </w:r>
          </w:p>
        </w:tc>
        <w:tc>
          <w:tcPr>
            <w:tcW w:w="2634" w:type="dxa"/>
          </w:tcPr>
          <w:p w14:paraId="233949E3" w14:textId="7D85D745" w:rsidR="00FD3C9D" w:rsidRDefault="00FD3C9D" w:rsidP="00FD3C9D">
            <w:pPr>
              <w:jc w:val="both"/>
            </w:pPr>
            <w:r>
              <w:t>$14 for both FSRs</w:t>
            </w:r>
          </w:p>
        </w:tc>
        <w:tc>
          <w:tcPr>
            <w:tcW w:w="3175" w:type="dxa"/>
          </w:tcPr>
          <w:p w14:paraId="67D45E48" w14:textId="537FFC08" w:rsidR="00FD3C9D" w:rsidRDefault="00FD3C9D" w:rsidP="00FD3C9D">
            <w:pPr>
              <w:jc w:val="both"/>
            </w:pPr>
            <w:r>
              <w:t>$40 for the EMG sensor</w:t>
            </w:r>
          </w:p>
        </w:tc>
      </w:tr>
      <w:tr w:rsidR="00FD3C9D" w14:paraId="5029A97C" w14:textId="77777777" w:rsidTr="00FD3C9D">
        <w:trPr>
          <w:trHeight w:val="111"/>
        </w:trPr>
        <w:tc>
          <w:tcPr>
            <w:tcW w:w="2218" w:type="dxa"/>
          </w:tcPr>
          <w:p w14:paraId="69AB6470" w14:textId="2F555DF0" w:rsidR="00FD3C9D" w:rsidRDefault="00FD3C9D" w:rsidP="00FD3C9D">
            <w:pPr>
              <w:jc w:val="both"/>
            </w:pPr>
            <w:r>
              <w:t>$1 for the EMG strap</w:t>
            </w:r>
          </w:p>
        </w:tc>
        <w:tc>
          <w:tcPr>
            <w:tcW w:w="2634" w:type="dxa"/>
          </w:tcPr>
          <w:p w14:paraId="6F391E89" w14:textId="2842B4C4" w:rsidR="00FD3C9D" w:rsidRDefault="00FD3C9D" w:rsidP="00FD3C9D">
            <w:pPr>
              <w:jc w:val="both"/>
            </w:pPr>
            <w:r>
              <w:t xml:space="preserve">$2 in electrical materials </w:t>
            </w:r>
          </w:p>
        </w:tc>
        <w:tc>
          <w:tcPr>
            <w:tcW w:w="3175" w:type="dxa"/>
          </w:tcPr>
          <w:p w14:paraId="7D5565A7" w14:textId="79018352" w:rsidR="00FD3C9D" w:rsidRDefault="00FD3C9D" w:rsidP="00FD3C9D">
            <w:pPr>
              <w:jc w:val="both"/>
            </w:pPr>
            <w:r>
              <w:t xml:space="preserve">$11 for a portable battery pack </w:t>
            </w:r>
          </w:p>
        </w:tc>
      </w:tr>
      <w:tr w:rsidR="00FD3C9D" w14:paraId="3968EE1D" w14:textId="77777777" w:rsidTr="00FD3C9D">
        <w:trPr>
          <w:trHeight w:val="135"/>
        </w:trPr>
        <w:tc>
          <w:tcPr>
            <w:tcW w:w="2218" w:type="dxa"/>
          </w:tcPr>
          <w:p w14:paraId="6957D096" w14:textId="56EF5F5D" w:rsidR="00FD3C9D" w:rsidRDefault="00FD3C9D" w:rsidP="00FD3C9D">
            <w:pPr>
              <w:jc w:val="both"/>
            </w:pPr>
            <w:r>
              <w:t xml:space="preserve">$13.5 for an ESP32 </w:t>
            </w:r>
          </w:p>
        </w:tc>
        <w:tc>
          <w:tcPr>
            <w:tcW w:w="2634" w:type="dxa"/>
          </w:tcPr>
          <w:p w14:paraId="68EA02D3" w14:textId="29D76A52" w:rsidR="00FD3C9D" w:rsidRDefault="00FD3C9D" w:rsidP="00FD3C9D">
            <w:pPr>
              <w:jc w:val="both"/>
            </w:pPr>
            <w:r>
              <w:t>$</w:t>
            </w:r>
            <w:r w:rsidR="00B25384">
              <w:t>10</w:t>
            </w:r>
            <w:r>
              <w:t xml:space="preserve"> for the shoe</w:t>
            </w:r>
            <w:r w:rsidR="00B25384">
              <w:t>s</w:t>
            </w:r>
          </w:p>
        </w:tc>
        <w:tc>
          <w:tcPr>
            <w:tcW w:w="3175" w:type="dxa"/>
          </w:tcPr>
          <w:p w14:paraId="747B4DEA" w14:textId="1A3CF5B2" w:rsidR="00FD3C9D" w:rsidRDefault="00FD3C9D" w:rsidP="00FD3C9D">
            <w:pPr>
              <w:jc w:val="both"/>
            </w:pPr>
          </w:p>
        </w:tc>
      </w:tr>
    </w:tbl>
    <w:p w14:paraId="603312D8" w14:textId="77777777" w:rsidR="00E94DB1" w:rsidRDefault="00E94DB1" w:rsidP="00FD3C9D">
      <w:pPr>
        <w:jc w:val="both"/>
      </w:pPr>
    </w:p>
    <w:p w14:paraId="768082C0" w14:textId="31EED8C9" w:rsidR="00517023" w:rsidRDefault="00517023" w:rsidP="00FD3C9D">
      <w:pPr>
        <w:jc w:val="both"/>
      </w:pPr>
      <w:r>
        <w:lastRenderedPageBreak/>
        <w:t xml:space="preserve">This brings us to a total cost per shoe of </w:t>
      </w:r>
      <w:r w:rsidR="00E94DB1">
        <w:t>$</w:t>
      </w:r>
      <w:r w:rsidR="00B25384">
        <w:t>111.5</w:t>
      </w:r>
      <w:r w:rsidR="00117E1F">
        <w:t>0</w:t>
      </w:r>
      <w:r w:rsidR="00B25384">
        <w:t>. Customers would have the option of buying one or two shoes. Our cash flow analysis assumes the purchase of a smart shoe and one regular shoe.</w:t>
      </w:r>
    </w:p>
    <w:p w14:paraId="364A2A04" w14:textId="4CE4CE21" w:rsidR="00E94DB1" w:rsidRDefault="00517023" w:rsidP="00FD3C9D">
      <w:pPr>
        <w:jc w:val="both"/>
      </w:pPr>
      <w:r>
        <w:t xml:space="preserve">We believe that we can sell the </w:t>
      </w:r>
      <w:r w:rsidR="00E94DB1">
        <w:t>GastroCroc at</w:t>
      </w:r>
      <w:r>
        <w:t xml:space="preserve"> </w:t>
      </w:r>
      <w:r w:rsidR="00E94DB1">
        <w:t>approximately</w:t>
      </w:r>
      <w:r>
        <w:t xml:space="preserve"> $500. This </w:t>
      </w:r>
      <w:r w:rsidR="00117E1F">
        <w:t xml:space="preserve">positions </w:t>
      </w:r>
      <w:r>
        <w:t xml:space="preserve">us as a </w:t>
      </w:r>
      <w:r w:rsidR="00E94DB1">
        <w:t>low-cost</w:t>
      </w:r>
      <w:r>
        <w:t xml:space="preserve"> solution in a market presenting a potential value option for families while also leaving significant margins. </w:t>
      </w:r>
      <w:r w:rsidR="00E94DB1">
        <w:t>At this price point it also allows physiotherapists to buy several and rent them out to potential customers creating a source of recurrent revenue for these physiotherapists. This $500 is simply for the physical prototype. We would look to charge $10 a month for the mobile application that is necessary to run the device. This software as a service acts as recurrent revenue to ensure that once we are established in the market, we still have the required cash flow to continue to improve our design and product stack.</w:t>
      </w:r>
    </w:p>
    <w:p w14:paraId="62E31406" w14:textId="77777777" w:rsidR="00FD3C9D" w:rsidRDefault="00FD3C9D" w:rsidP="00FD3C9D">
      <w:pPr>
        <w:jc w:val="both"/>
      </w:pPr>
    </w:p>
    <w:p w14:paraId="23FC5EEC" w14:textId="653E4A8E" w:rsidR="00E94DB1" w:rsidRDefault="00E94DB1" w:rsidP="00FD3C9D">
      <w:pPr>
        <w:pStyle w:val="Heading1"/>
        <w:jc w:val="both"/>
      </w:pPr>
      <w:r>
        <w:t>Team Members and Roles</w:t>
      </w:r>
    </w:p>
    <w:p w14:paraId="38477CD3" w14:textId="08A48231" w:rsidR="00E94DB1" w:rsidRDefault="00E94DB1" w:rsidP="00FD3C9D">
      <w:pPr>
        <w:pStyle w:val="ListParagraph"/>
        <w:numPr>
          <w:ilvl w:val="0"/>
          <w:numId w:val="5"/>
        </w:numPr>
        <w:jc w:val="both"/>
      </w:pPr>
      <w:r>
        <w:t>Jeff Suitor – Lead Software Developer and Electrical Design Lead</w:t>
      </w:r>
    </w:p>
    <w:p w14:paraId="633DBBFE" w14:textId="7EF5EE2B" w:rsidR="00E94DB1" w:rsidRDefault="00E94DB1" w:rsidP="00FD3C9D">
      <w:pPr>
        <w:pStyle w:val="ListParagraph"/>
        <w:numPr>
          <w:ilvl w:val="0"/>
          <w:numId w:val="5"/>
        </w:numPr>
        <w:jc w:val="both"/>
      </w:pPr>
      <w:r>
        <w:t>Chelsea Angeles – Principal Researcher and Health Solution Point of Contact</w:t>
      </w:r>
    </w:p>
    <w:p w14:paraId="47E61D2C" w14:textId="77777777" w:rsidR="00E94DB1" w:rsidRDefault="00E94DB1" w:rsidP="00FD3C9D">
      <w:pPr>
        <w:pStyle w:val="ListParagraph"/>
        <w:numPr>
          <w:ilvl w:val="0"/>
          <w:numId w:val="5"/>
        </w:numPr>
        <w:jc w:val="both"/>
      </w:pPr>
      <w:proofErr w:type="spellStart"/>
      <w:r>
        <w:t>Lianna</w:t>
      </w:r>
      <w:proofErr w:type="spellEnd"/>
      <w:r>
        <w:t xml:space="preserve"> Genovese – Mechanical Design Lead and Funding Manager</w:t>
      </w:r>
    </w:p>
    <w:p w14:paraId="6DF99E6F" w14:textId="2A233A57" w:rsidR="00E94DB1" w:rsidRDefault="00E94DB1" w:rsidP="00FD3C9D">
      <w:pPr>
        <w:pStyle w:val="ListParagraph"/>
        <w:numPr>
          <w:ilvl w:val="0"/>
          <w:numId w:val="5"/>
        </w:numPr>
        <w:jc w:val="both"/>
      </w:pPr>
      <w:proofErr w:type="spellStart"/>
      <w:r>
        <w:t>Kiarra</w:t>
      </w:r>
      <w:proofErr w:type="spellEnd"/>
      <w:r>
        <w:t xml:space="preserve"> McDougal – Team Coordinator and Public Point of Contact </w:t>
      </w:r>
    </w:p>
    <w:p w14:paraId="2481D959" w14:textId="1C64FA14" w:rsidR="00FD3C9D" w:rsidRDefault="00FD3C9D" w:rsidP="00FD3C9D">
      <w:pPr>
        <w:jc w:val="both"/>
      </w:pPr>
    </w:p>
    <w:p w14:paraId="68DAA27C" w14:textId="07AC8C65" w:rsidR="00FD3C9D" w:rsidRDefault="00FD3C9D" w:rsidP="00FD3C9D">
      <w:pPr>
        <w:pStyle w:val="Heading1"/>
      </w:pPr>
      <w:r>
        <w:t>Cash Flow Analysis</w:t>
      </w:r>
    </w:p>
    <w:p w14:paraId="0192BA57" w14:textId="77777777" w:rsidR="00B25384" w:rsidRPr="00B25384" w:rsidRDefault="00B25384" w:rsidP="00B25384"/>
    <w:p w14:paraId="56EE2373" w14:textId="3CE27ADC" w:rsidR="00FD3C9D" w:rsidRDefault="00B25384" w:rsidP="00FD3C9D">
      <w:pPr>
        <w:jc w:val="center"/>
      </w:pPr>
      <w:r>
        <w:rPr>
          <w:noProof/>
        </w:rPr>
        <w:drawing>
          <wp:inline distT="0" distB="0" distL="0" distR="0" wp14:anchorId="0087CCE5" wp14:editId="517B7FDA">
            <wp:extent cx="5305245" cy="2570671"/>
            <wp:effectExtent l="0" t="0" r="10160" b="1270"/>
            <wp:docPr id="1" name="Chart 1">
              <a:extLst xmlns:a="http://schemas.openxmlformats.org/drawingml/2006/main">
                <a:ext uri="{FF2B5EF4-FFF2-40B4-BE49-F238E27FC236}">
                  <a16:creationId xmlns:a16="http://schemas.microsoft.com/office/drawing/2014/main" id="{0E2C21F5-663D-4B9A-A50B-9426E1FC8C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90172C" w14:textId="77777777" w:rsidR="00E07BE0" w:rsidRDefault="00E07BE0" w:rsidP="00FD3C9D">
      <w:pPr>
        <w:jc w:val="center"/>
      </w:pPr>
    </w:p>
    <w:p w14:paraId="75835483" w14:textId="1ADB9E56" w:rsidR="00E07BE0" w:rsidRDefault="00B25384" w:rsidP="00B25384">
      <w:r>
        <w:t>Assuming our team has no cash reserve and an 8% annual interest rate from our loans our pricing structure would be $500 per unit with a $10 monthly software subscription. It costs us $111.5</w:t>
      </w:r>
      <w:r w:rsidR="00117E1F">
        <w:t>0</w:t>
      </w:r>
      <w:r>
        <w:t xml:space="preserve"> to make one shoe, we assumed that we retained 90% of our previous and current software uses year on year. We would need an initial loan of </w:t>
      </w:r>
      <w:r w:rsidR="00E07BE0">
        <w:t>$</w:t>
      </w:r>
      <w:r>
        <w:t xml:space="preserve">20 000 assuming </w:t>
      </w:r>
      <w:r w:rsidR="00E07BE0">
        <w:t>$</w:t>
      </w:r>
      <w:r>
        <w:t xml:space="preserve">5000 is won by </w:t>
      </w:r>
      <w:r w:rsidR="00E07BE0">
        <w:t>start-up</w:t>
      </w:r>
      <w:r>
        <w:t xml:space="preserve"> competitions and </w:t>
      </w:r>
      <w:r w:rsidR="00E07BE0">
        <w:t>$</w:t>
      </w:r>
      <w:r>
        <w:t xml:space="preserve">2000 is </w:t>
      </w:r>
      <w:r w:rsidR="00E07BE0">
        <w:lastRenderedPageBreak/>
        <w:t xml:space="preserve">garnered by angel investors. We assumed that we would sell 5, 15, 35, 65, and 80 new units respectively for 2020-2024. </w:t>
      </w:r>
    </w:p>
    <w:p w14:paraId="63B79FE7" w14:textId="77777777" w:rsidR="00E07BE0" w:rsidRDefault="00E07BE0">
      <w:r>
        <w:br w:type="page"/>
      </w:r>
    </w:p>
    <w:p w14:paraId="1FAF1A5A" w14:textId="659DCACB" w:rsidR="00B25384" w:rsidRDefault="00E07BE0" w:rsidP="00E07BE0">
      <w:pPr>
        <w:pStyle w:val="Heading1"/>
      </w:pPr>
      <w:r>
        <w:lastRenderedPageBreak/>
        <w:t>Appendix A: Excel Sheet</w:t>
      </w:r>
    </w:p>
    <w:p w14:paraId="7179B8F7" w14:textId="65B9D929" w:rsidR="00E07BE0" w:rsidRDefault="00E07BE0" w:rsidP="00E07BE0"/>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780"/>
        <w:gridCol w:w="1060"/>
        <w:gridCol w:w="1060"/>
        <w:gridCol w:w="1164"/>
        <w:gridCol w:w="1720"/>
        <w:gridCol w:w="1027"/>
      </w:tblGrid>
      <w:tr w:rsidR="00E07BE0" w:rsidRPr="00E07BE0" w14:paraId="0B5F9E1D" w14:textId="77777777" w:rsidTr="00E07BE0">
        <w:trPr>
          <w:trHeight w:val="525"/>
        </w:trPr>
        <w:tc>
          <w:tcPr>
            <w:tcW w:w="960" w:type="dxa"/>
            <w:shd w:val="clear" w:color="auto" w:fill="auto"/>
            <w:noWrap/>
            <w:vAlign w:val="bottom"/>
            <w:hideMark/>
          </w:tcPr>
          <w:p w14:paraId="16F2B5D2" w14:textId="77777777" w:rsidR="00E07BE0" w:rsidRPr="00E07BE0" w:rsidRDefault="00E07BE0" w:rsidP="00E07BE0">
            <w:pPr>
              <w:spacing w:after="0" w:line="240" w:lineRule="auto"/>
              <w:rPr>
                <w:rFonts w:ascii="Times New Roman" w:eastAsia="Times New Roman" w:hAnsi="Times New Roman" w:cs="Times New Roman"/>
                <w:sz w:val="24"/>
                <w:szCs w:val="24"/>
                <w:lang w:eastAsia="en-CA"/>
              </w:rPr>
            </w:pPr>
          </w:p>
        </w:tc>
        <w:tc>
          <w:tcPr>
            <w:tcW w:w="2780" w:type="dxa"/>
            <w:shd w:val="clear" w:color="auto" w:fill="auto"/>
            <w:noWrap/>
            <w:vAlign w:val="bottom"/>
            <w:hideMark/>
          </w:tcPr>
          <w:p w14:paraId="7835FBF9"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4A10729F" w14:textId="77777777" w:rsidR="00E07BE0" w:rsidRPr="00E07BE0" w:rsidRDefault="00E07BE0" w:rsidP="00E07BE0">
            <w:pPr>
              <w:spacing w:after="0" w:line="240" w:lineRule="auto"/>
              <w:jc w:val="right"/>
              <w:rPr>
                <w:rFonts w:ascii="Calibri" w:eastAsia="Times New Roman" w:hAnsi="Calibri" w:cs="Calibri"/>
                <w:color w:val="000000"/>
                <w:sz w:val="40"/>
                <w:szCs w:val="40"/>
                <w:lang w:eastAsia="en-CA"/>
              </w:rPr>
            </w:pPr>
            <w:r w:rsidRPr="00E07BE0">
              <w:rPr>
                <w:rFonts w:ascii="Calibri" w:eastAsia="Times New Roman" w:hAnsi="Calibri" w:cs="Calibri"/>
                <w:color w:val="000000"/>
                <w:sz w:val="40"/>
                <w:szCs w:val="40"/>
                <w:lang w:eastAsia="en-CA"/>
              </w:rPr>
              <w:t>2020</w:t>
            </w:r>
          </w:p>
        </w:tc>
        <w:tc>
          <w:tcPr>
            <w:tcW w:w="1060" w:type="dxa"/>
            <w:shd w:val="clear" w:color="auto" w:fill="auto"/>
            <w:noWrap/>
            <w:vAlign w:val="bottom"/>
            <w:hideMark/>
          </w:tcPr>
          <w:p w14:paraId="740A1EA4" w14:textId="77777777" w:rsidR="00E07BE0" w:rsidRPr="00E07BE0" w:rsidRDefault="00E07BE0" w:rsidP="00E07BE0">
            <w:pPr>
              <w:spacing w:after="0" w:line="240" w:lineRule="auto"/>
              <w:jc w:val="right"/>
              <w:rPr>
                <w:rFonts w:ascii="Calibri" w:eastAsia="Times New Roman" w:hAnsi="Calibri" w:cs="Calibri"/>
                <w:color w:val="000000"/>
                <w:sz w:val="40"/>
                <w:szCs w:val="40"/>
                <w:lang w:eastAsia="en-CA"/>
              </w:rPr>
            </w:pPr>
            <w:r w:rsidRPr="00E07BE0">
              <w:rPr>
                <w:rFonts w:ascii="Calibri" w:eastAsia="Times New Roman" w:hAnsi="Calibri" w:cs="Calibri"/>
                <w:color w:val="000000"/>
                <w:sz w:val="40"/>
                <w:szCs w:val="40"/>
                <w:lang w:eastAsia="en-CA"/>
              </w:rPr>
              <w:t>2021</w:t>
            </w:r>
          </w:p>
        </w:tc>
        <w:tc>
          <w:tcPr>
            <w:tcW w:w="1060" w:type="dxa"/>
            <w:shd w:val="clear" w:color="auto" w:fill="auto"/>
            <w:noWrap/>
            <w:vAlign w:val="bottom"/>
            <w:hideMark/>
          </w:tcPr>
          <w:p w14:paraId="43467476" w14:textId="77777777" w:rsidR="00E07BE0" w:rsidRPr="00E07BE0" w:rsidRDefault="00E07BE0" w:rsidP="00E07BE0">
            <w:pPr>
              <w:spacing w:after="0" w:line="240" w:lineRule="auto"/>
              <w:jc w:val="right"/>
              <w:rPr>
                <w:rFonts w:ascii="Calibri" w:eastAsia="Times New Roman" w:hAnsi="Calibri" w:cs="Calibri"/>
                <w:color w:val="000000"/>
                <w:sz w:val="40"/>
                <w:szCs w:val="40"/>
                <w:lang w:eastAsia="en-CA"/>
              </w:rPr>
            </w:pPr>
            <w:r w:rsidRPr="00E07BE0">
              <w:rPr>
                <w:rFonts w:ascii="Calibri" w:eastAsia="Times New Roman" w:hAnsi="Calibri" w:cs="Calibri"/>
                <w:color w:val="000000"/>
                <w:sz w:val="40"/>
                <w:szCs w:val="40"/>
                <w:lang w:eastAsia="en-CA"/>
              </w:rPr>
              <w:t>2022</w:t>
            </w:r>
          </w:p>
        </w:tc>
        <w:tc>
          <w:tcPr>
            <w:tcW w:w="1720" w:type="dxa"/>
            <w:shd w:val="clear" w:color="auto" w:fill="auto"/>
            <w:noWrap/>
            <w:vAlign w:val="bottom"/>
            <w:hideMark/>
          </w:tcPr>
          <w:p w14:paraId="00EEA884" w14:textId="77777777" w:rsidR="00E07BE0" w:rsidRPr="00E07BE0" w:rsidRDefault="00E07BE0" w:rsidP="00E07BE0">
            <w:pPr>
              <w:spacing w:after="0" w:line="240" w:lineRule="auto"/>
              <w:jc w:val="right"/>
              <w:rPr>
                <w:rFonts w:ascii="Calibri" w:eastAsia="Times New Roman" w:hAnsi="Calibri" w:cs="Calibri"/>
                <w:color w:val="000000"/>
                <w:sz w:val="40"/>
                <w:szCs w:val="40"/>
                <w:lang w:eastAsia="en-CA"/>
              </w:rPr>
            </w:pPr>
            <w:r w:rsidRPr="00E07BE0">
              <w:rPr>
                <w:rFonts w:ascii="Calibri" w:eastAsia="Times New Roman" w:hAnsi="Calibri" w:cs="Calibri"/>
                <w:color w:val="000000"/>
                <w:sz w:val="40"/>
                <w:szCs w:val="40"/>
                <w:lang w:eastAsia="en-CA"/>
              </w:rPr>
              <w:t>2023</w:t>
            </w:r>
          </w:p>
        </w:tc>
        <w:tc>
          <w:tcPr>
            <w:tcW w:w="1000" w:type="dxa"/>
            <w:shd w:val="clear" w:color="auto" w:fill="auto"/>
            <w:noWrap/>
            <w:vAlign w:val="bottom"/>
            <w:hideMark/>
          </w:tcPr>
          <w:p w14:paraId="5EC374AB" w14:textId="77777777" w:rsidR="00E07BE0" w:rsidRPr="00E07BE0" w:rsidRDefault="00E07BE0" w:rsidP="00E07BE0">
            <w:pPr>
              <w:spacing w:after="0" w:line="240" w:lineRule="auto"/>
              <w:jc w:val="right"/>
              <w:rPr>
                <w:rFonts w:ascii="Calibri" w:eastAsia="Times New Roman" w:hAnsi="Calibri" w:cs="Calibri"/>
                <w:color w:val="000000"/>
                <w:sz w:val="40"/>
                <w:szCs w:val="40"/>
                <w:lang w:eastAsia="en-CA"/>
              </w:rPr>
            </w:pPr>
            <w:r w:rsidRPr="00E07BE0">
              <w:rPr>
                <w:rFonts w:ascii="Calibri" w:eastAsia="Times New Roman" w:hAnsi="Calibri" w:cs="Calibri"/>
                <w:color w:val="000000"/>
                <w:sz w:val="40"/>
                <w:szCs w:val="40"/>
                <w:lang w:eastAsia="en-CA"/>
              </w:rPr>
              <w:t>2024</w:t>
            </w:r>
          </w:p>
        </w:tc>
      </w:tr>
      <w:tr w:rsidR="00E07BE0" w:rsidRPr="00E07BE0" w14:paraId="2D9A11FF" w14:textId="77777777" w:rsidTr="00E07BE0">
        <w:trPr>
          <w:trHeight w:val="525"/>
        </w:trPr>
        <w:tc>
          <w:tcPr>
            <w:tcW w:w="3740" w:type="dxa"/>
            <w:gridSpan w:val="2"/>
            <w:shd w:val="clear" w:color="000000" w:fill="4472C4"/>
            <w:noWrap/>
            <w:vAlign w:val="bottom"/>
            <w:hideMark/>
          </w:tcPr>
          <w:p w14:paraId="6E41833E" w14:textId="77777777" w:rsidR="00E07BE0" w:rsidRPr="00E07BE0" w:rsidRDefault="00E07BE0" w:rsidP="00E07BE0">
            <w:pPr>
              <w:spacing w:after="0" w:line="240" w:lineRule="auto"/>
              <w:rPr>
                <w:rFonts w:ascii="Calibri" w:eastAsia="Times New Roman" w:hAnsi="Calibri" w:cs="Calibri"/>
                <w:b/>
                <w:bCs/>
                <w:color w:val="FFFFFF"/>
                <w:sz w:val="40"/>
                <w:szCs w:val="40"/>
                <w:lang w:eastAsia="en-CA"/>
              </w:rPr>
            </w:pPr>
            <w:r w:rsidRPr="00E07BE0">
              <w:rPr>
                <w:rFonts w:ascii="Calibri" w:eastAsia="Times New Roman" w:hAnsi="Calibri" w:cs="Calibri"/>
                <w:b/>
                <w:bCs/>
                <w:color w:val="FFFFFF"/>
                <w:sz w:val="40"/>
                <w:szCs w:val="40"/>
                <w:lang w:eastAsia="en-CA"/>
              </w:rPr>
              <w:t>Current Status</w:t>
            </w:r>
          </w:p>
        </w:tc>
        <w:tc>
          <w:tcPr>
            <w:tcW w:w="1060" w:type="dxa"/>
            <w:shd w:val="clear" w:color="000000" w:fill="4472C4"/>
            <w:noWrap/>
            <w:vAlign w:val="bottom"/>
            <w:hideMark/>
          </w:tcPr>
          <w:p w14:paraId="6254D104"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60" w:type="dxa"/>
            <w:shd w:val="clear" w:color="000000" w:fill="4472C4"/>
            <w:noWrap/>
            <w:vAlign w:val="bottom"/>
            <w:hideMark/>
          </w:tcPr>
          <w:p w14:paraId="6AE36B14"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60" w:type="dxa"/>
            <w:shd w:val="clear" w:color="000000" w:fill="4472C4"/>
            <w:noWrap/>
            <w:vAlign w:val="bottom"/>
            <w:hideMark/>
          </w:tcPr>
          <w:p w14:paraId="318FDC4C"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720" w:type="dxa"/>
            <w:shd w:val="clear" w:color="000000" w:fill="4472C4"/>
            <w:noWrap/>
            <w:vAlign w:val="bottom"/>
            <w:hideMark/>
          </w:tcPr>
          <w:p w14:paraId="7703172A"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00" w:type="dxa"/>
            <w:shd w:val="clear" w:color="000000" w:fill="4472C4"/>
            <w:noWrap/>
            <w:vAlign w:val="bottom"/>
            <w:hideMark/>
          </w:tcPr>
          <w:p w14:paraId="4C9C9201"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r>
      <w:tr w:rsidR="00E07BE0" w:rsidRPr="00E07BE0" w14:paraId="0D174FAD" w14:textId="77777777" w:rsidTr="00E07BE0">
        <w:trPr>
          <w:trHeight w:val="300"/>
        </w:trPr>
        <w:tc>
          <w:tcPr>
            <w:tcW w:w="3740" w:type="dxa"/>
            <w:gridSpan w:val="2"/>
            <w:shd w:val="clear" w:color="auto" w:fill="auto"/>
            <w:noWrap/>
            <w:vAlign w:val="bottom"/>
            <w:hideMark/>
          </w:tcPr>
          <w:p w14:paraId="0AB1311E" w14:textId="65D49108"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Monetary status</w:t>
            </w:r>
          </w:p>
        </w:tc>
        <w:tc>
          <w:tcPr>
            <w:tcW w:w="1060" w:type="dxa"/>
            <w:shd w:val="clear" w:color="auto" w:fill="auto"/>
            <w:noWrap/>
            <w:vAlign w:val="bottom"/>
            <w:hideMark/>
          </w:tcPr>
          <w:p w14:paraId="4AB5F855" w14:textId="77777777" w:rsidR="00E07BE0" w:rsidRPr="00E07BE0" w:rsidRDefault="00E07BE0" w:rsidP="00E07BE0">
            <w:pPr>
              <w:spacing w:after="0" w:line="240" w:lineRule="auto"/>
              <w:rPr>
                <w:rFonts w:ascii="Calibri" w:eastAsia="Times New Roman" w:hAnsi="Calibri" w:cs="Calibri"/>
                <w:color w:val="000000"/>
                <w:lang w:eastAsia="en-CA"/>
              </w:rPr>
            </w:pPr>
          </w:p>
        </w:tc>
        <w:tc>
          <w:tcPr>
            <w:tcW w:w="1060" w:type="dxa"/>
            <w:shd w:val="clear" w:color="auto" w:fill="auto"/>
            <w:noWrap/>
            <w:vAlign w:val="bottom"/>
            <w:hideMark/>
          </w:tcPr>
          <w:p w14:paraId="4204A3B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47090D87"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auto"/>
            <w:noWrap/>
            <w:vAlign w:val="bottom"/>
            <w:hideMark/>
          </w:tcPr>
          <w:p w14:paraId="4158C56A"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14:paraId="059A576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r>
      <w:tr w:rsidR="00E07BE0" w:rsidRPr="00E07BE0" w14:paraId="624962BA" w14:textId="77777777" w:rsidTr="00E07BE0">
        <w:trPr>
          <w:trHeight w:val="300"/>
        </w:trPr>
        <w:tc>
          <w:tcPr>
            <w:tcW w:w="960" w:type="dxa"/>
            <w:vMerge w:val="restart"/>
            <w:shd w:val="clear" w:color="auto" w:fill="auto"/>
            <w:noWrap/>
            <w:vAlign w:val="bottom"/>
            <w:hideMark/>
          </w:tcPr>
          <w:p w14:paraId="52586A1A"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D9E1F2"/>
            <w:noWrap/>
            <w:vAlign w:val="bottom"/>
            <w:hideMark/>
          </w:tcPr>
          <w:p w14:paraId="24EB4183" w14:textId="77777777" w:rsidR="00E07BE0" w:rsidRPr="00E07BE0" w:rsidRDefault="00E07BE0" w:rsidP="00E07BE0">
            <w:pPr>
              <w:spacing w:after="0" w:line="240" w:lineRule="auto"/>
              <w:rPr>
                <w:rFonts w:ascii="Calibri" w:eastAsia="Times New Roman" w:hAnsi="Calibri" w:cs="Calibri"/>
                <w:lang w:eastAsia="en-CA"/>
              </w:rPr>
            </w:pPr>
            <w:r w:rsidRPr="00E07BE0">
              <w:rPr>
                <w:rFonts w:ascii="Calibri" w:eastAsia="Times New Roman" w:hAnsi="Calibri" w:cs="Calibri"/>
                <w:lang w:eastAsia="en-CA"/>
              </w:rPr>
              <w:t>Funds at start of year</w:t>
            </w:r>
          </w:p>
        </w:tc>
        <w:tc>
          <w:tcPr>
            <w:tcW w:w="1060" w:type="dxa"/>
            <w:shd w:val="clear" w:color="auto" w:fill="auto"/>
            <w:noWrap/>
            <w:vAlign w:val="bottom"/>
            <w:hideMark/>
          </w:tcPr>
          <w:p w14:paraId="703CFECD"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60" w:type="dxa"/>
            <w:shd w:val="clear" w:color="auto" w:fill="auto"/>
            <w:noWrap/>
            <w:vAlign w:val="bottom"/>
            <w:hideMark/>
          </w:tcPr>
          <w:p w14:paraId="6F07F1DC" w14:textId="7656165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37457.5</w:t>
            </w:r>
            <w:r w:rsidR="00117E1F">
              <w:rPr>
                <w:rFonts w:ascii="Calibri" w:eastAsia="Times New Roman" w:hAnsi="Calibri" w:cs="Calibri"/>
                <w:color w:val="000000"/>
                <w:lang w:eastAsia="en-CA"/>
              </w:rPr>
              <w:t>0</w:t>
            </w:r>
          </w:p>
        </w:tc>
        <w:tc>
          <w:tcPr>
            <w:tcW w:w="1060" w:type="dxa"/>
            <w:shd w:val="clear" w:color="auto" w:fill="auto"/>
            <w:noWrap/>
            <w:vAlign w:val="bottom"/>
            <w:hideMark/>
          </w:tcPr>
          <w:p w14:paraId="1ED67AA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64390</w:t>
            </w:r>
          </w:p>
        </w:tc>
        <w:tc>
          <w:tcPr>
            <w:tcW w:w="1720" w:type="dxa"/>
            <w:shd w:val="clear" w:color="auto" w:fill="auto"/>
            <w:noWrap/>
            <w:vAlign w:val="bottom"/>
            <w:hideMark/>
          </w:tcPr>
          <w:p w14:paraId="252B807B" w14:textId="5FA40449"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107532.5</w:t>
            </w:r>
            <w:r w:rsidR="00117E1F">
              <w:rPr>
                <w:rFonts w:ascii="Calibri" w:eastAsia="Times New Roman" w:hAnsi="Calibri" w:cs="Calibri"/>
                <w:color w:val="000000"/>
                <w:lang w:eastAsia="en-CA"/>
              </w:rPr>
              <w:t>0</w:t>
            </w:r>
          </w:p>
        </w:tc>
        <w:tc>
          <w:tcPr>
            <w:tcW w:w="1000" w:type="dxa"/>
            <w:shd w:val="clear" w:color="auto" w:fill="auto"/>
            <w:noWrap/>
            <w:vAlign w:val="bottom"/>
            <w:hideMark/>
          </w:tcPr>
          <w:p w14:paraId="10ECAA2E"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184580</w:t>
            </w:r>
          </w:p>
        </w:tc>
      </w:tr>
      <w:tr w:rsidR="00E07BE0" w:rsidRPr="00E07BE0" w14:paraId="3397E02D" w14:textId="77777777" w:rsidTr="00E07BE0">
        <w:trPr>
          <w:trHeight w:val="300"/>
        </w:trPr>
        <w:tc>
          <w:tcPr>
            <w:tcW w:w="960" w:type="dxa"/>
            <w:vMerge/>
            <w:vAlign w:val="center"/>
            <w:hideMark/>
          </w:tcPr>
          <w:p w14:paraId="345D665E"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FF2CC"/>
            <w:noWrap/>
            <w:vAlign w:val="bottom"/>
            <w:hideMark/>
          </w:tcPr>
          <w:p w14:paraId="7E2CF418"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Funds at end of year</w:t>
            </w:r>
          </w:p>
        </w:tc>
        <w:tc>
          <w:tcPr>
            <w:tcW w:w="1060" w:type="dxa"/>
            <w:shd w:val="clear" w:color="auto" w:fill="auto"/>
            <w:noWrap/>
            <w:vAlign w:val="bottom"/>
            <w:hideMark/>
          </w:tcPr>
          <w:p w14:paraId="1D9D35A8" w14:textId="70DEEB09"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37457.5</w:t>
            </w:r>
            <w:r w:rsidR="00117E1F">
              <w:rPr>
                <w:rFonts w:ascii="Calibri" w:eastAsia="Times New Roman" w:hAnsi="Calibri" w:cs="Calibri"/>
                <w:color w:val="000000"/>
                <w:lang w:eastAsia="en-CA"/>
              </w:rPr>
              <w:t>0</w:t>
            </w:r>
          </w:p>
        </w:tc>
        <w:tc>
          <w:tcPr>
            <w:tcW w:w="1060" w:type="dxa"/>
            <w:shd w:val="clear" w:color="auto" w:fill="auto"/>
            <w:noWrap/>
            <w:vAlign w:val="bottom"/>
            <w:hideMark/>
          </w:tcPr>
          <w:p w14:paraId="3320281A"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64390</w:t>
            </w:r>
          </w:p>
        </w:tc>
        <w:tc>
          <w:tcPr>
            <w:tcW w:w="1060" w:type="dxa"/>
            <w:shd w:val="clear" w:color="auto" w:fill="auto"/>
            <w:noWrap/>
            <w:vAlign w:val="bottom"/>
            <w:hideMark/>
          </w:tcPr>
          <w:p w14:paraId="73AF3E84" w14:textId="32EBB434"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107532.5</w:t>
            </w:r>
            <w:r w:rsidR="00117E1F">
              <w:rPr>
                <w:rFonts w:ascii="Calibri" w:eastAsia="Times New Roman" w:hAnsi="Calibri" w:cs="Calibri"/>
                <w:color w:val="000000"/>
                <w:lang w:eastAsia="en-CA"/>
              </w:rPr>
              <w:t>0</w:t>
            </w:r>
          </w:p>
        </w:tc>
        <w:tc>
          <w:tcPr>
            <w:tcW w:w="1720" w:type="dxa"/>
            <w:shd w:val="clear" w:color="auto" w:fill="auto"/>
            <w:noWrap/>
            <w:vAlign w:val="bottom"/>
            <w:hideMark/>
          </w:tcPr>
          <w:p w14:paraId="24FE3C5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184580</w:t>
            </w:r>
          </w:p>
        </w:tc>
        <w:tc>
          <w:tcPr>
            <w:tcW w:w="1000" w:type="dxa"/>
            <w:shd w:val="clear" w:color="auto" w:fill="auto"/>
            <w:noWrap/>
            <w:vAlign w:val="bottom"/>
            <w:hideMark/>
          </w:tcPr>
          <w:p w14:paraId="485D050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294140</w:t>
            </w:r>
          </w:p>
        </w:tc>
      </w:tr>
      <w:tr w:rsidR="00E07BE0" w:rsidRPr="00E07BE0" w14:paraId="606F0ADB" w14:textId="77777777" w:rsidTr="00E07BE0">
        <w:trPr>
          <w:trHeight w:val="300"/>
        </w:trPr>
        <w:tc>
          <w:tcPr>
            <w:tcW w:w="3740" w:type="dxa"/>
            <w:gridSpan w:val="2"/>
            <w:shd w:val="clear" w:color="auto" w:fill="auto"/>
            <w:noWrap/>
            <w:vAlign w:val="bottom"/>
            <w:hideMark/>
          </w:tcPr>
          <w:p w14:paraId="647FDC03"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Customer Status</w:t>
            </w:r>
          </w:p>
        </w:tc>
        <w:tc>
          <w:tcPr>
            <w:tcW w:w="1060" w:type="dxa"/>
            <w:shd w:val="clear" w:color="auto" w:fill="auto"/>
            <w:noWrap/>
            <w:vAlign w:val="bottom"/>
            <w:hideMark/>
          </w:tcPr>
          <w:p w14:paraId="18284BBD" w14:textId="77777777" w:rsidR="00E07BE0" w:rsidRPr="00E07BE0" w:rsidRDefault="00E07BE0" w:rsidP="00E07BE0">
            <w:pPr>
              <w:spacing w:after="0" w:line="240" w:lineRule="auto"/>
              <w:rPr>
                <w:rFonts w:ascii="Calibri" w:eastAsia="Times New Roman" w:hAnsi="Calibri" w:cs="Calibri"/>
                <w:color w:val="000000"/>
                <w:lang w:eastAsia="en-CA"/>
              </w:rPr>
            </w:pPr>
          </w:p>
        </w:tc>
        <w:tc>
          <w:tcPr>
            <w:tcW w:w="1060" w:type="dxa"/>
            <w:shd w:val="clear" w:color="auto" w:fill="auto"/>
            <w:noWrap/>
            <w:vAlign w:val="bottom"/>
            <w:hideMark/>
          </w:tcPr>
          <w:p w14:paraId="5CEE53AC"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3E0CC84C"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auto"/>
            <w:noWrap/>
            <w:vAlign w:val="bottom"/>
            <w:hideMark/>
          </w:tcPr>
          <w:p w14:paraId="0B6CEB25"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14:paraId="6C85B49E"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r>
      <w:tr w:rsidR="00E07BE0" w:rsidRPr="00E07BE0" w14:paraId="539CD0F7" w14:textId="77777777" w:rsidTr="00E07BE0">
        <w:trPr>
          <w:trHeight w:val="300"/>
        </w:trPr>
        <w:tc>
          <w:tcPr>
            <w:tcW w:w="960" w:type="dxa"/>
            <w:vMerge w:val="restart"/>
            <w:shd w:val="clear" w:color="auto" w:fill="auto"/>
            <w:noWrap/>
            <w:vAlign w:val="bottom"/>
            <w:hideMark/>
          </w:tcPr>
          <w:p w14:paraId="1F005E55"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2F2F2"/>
            <w:noWrap/>
            <w:vAlign w:val="bottom"/>
            <w:hideMark/>
          </w:tcPr>
          <w:p w14:paraId="6C2FB67F"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New Hardware Customers</w:t>
            </w:r>
          </w:p>
        </w:tc>
        <w:tc>
          <w:tcPr>
            <w:tcW w:w="1060" w:type="dxa"/>
            <w:shd w:val="clear" w:color="auto" w:fill="auto"/>
            <w:noWrap/>
            <w:vAlign w:val="bottom"/>
            <w:hideMark/>
          </w:tcPr>
          <w:p w14:paraId="7D791B3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w:t>
            </w:r>
          </w:p>
        </w:tc>
        <w:tc>
          <w:tcPr>
            <w:tcW w:w="1060" w:type="dxa"/>
            <w:shd w:val="clear" w:color="auto" w:fill="auto"/>
            <w:noWrap/>
            <w:vAlign w:val="bottom"/>
            <w:hideMark/>
          </w:tcPr>
          <w:p w14:paraId="2A173C7E"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15</w:t>
            </w:r>
          </w:p>
        </w:tc>
        <w:tc>
          <w:tcPr>
            <w:tcW w:w="1060" w:type="dxa"/>
            <w:shd w:val="clear" w:color="auto" w:fill="auto"/>
            <w:noWrap/>
            <w:vAlign w:val="bottom"/>
            <w:hideMark/>
          </w:tcPr>
          <w:p w14:paraId="58788A4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35</w:t>
            </w:r>
          </w:p>
        </w:tc>
        <w:tc>
          <w:tcPr>
            <w:tcW w:w="1720" w:type="dxa"/>
            <w:shd w:val="clear" w:color="auto" w:fill="auto"/>
            <w:noWrap/>
            <w:vAlign w:val="bottom"/>
            <w:hideMark/>
          </w:tcPr>
          <w:p w14:paraId="235EDF0E"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65</w:t>
            </w:r>
          </w:p>
        </w:tc>
        <w:tc>
          <w:tcPr>
            <w:tcW w:w="1000" w:type="dxa"/>
            <w:shd w:val="clear" w:color="auto" w:fill="auto"/>
            <w:noWrap/>
            <w:vAlign w:val="bottom"/>
            <w:hideMark/>
          </w:tcPr>
          <w:p w14:paraId="099FD436"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80</w:t>
            </w:r>
          </w:p>
        </w:tc>
      </w:tr>
      <w:tr w:rsidR="00E07BE0" w:rsidRPr="00E07BE0" w14:paraId="0C34FF9D" w14:textId="77777777" w:rsidTr="00E07BE0">
        <w:trPr>
          <w:trHeight w:val="300"/>
        </w:trPr>
        <w:tc>
          <w:tcPr>
            <w:tcW w:w="960" w:type="dxa"/>
            <w:vMerge/>
            <w:vAlign w:val="center"/>
            <w:hideMark/>
          </w:tcPr>
          <w:p w14:paraId="42097A28"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2F2F2"/>
            <w:noWrap/>
            <w:vAlign w:val="bottom"/>
            <w:hideMark/>
          </w:tcPr>
          <w:p w14:paraId="00A035FD"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Software License Customers</w:t>
            </w:r>
          </w:p>
        </w:tc>
        <w:tc>
          <w:tcPr>
            <w:tcW w:w="1060" w:type="dxa"/>
            <w:shd w:val="clear" w:color="auto" w:fill="auto"/>
            <w:noWrap/>
            <w:vAlign w:val="bottom"/>
            <w:hideMark/>
          </w:tcPr>
          <w:p w14:paraId="1D43DC24"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w:t>
            </w:r>
          </w:p>
        </w:tc>
        <w:tc>
          <w:tcPr>
            <w:tcW w:w="1060" w:type="dxa"/>
            <w:shd w:val="clear" w:color="auto" w:fill="auto"/>
            <w:noWrap/>
            <w:vAlign w:val="bottom"/>
            <w:hideMark/>
          </w:tcPr>
          <w:p w14:paraId="4F611184"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23</w:t>
            </w:r>
          </w:p>
        </w:tc>
        <w:tc>
          <w:tcPr>
            <w:tcW w:w="1060" w:type="dxa"/>
            <w:shd w:val="clear" w:color="auto" w:fill="auto"/>
            <w:noWrap/>
            <w:vAlign w:val="bottom"/>
            <w:hideMark/>
          </w:tcPr>
          <w:p w14:paraId="59E9E262"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52</w:t>
            </w:r>
          </w:p>
        </w:tc>
        <w:tc>
          <w:tcPr>
            <w:tcW w:w="1720" w:type="dxa"/>
            <w:shd w:val="clear" w:color="auto" w:fill="auto"/>
            <w:noWrap/>
            <w:vAlign w:val="bottom"/>
            <w:hideMark/>
          </w:tcPr>
          <w:p w14:paraId="7C9EC1A2"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105</w:t>
            </w:r>
          </w:p>
        </w:tc>
        <w:tc>
          <w:tcPr>
            <w:tcW w:w="1000" w:type="dxa"/>
            <w:shd w:val="clear" w:color="auto" w:fill="auto"/>
            <w:noWrap/>
            <w:vAlign w:val="bottom"/>
            <w:hideMark/>
          </w:tcPr>
          <w:p w14:paraId="7177639A"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167</w:t>
            </w:r>
          </w:p>
        </w:tc>
      </w:tr>
      <w:tr w:rsidR="00E07BE0" w:rsidRPr="00E07BE0" w14:paraId="11F13F2D" w14:textId="77777777" w:rsidTr="00E07BE0">
        <w:trPr>
          <w:trHeight w:val="525"/>
        </w:trPr>
        <w:tc>
          <w:tcPr>
            <w:tcW w:w="3740" w:type="dxa"/>
            <w:gridSpan w:val="2"/>
            <w:shd w:val="clear" w:color="000000" w:fill="4472C4"/>
            <w:noWrap/>
            <w:vAlign w:val="bottom"/>
            <w:hideMark/>
          </w:tcPr>
          <w:p w14:paraId="683ED677" w14:textId="77777777" w:rsidR="00E07BE0" w:rsidRPr="00E07BE0" w:rsidRDefault="00E07BE0" w:rsidP="00E07BE0">
            <w:pPr>
              <w:spacing w:after="0" w:line="240" w:lineRule="auto"/>
              <w:rPr>
                <w:rFonts w:ascii="Calibri" w:eastAsia="Times New Roman" w:hAnsi="Calibri" w:cs="Calibri"/>
                <w:b/>
                <w:bCs/>
                <w:color w:val="FFFFFF"/>
                <w:sz w:val="40"/>
                <w:szCs w:val="40"/>
                <w:lang w:eastAsia="en-CA"/>
              </w:rPr>
            </w:pPr>
            <w:r w:rsidRPr="00E07BE0">
              <w:rPr>
                <w:rFonts w:ascii="Calibri" w:eastAsia="Times New Roman" w:hAnsi="Calibri" w:cs="Calibri"/>
                <w:b/>
                <w:bCs/>
                <w:color w:val="FFFFFF"/>
                <w:sz w:val="40"/>
                <w:szCs w:val="40"/>
                <w:lang w:eastAsia="en-CA"/>
              </w:rPr>
              <w:t>Operations</w:t>
            </w:r>
          </w:p>
        </w:tc>
        <w:tc>
          <w:tcPr>
            <w:tcW w:w="1060" w:type="dxa"/>
            <w:shd w:val="clear" w:color="000000" w:fill="4472C4"/>
            <w:noWrap/>
            <w:vAlign w:val="bottom"/>
            <w:hideMark/>
          </w:tcPr>
          <w:p w14:paraId="4DB6886B"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60" w:type="dxa"/>
            <w:shd w:val="clear" w:color="000000" w:fill="4472C4"/>
            <w:noWrap/>
            <w:vAlign w:val="bottom"/>
            <w:hideMark/>
          </w:tcPr>
          <w:p w14:paraId="6E9C4E01"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60" w:type="dxa"/>
            <w:shd w:val="clear" w:color="000000" w:fill="4472C4"/>
            <w:noWrap/>
            <w:vAlign w:val="bottom"/>
            <w:hideMark/>
          </w:tcPr>
          <w:p w14:paraId="7D697418"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720" w:type="dxa"/>
            <w:shd w:val="clear" w:color="000000" w:fill="4472C4"/>
            <w:noWrap/>
            <w:vAlign w:val="bottom"/>
            <w:hideMark/>
          </w:tcPr>
          <w:p w14:paraId="5197C71C"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00" w:type="dxa"/>
            <w:shd w:val="clear" w:color="000000" w:fill="4472C4"/>
            <w:noWrap/>
            <w:vAlign w:val="bottom"/>
            <w:hideMark/>
          </w:tcPr>
          <w:p w14:paraId="46BE69E5"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r>
      <w:tr w:rsidR="00E07BE0" w:rsidRPr="00E07BE0" w14:paraId="1DA73A5E" w14:textId="77777777" w:rsidTr="00E07BE0">
        <w:trPr>
          <w:trHeight w:val="300"/>
        </w:trPr>
        <w:tc>
          <w:tcPr>
            <w:tcW w:w="3740" w:type="dxa"/>
            <w:gridSpan w:val="2"/>
            <w:shd w:val="clear" w:color="auto" w:fill="auto"/>
            <w:noWrap/>
            <w:vAlign w:val="bottom"/>
            <w:hideMark/>
          </w:tcPr>
          <w:p w14:paraId="6F1151AD"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Payments from</w:t>
            </w:r>
          </w:p>
        </w:tc>
        <w:tc>
          <w:tcPr>
            <w:tcW w:w="1060" w:type="dxa"/>
            <w:shd w:val="clear" w:color="auto" w:fill="auto"/>
            <w:noWrap/>
            <w:vAlign w:val="bottom"/>
            <w:hideMark/>
          </w:tcPr>
          <w:p w14:paraId="067739C2" w14:textId="77777777" w:rsidR="00E07BE0" w:rsidRPr="00E07BE0" w:rsidRDefault="00E07BE0" w:rsidP="00E07BE0">
            <w:pPr>
              <w:spacing w:after="0" w:line="240" w:lineRule="auto"/>
              <w:rPr>
                <w:rFonts w:ascii="Calibri" w:eastAsia="Times New Roman" w:hAnsi="Calibri" w:cs="Calibri"/>
                <w:color w:val="000000"/>
                <w:lang w:eastAsia="en-CA"/>
              </w:rPr>
            </w:pPr>
          </w:p>
        </w:tc>
        <w:tc>
          <w:tcPr>
            <w:tcW w:w="1060" w:type="dxa"/>
            <w:shd w:val="clear" w:color="auto" w:fill="auto"/>
            <w:noWrap/>
            <w:vAlign w:val="bottom"/>
            <w:hideMark/>
          </w:tcPr>
          <w:p w14:paraId="26EF8E23"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4F2C933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auto"/>
            <w:noWrap/>
            <w:vAlign w:val="bottom"/>
            <w:hideMark/>
          </w:tcPr>
          <w:p w14:paraId="7C181E75"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14:paraId="44557646"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r>
      <w:tr w:rsidR="00E07BE0" w:rsidRPr="00E07BE0" w14:paraId="01CF8713" w14:textId="77777777" w:rsidTr="00E07BE0">
        <w:trPr>
          <w:trHeight w:val="300"/>
        </w:trPr>
        <w:tc>
          <w:tcPr>
            <w:tcW w:w="960" w:type="dxa"/>
            <w:vMerge w:val="restart"/>
            <w:shd w:val="clear" w:color="auto" w:fill="auto"/>
            <w:noWrap/>
            <w:vAlign w:val="bottom"/>
            <w:hideMark/>
          </w:tcPr>
          <w:p w14:paraId="3376E0F2"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E2EFDA"/>
            <w:noWrap/>
            <w:vAlign w:val="bottom"/>
            <w:hideMark/>
          </w:tcPr>
          <w:p w14:paraId="72A0719D" w14:textId="77777777" w:rsidR="00E07BE0" w:rsidRPr="00E07BE0" w:rsidRDefault="00E07BE0" w:rsidP="00E07BE0">
            <w:pPr>
              <w:spacing w:after="0" w:line="240" w:lineRule="auto"/>
              <w:rPr>
                <w:rFonts w:ascii="Calibri" w:eastAsia="Times New Roman" w:hAnsi="Calibri" w:cs="Calibri"/>
                <w:lang w:eastAsia="en-CA"/>
              </w:rPr>
            </w:pPr>
            <w:r w:rsidRPr="00E07BE0">
              <w:rPr>
                <w:rFonts w:ascii="Calibri" w:eastAsia="Times New Roman" w:hAnsi="Calibri" w:cs="Calibri"/>
                <w:lang w:eastAsia="en-CA"/>
              </w:rPr>
              <w:t>Hardware Purchase</w:t>
            </w:r>
          </w:p>
        </w:tc>
        <w:tc>
          <w:tcPr>
            <w:tcW w:w="1060" w:type="dxa"/>
            <w:shd w:val="clear" w:color="auto" w:fill="auto"/>
            <w:noWrap/>
            <w:vAlign w:val="bottom"/>
            <w:hideMark/>
          </w:tcPr>
          <w:p w14:paraId="10337BBD"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2500</w:t>
            </w:r>
          </w:p>
        </w:tc>
        <w:tc>
          <w:tcPr>
            <w:tcW w:w="1060" w:type="dxa"/>
            <w:shd w:val="clear" w:color="auto" w:fill="auto"/>
            <w:noWrap/>
            <w:vAlign w:val="bottom"/>
            <w:hideMark/>
          </w:tcPr>
          <w:p w14:paraId="221EC420"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7500</w:t>
            </w:r>
          </w:p>
        </w:tc>
        <w:tc>
          <w:tcPr>
            <w:tcW w:w="1060" w:type="dxa"/>
            <w:shd w:val="clear" w:color="auto" w:fill="auto"/>
            <w:noWrap/>
            <w:vAlign w:val="bottom"/>
            <w:hideMark/>
          </w:tcPr>
          <w:p w14:paraId="1156B786"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17500</w:t>
            </w:r>
          </w:p>
        </w:tc>
        <w:tc>
          <w:tcPr>
            <w:tcW w:w="1720" w:type="dxa"/>
            <w:shd w:val="clear" w:color="auto" w:fill="auto"/>
            <w:noWrap/>
            <w:vAlign w:val="bottom"/>
            <w:hideMark/>
          </w:tcPr>
          <w:p w14:paraId="46CB567D"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32500</w:t>
            </w:r>
          </w:p>
        </w:tc>
        <w:tc>
          <w:tcPr>
            <w:tcW w:w="1000" w:type="dxa"/>
            <w:shd w:val="clear" w:color="auto" w:fill="auto"/>
            <w:noWrap/>
            <w:vAlign w:val="bottom"/>
            <w:hideMark/>
          </w:tcPr>
          <w:p w14:paraId="01C1C5D7"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40000</w:t>
            </w:r>
          </w:p>
        </w:tc>
      </w:tr>
      <w:tr w:rsidR="00E07BE0" w:rsidRPr="00E07BE0" w14:paraId="589C23C7" w14:textId="77777777" w:rsidTr="00E07BE0">
        <w:trPr>
          <w:trHeight w:val="300"/>
        </w:trPr>
        <w:tc>
          <w:tcPr>
            <w:tcW w:w="960" w:type="dxa"/>
            <w:vMerge/>
            <w:vAlign w:val="center"/>
            <w:hideMark/>
          </w:tcPr>
          <w:p w14:paraId="117D9FB3"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E2EFDA"/>
            <w:noWrap/>
            <w:vAlign w:val="bottom"/>
            <w:hideMark/>
          </w:tcPr>
          <w:p w14:paraId="1B645E8E" w14:textId="77777777" w:rsidR="00E07BE0" w:rsidRPr="00E07BE0" w:rsidRDefault="00E07BE0" w:rsidP="00E07BE0">
            <w:pPr>
              <w:spacing w:after="0" w:line="240" w:lineRule="auto"/>
              <w:rPr>
                <w:rFonts w:ascii="Calibri" w:eastAsia="Times New Roman" w:hAnsi="Calibri" w:cs="Calibri"/>
                <w:lang w:eastAsia="en-CA"/>
              </w:rPr>
            </w:pPr>
            <w:r w:rsidRPr="00E07BE0">
              <w:rPr>
                <w:rFonts w:ascii="Calibri" w:eastAsia="Times New Roman" w:hAnsi="Calibri" w:cs="Calibri"/>
                <w:lang w:eastAsia="en-CA"/>
              </w:rPr>
              <w:t>Software Purchase</w:t>
            </w:r>
          </w:p>
        </w:tc>
        <w:tc>
          <w:tcPr>
            <w:tcW w:w="1060" w:type="dxa"/>
            <w:shd w:val="clear" w:color="auto" w:fill="auto"/>
            <w:noWrap/>
            <w:vAlign w:val="bottom"/>
            <w:hideMark/>
          </w:tcPr>
          <w:p w14:paraId="748C3934"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1200</w:t>
            </w:r>
          </w:p>
        </w:tc>
        <w:tc>
          <w:tcPr>
            <w:tcW w:w="1060" w:type="dxa"/>
            <w:shd w:val="clear" w:color="auto" w:fill="auto"/>
            <w:noWrap/>
            <w:vAlign w:val="bottom"/>
            <w:hideMark/>
          </w:tcPr>
          <w:p w14:paraId="427B82CA"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2760</w:t>
            </w:r>
          </w:p>
        </w:tc>
        <w:tc>
          <w:tcPr>
            <w:tcW w:w="1060" w:type="dxa"/>
            <w:shd w:val="clear" w:color="auto" w:fill="auto"/>
            <w:noWrap/>
            <w:vAlign w:val="bottom"/>
            <w:hideMark/>
          </w:tcPr>
          <w:p w14:paraId="175565D0"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6240</w:t>
            </w:r>
          </w:p>
        </w:tc>
        <w:tc>
          <w:tcPr>
            <w:tcW w:w="1720" w:type="dxa"/>
            <w:shd w:val="clear" w:color="auto" w:fill="auto"/>
            <w:noWrap/>
            <w:vAlign w:val="bottom"/>
            <w:hideMark/>
          </w:tcPr>
          <w:p w14:paraId="422F9BA7"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12600</w:t>
            </w:r>
          </w:p>
        </w:tc>
        <w:tc>
          <w:tcPr>
            <w:tcW w:w="1000" w:type="dxa"/>
            <w:shd w:val="clear" w:color="auto" w:fill="auto"/>
            <w:noWrap/>
            <w:vAlign w:val="bottom"/>
            <w:hideMark/>
          </w:tcPr>
          <w:p w14:paraId="37732D4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20040</w:t>
            </w:r>
          </w:p>
        </w:tc>
      </w:tr>
      <w:tr w:rsidR="00E07BE0" w:rsidRPr="00E07BE0" w14:paraId="722215FC" w14:textId="77777777" w:rsidTr="00E07BE0">
        <w:trPr>
          <w:trHeight w:val="300"/>
        </w:trPr>
        <w:tc>
          <w:tcPr>
            <w:tcW w:w="3740" w:type="dxa"/>
            <w:gridSpan w:val="2"/>
            <w:shd w:val="clear" w:color="auto" w:fill="auto"/>
            <w:noWrap/>
            <w:vAlign w:val="bottom"/>
            <w:hideMark/>
          </w:tcPr>
          <w:p w14:paraId="79156B39"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Payments to</w:t>
            </w:r>
          </w:p>
        </w:tc>
        <w:tc>
          <w:tcPr>
            <w:tcW w:w="1060" w:type="dxa"/>
            <w:shd w:val="clear" w:color="auto" w:fill="auto"/>
            <w:noWrap/>
            <w:vAlign w:val="bottom"/>
            <w:hideMark/>
          </w:tcPr>
          <w:p w14:paraId="45BF530E" w14:textId="77777777" w:rsidR="00E07BE0" w:rsidRPr="00E07BE0" w:rsidRDefault="00E07BE0" w:rsidP="00E07BE0">
            <w:pPr>
              <w:spacing w:after="0" w:line="240" w:lineRule="auto"/>
              <w:rPr>
                <w:rFonts w:ascii="Calibri" w:eastAsia="Times New Roman" w:hAnsi="Calibri" w:cs="Calibri"/>
                <w:color w:val="000000"/>
                <w:lang w:eastAsia="en-CA"/>
              </w:rPr>
            </w:pPr>
          </w:p>
        </w:tc>
        <w:tc>
          <w:tcPr>
            <w:tcW w:w="1060" w:type="dxa"/>
            <w:shd w:val="clear" w:color="auto" w:fill="auto"/>
            <w:noWrap/>
            <w:vAlign w:val="bottom"/>
            <w:hideMark/>
          </w:tcPr>
          <w:p w14:paraId="57E228E9"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1A4850E8"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auto"/>
            <w:noWrap/>
            <w:vAlign w:val="bottom"/>
            <w:hideMark/>
          </w:tcPr>
          <w:p w14:paraId="63549B16"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14:paraId="3FCE8DC8"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r>
      <w:tr w:rsidR="00E07BE0" w:rsidRPr="00E07BE0" w14:paraId="2587020A" w14:textId="77777777" w:rsidTr="00E07BE0">
        <w:trPr>
          <w:trHeight w:val="300"/>
        </w:trPr>
        <w:tc>
          <w:tcPr>
            <w:tcW w:w="960" w:type="dxa"/>
            <w:vMerge w:val="restart"/>
            <w:shd w:val="clear" w:color="auto" w:fill="auto"/>
            <w:noWrap/>
            <w:vAlign w:val="bottom"/>
            <w:hideMark/>
          </w:tcPr>
          <w:p w14:paraId="20B246B5"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CE4D6"/>
            <w:noWrap/>
            <w:vAlign w:val="bottom"/>
            <w:hideMark/>
          </w:tcPr>
          <w:p w14:paraId="724F3F6E"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Materials</w:t>
            </w:r>
          </w:p>
        </w:tc>
        <w:tc>
          <w:tcPr>
            <w:tcW w:w="1060" w:type="dxa"/>
            <w:shd w:val="clear" w:color="auto" w:fill="auto"/>
            <w:noWrap/>
            <w:vAlign w:val="bottom"/>
            <w:hideMark/>
          </w:tcPr>
          <w:p w14:paraId="65414935"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-557.5</w:t>
            </w:r>
          </w:p>
        </w:tc>
        <w:tc>
          <w:tcPr>
            <w:tcW w:w="1060" w:type="dxa"/>
            <w:shd w:val="clear" w:color="auto" w:fill="auto"/>
            <w:noWrap/>
            <w:vAlign w:val="bottom"/>
            <w:hideMark/>
          </w:tcPr>
          <w:p w14:paraId="14A265FA" w14:textId="324547F3"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-1672.5</w:t>
            </w:r>
            <w:r w:rsidR="00117E1F">
              <w:rPr>
                <w:rFonts w:ascii="Calibri" w:eastAsia="Times New Roman" w:hAnsi="Calibri" w:cs="Calibri"/>
                <w:color w:val="000000"/>
                <w:lang w:eastAsia="en-CA"/>
              </w:rPr>
              <w:t>0</w:t>
            </w:r>
          </w:p>
        </w:tc>
        <w:tc>
          <w:tcPr>
            <w:tcW w:w="1060" w:type="dxa"/>
            <w:shd w:val="clear" w:color="auto" w:fill="auto"/>
            <w:noWrap/>
            <w:vAlign w:val="bottom"/>
            <w:hideMark/>
          </w:tcPr>
          <w:p w14:paraId="352ED4A1" w14:textId="26E6108B"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-3902.5</w:t>
            </w:r>
            <w:r w:rsidR="00117E1F">
              <w:rPr>
                <w:rFonts w:ascii="Calibri" w:eastAsia="Times New Roman" w:hAnsi="Calibri" w:cs="Calibri"/>
                <w:color w:val="000000"/>
                <w:lang w:eastAsia="en-CA"/>
              </w:rPr>
              <w:t>0</w:t>
            </w:r>
          </w:p>
        </w:tc>
        <w:tc>
          <w:tcPr>
            <w:tcW w:w="1720" w:type="dxa"/>
            <w:shd w:val="clear" w:color="auto" w:fill="auto"/>
            <w:noWrap/>
            <w:vAlign w:val="bottom"/>
            <w:hideMark/>
          </w:tcPr>
          <w:p w14:paraId="609FEFCA" w14:textId="6315611C"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-7247.5</w:t>
            </w:r>
            <w:r w:rsidR="00117E1F">
              <w:rPr>
                <w:rFonts w:ascii="Calibri" w:eastAsia="Times New Roman" w:hAnsi="Calibri" w:cs="Calibri"/>
                <w:color w:val="000000"/>
                <w:lang w:eastAsia="en-CA"/>
              </w:rPr>
              <w:t>0</w:t>
            </w:r>
          </w:p>
        </w:tc>
        <w:tc>
          <w:tcPr>
            <w:tcW w:w="1000" w:type="dxa"/>
            <w:shd w:val="clear" w:color="auto" w:fill="auto"/>
            <w:noWrap/>
            <w:vAlign w:val="bottom"/>
            <w:hideMark/>
          </w:tcPr>
          <w:p w14:paraId="72BF0746"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-8920</w:t>
            </w:r>
          </w:p>
        </w:tc>
      </w:tr>
      <w:tr w:rsidR="00E07BE0" w:rsidRPr="00E07BE0" w14:paraId="00B29107" w14:textId="77777777" w:rsidTr="00E07BE0">
        <w:trPr>
          <w:trHeight w:val="300"/>
        </w:trPr>
        <w:tc>
          <w:tcPr>
            <w:tcW w:w="960" w:type="dxa"/>
            <w:vMerge/>
            <w:vAlign w:val="center"/>
            <w:hideMark/>
          </w:tcPr>
          <w:p w14:paraId="47660BFB"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CE4D6"/>
            <w:noWrap/>
            <w:vAlign w:val="bottom"/>
            <w:hideMark/>
          </w:tcPr>
          <w:p w14:paraId="30E66790"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Labour</w:t>
            </w:r>
          </w:p>
        </w:tc>
        <w:tc>
          <w:tcPr>
            <w:tcW w:w="1060" w:type="dxa"/>
            <w:shd w:val="clear" w:color="auto" w:fill="auto"/>
            <w:noWrap/>
            <w:vAlign w:val="bottom"/>
            <w:hideMark/>
          </w:tcPr>
          <w:p w14:paraId="121FCED1"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-100</w:t>
            </w:r>
          </w:p>
        </w:tc>
        <w:tc>
          <w:tcPr>
            <w:tcW w:w="1060" w:type="dxa"/>
            <w:shd w:val="clear" w:color="auto" w:fill="auto"/>
            <w:noWrap/>
            <w:vAlign w:val="bottom"/>
            <w:hideMark/>
          </w:tcPr>
          <w:p w14:paraId="694DD0A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-300</w:t>
            </w:r>
          </w:p>
        </w:tc>
        <w:tc>
          <w:tcPr>
            <w:tcW w:w="1060" w:type="dxa"/>
            <w:shd w:val="clear" w:color="auto" w:fill="auto"/>
            <w:noWrap/>
            <w:vAlign w:val="bottom"/>
            <w:hideMark/>
          </w:tcPr>
          <w:p w14:paraId="694BC295"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-700</w:t>
            </w:r>
          </w:p>
        </w:tc>
        <w:tc>
          <w:tcPr>
            <w:tcW w:w="1720" w:type="dxa"/>
            <w:shd w:val="clear" w:color="auto" w:fill="auto"/>
            <w:noWrap/>
            <w:vAlign w:val="bottom"/>
            <w:hideMark/>
          </w:tcPr>
          <w:p w14:paraId="1A74B562"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-1300</w:t>
            </w:r>
          </w:p>
        </w:tc>
        <w:tc>
          <w:tcPr>
            <w:tcW w:w="1000" w:type="dxa"/>
            <w:shd w:val="clear" w:color="auto" w:fill="auto"/>
            <w:noWrap/>
            <w:vAlign w:val="bottom"/>
            <w:hideMark/>
          </w:tcPr>
          <w:p w14:paraId="0A5F2F9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-1600</w:t>
            </w:r>
          </w:p>
        </w:tc>
      </w:tr>
      <w:tr w:rsidR="00E07BE0" w:rsidRPr="00E07BE0" w14:paraId="2331D07E" w14:textId="77777777" w:rsidTr="00E07BE0">
        <w:trPr>
          <w:trHeight w:val="300"/>
        </w:trPr>
        <w:tc>
          <w:tcPr>
            <w:tcW w:w="960" w:type="dxa"/>
            <w:vMerge/>
            <w:vAlign w:val="center"/>
            <w:hideMark/>
          </w:tcPr>
          <w:p w14:paraId="5D7257BD"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CE4D6"/>
            <w:noWrap/>
            <w:vAlign w:val="bottom"/>
            <w:hideMark/>
          </w:tcPr>
          <w:p w14:paraId="069CCF39"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Administration</w:t>
            </w:r>
          </w:p>
        </w:tc>
        <w:tc>
          <w:tcPr>
            <w:tcW w:w="1060" w:type="dxa"/>
            <w:shd w:val="clear" w:color="auto" w:fill="auto"/>
            <w:noWrap/>
            <w:vAlign w:val="bottom"/>
            <w:hideMark/>
          </w:tcPr>
          <w:p w14:paraId="48C66951"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w:t>
            </w:r>
          </w:p>
        </w:tc>
        <w:tc>
          <w:tcPr>
            <w:tcW w:w="1060" w:type="dxa"/>
            <w:shd w:val="clear" w:color="auto" w:fill="auto"/>
            <w:noWrap/>
            <w:vAlign w:val="bottom"/>
            <w:hideMark/>
          </w:tcPr>
          <w:p w14:paraId="7EC31752"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w:t>
            </w:r>
          </w:p>
        </w:tc>
        <w:tc>
          <w:tcPr>
            <w:tcW w:w="1060" w:type="dxa"/>
            <w:shd w:val="clear" w:color="auto" w:fill="auto"/>
            <w:noWrap/>
            <w:vAlign w:val="bottom"/>
            <w:hideMark/>
          </w:tcPr>
          <w:p w14:paraId="1D62AF42"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-1000</w:t>
            </w:r>
          </w:p>
        </w:tc>
        <w:tc>
          <w:tcPr>
            <w:tcW w:w="1720" w:type="dxa"/>
            <w:shd w:val="clear" w:color="auto" w:fill="auto"/>
            <w:noWrap/>
            <w:vAlign w:val="bottom"/>
            <w:hideMark/>
          </w:tcPr>
          <w:p w14:paraId="6DEA443A"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-2000</w:t>
            </w:r>
          </w:p>
        </w:tc>
        <w:tc>
          <w:tcPr>
            <w:tcW w:w="1000" w:type="dxa"/>
            <w:shd w:val="clear" w:color="auto" w:fill="auto"/>
            <w:noWrap/>
            <w:vAlign w:val="bottom"/>
            <w:hideMark/>
          </w:tcPr>
          <w:p w14:paraId="4F48495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-2000</w:t>
            </w:r>
          </w:p>
        </w:tc>
      </w:tr>
      <w:tr w:rsidR="00E07BE0" w:rsidRPr="00E07BE0" w14:paraId="36943620" w14:textId="77777777" w:rsidTr="00E07BE0">
        <w:trPr>
          <w:trHeight w:val="300"/>
        </w:trPr>
        <w:tc>
          <w:tcPr>
            <w:tcW w:w="960" w:type="dxa"/>
            <w:vMerge/>
            <w:vAlign w:val="center"/>
            <w:hideMark/>
          </w:tcPr>
          <w:p w14:paraId="4918355C"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CE4D6"/>
            <w:noWrap/>
            <w:vAlign w:val="bottom"/>
            <w:hideMark/>
          </w:tcPr>
          <w:p w14:paraId="40C3DE1E"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Team Wages</w:t>
            </w:r>
          </w:p>
        </w:tc>
        <w:tc>
          <w:tcPr>
            <w:tcW w:w="1060" w:type="dxa"/>
            <w:shd w:val="clear" w:color="auto" w:fill="auto"/>
            <w:noWrap/>
            <w:vAlign w:val="bottom"/>
            <w:hideMark/>
          </w:tcPr>
          <w:p w14:paraId="352CFA9E"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-4000</w:t>
            </w:r>
          </w:p>
        </w:tc>
        <w:tc>
          <w:tcPr>
            <w:tcW w:w="1060" w:type="dxa"/>
            <w:shd w:val="clear" w:color="auto" w:fill="auto"/>
            <w:noWrap/>
            <w:vAlign w:val="bottom"/>
            <w:hideMark/>
          </w:tcPr>
          <w:p w14:paraId="1997517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-8000</w:t>
            </w:r>
          </w:p>
        </w:tc>
        <w:tc>
          <w:tcPr>
            <w:tcW w:w="1060" w:type="dxa"/>
            <w:shd w:val="clear" w:color="auto" w:fill="auto"/>
            <w:noWrap/>
            <w:vAlign w:val="bottom"/>
            <w:hideMark/>
          </w:tcPr>
          <w:p w14:paraId="5D1C5848"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-8000</w:t>
            </w:r>
          </w:p>
        </w:tc>
        <w:tc>
          <w:tcPr>
            <w:tcW w:w="1720" w:type="dxa"/>
            <w:shd w:val="clear" w:color="auto" w:fill="auto"/>
            <w:noWrap/>
            <w:vAlign w:val="bottom"/>
            <w:hideMark/>
          </w:tcPr>
          <w:p w14:paraId="2373A224"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-16000</w:t>
            </w:r>
          </w:p>
        </w:tc>
        <w:tc>
          <w:tcPr>
            <w:tcW w:w="1000" w:type="dxa"/>
            <w:shd w:val="clear" w:color="auto" w:fill="auto"/>
            <w:noWrap/>
            <w:vAlign w:val="bottom"/>
            <w:hideMark/>
          </w:tcPr>
          <w:p w14:paraId="26200CB5"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-32000</w:t>
            </w:r>
          </w:p>
        </w:tc>
      </w:tr>
      <w:tr w:rsidR="00E07BE0" w:rsidRPr="00E07BE0" w14:paraId="636218D6" w14:textId="77777777" w:rsidTr="00E07BE0">
        <w:trPr>
          <w:trHeight w:val="300"/>
        </w:trPr>
        <w:tc>
          <w:tcPr>
            <w:tcW w:w="960" w:type="dxa"/>
            <w:vMerge/>
            <w:vAlign w:val="center"/>
            <w:hideMark/>
          </w:tcPr>
          <w:p w14:paraId="6EED303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FCE4D6"/>
            <w:noWrap/>
            <w:vAlign w:val="bottom"/>
            <w:hideMark/>
          </w:tcPr>
          <w:p w14:paraId="1C5F3F24"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Interest</w:t>
            </w:r>
          </w:p>
        </w:tc>
        <w:tc>
          <w:tcPr>
            <w:tcW w:w="1060" w:type="dxa"/>
            <w:shd w:val="clear" w:color="auto" w:fill="auto"/>
            <w:noWrap/>
            <w:vAlign w:val="bottom"/>
            <w:hideMark/>
          </w:tcPr>
          <w:p w14:paraId="0D06127C"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-1600</w:t>
            </w:r>
          </w:p>
        </w:tc>
        <w:tc>
          <w:tcPr>
            <w:tcW w:w="1060" w:type="dxa"/>
            <w:shd w:val="clear" w:color="auto" w:fill="auto"/>
            <w:noWrap/>
            <w:vAlign w:val="bottom"/>
            <w:hideMark/>
          </w:tcPr>
          <w:p w14:paraId="3CFFE0A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-1200</w:t>
            </w:r>
          </w:p>
        </w:tc>
        <w:tc>
          <w:tcPr>
            <w:tcW w:w="1060" w:type="dxa"/>
            <w:shd w:val="clear" w:color="auto" w:fill="auto"/>
            <w:noWrap/>
            <w:vAlign w:val="bottom"/>
            <w:hideMark/>
          </w:tcPr>
          <w:p w14:paraId="3F5B77E9"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-800</w:t>
            </w:r>
          </w:p>
        </w:tc>
        <w:tc>
          <w:tcPr>
            <w:tcW w:w="1720" w:type="dxa"/>
            <w:shd w:val="clear" w:color="auto" w:fill="auto"/>
            <w:noWrap/>
            <w:vAlign w:val="bottom"/>
            <w:hideMark/>
          </w:tcPr>
          <w:p w14:paraId="3313F36C"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-400</w:t>
            </w:r>
          </w:p>
        </w:tc>
        <w:tc>
          <w:tcPr>
            <w:tcW w:w="1000" w:type="dxa"/>
            <w:shd w:val="clear" w:color="auto" w:fill="auto"/>
            <w:noWrap/>
            <w:vAlign w:val="bottom"/>
            <w:hideMark/>
          </w:tcPr>
          <w:p w14:paraId="1F6E3E8B"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r>
      <w:tr w:rsidR="00E07BE0" w:rsidRPr="00E07BE0" w14:paraId="51638201" w14:textId="77777777" w:rsidTr="00E07BE0">
        <w:trPr>
          <w:trHeight w:val="525"/>
        </w:trPr>
        <w:tc>
          <w:tcPr>
            <w:tcW w:w="3740" w:type="dxa"/>
            <w:gridSpan w:val="2"/>
            <w:shd w:val="clear" w:color="000000" w:fill="4472C4"/>
            <w:noWrap/>
            <w:vAlign w:val="bottom"/>
            <w:hideMark/>
          </w:tcPr>
          <w:p w14:paraId="455FA860" w14:textId="77777777" w:rsidR="00E07BE0" w:rsidRPr="00E07BE0" w:rsidRDefault="00E07BE0" w:rsidP="00E07BE0">
            <w:pPr>
              <w:spacing w:after="0" w:line="240" w:lineRule="auto"/>
              <w:rPr>
                <w:rFonts w:ascii="Calibri" w:eastAsia="Times New Roman" w:hAnsi="Calibri" w:cs="Calibri"/>
                <w:b/>
                <w:bCs/>
                <w:color w:val="FFFFFF"/>
                <w:sz w:val="40"/>
                <w:szCs w:val="40"/>
                <w:lang w:eastAsia="en-CA"/>
              </w:rPr>
            </w:pPr>
            <w:r w:rsidRPr="00E07BE0">
              <w:rPr>
                <w:rFonts w:ascii="Calibri" w:eastAsia="Times New Roman" w:hAnsi="Calibri" w:cs="Calibri"/>
                <w:b/>
                <w:bCs/>
                <w:color w:val="FFFFFF"/>
                <w:sz w:val="40"/>
                <w:szCs w:val="40"/>
                <w:lang w:eastAsia="en-CA"/>
              </w:rPr>
              <w:t>Financing Activities</w:t>
            </w:r>
          </w:p>
        </w:tc>
        <w:tc>
          <w:tcPr>
            <w:tcW w:w="1060" w:type="dxa"/>
            <w:shd w:val="clear" w:color="000000" w:fill="4472C4"/>
            <w:noWrap/>
            <w:vAlign w:val="bottom"/>
            <w:hideMark/>
          </w:tcPr>
          <w:p w14:paraId="01CB5487"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60" w:type="dxa"/>
            <w:shd w:val="clear" w:color="000000" w:fill="4472C4"/>
            <w:noWrap/>
            <w:vAlign w:val="bottom"/>
            <w:hideMark/>
          </w:tcPr>
          <w:p w14:paraId="707676DD"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60" w:type="dxa"/>
            <w:shd w:val="clear" w:color="000000" w:fill="4472C4"/>
            <w:noWrap/>
            <w:vAlign w:val="bottom"/>
            <w:hideMark/>
          </w:tcPr>
          <w:p w14:paraId="0BBAE27E"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720" w:type="dxa"/>
            <w:shd w:val="clear" w:color="000000" w:fill="4472C4"/>
            <w:noWrap/>
            <w:vAlign w:val="bottom"/>
            <w:hideMark/>
          </w:tcPr>
          <w:p w14:paraId="1B8FBD0A"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c>
          <w:tcPr>
            <w:tcW w:w="1000" w:type="dxa"/>
            <w:shd w:val="clear" w:color="000000" w:fill="4472C4"/>
            <w:noWrap/>
            <w:vAlign w:val="bottom"/>
            <w:hideMark/>
          </w:tcPr>
          <w:p w14:paraId="7453E41F"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w:t>
            </w:r>
          </w:p>
        </w:tc>
      </w:tr>
      <w:tr w:rsidR="00E07BE0" w:rsidRPr="00E07BE0" w14:paraId="6C249E8E" w14:textId="77777777" w:rsidTr="00E07BE0">
        <w:trPr>
          <w:trHeight w:val="300"/>
        </w:trPr>
        <w:tc>
          <w:tcPr>
            <w:tcW w:w="3740" w:type="dxa"/>
            <w:gridSpan w:val="2"/>
            <w:shd w:val="clear" w:color="auto" w:fill="auto"/>
            <w:noWrap/>
            <w:vAlign w:val="bottom"/>
            <w:hideMark/>
          </w:tcPr>
          <w:p w14:paraId="717F4D3B"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Funding from external sources</w:t>
            </w:r>
          </w:p>
        </w:tc>
        <w:tc>
          <w:tcPr>
            <w:tcW w:w="1060" w:type="dxa"/>
            <w:shd w:val="clear" w:color="auto" w:fill="auto"/>
            <w:noWrap/>
            <w:vAlign w:val="bottom"/>
            <w:hideMark/>
          </w:tcPr>
          <w:p w14:paraId="3BC2CDB7" w14:textId="77777777" w:rsidR="00E07BE0" w:rsidRPr="00E07BE0" w:rsidRDefault="00E07BE0" w:rsidP="00E07BE0">
            <w:pPr>
              <w:spacing w:after="0" w:line="240" w:lineRule="auto"/>
              <w:rPr>
                <w:rFonts w:ascii="Calibri" w:eastAsia="Times New Roman" w:hAnsi="Calibri" w:cs="Calibri"/>
                <w:color w:val="000000"/>
                <w:lang w:eastAsia="en-CA"/>
              </w:rPr>
            </w:pPr>
          </w:p>
        </w:tc>
        <w:tc>
          <w:tcPr>
            <w:tcW w:w="1060" w:type="dxa"/>
            <w:shd w:val="clear" w:color="auto" w:fill="auto"/>
            <w:noWrap/>
            <w:vAlign w:val="bottom"/>
            <w:hideMark/>
          </w:tcPr>
          <w:p w14:paraId="3B5AB3EE"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21B5921F"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auto"/>
            <w:noWrap/>
            <w:vAlign w:val="bottom"/>
            <w:hideMark/>
          </w:tcPr>
          <w:p w14:paraId="4DB36EE0"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14:paraId="77B16961"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r>
      <w:tr w:rsidR="00E07BE0" w:rsidRPr="00E07BE0" w14:paraId="51CAF16E" w14:textId="77777777" w:rsidTr="00E07BE0">
        <w:trPr>
          <w:trHeight w:val="300"/>
        </w:trPr>
        <w:tc>
          <w:tcPr>
            <w:tcW w:w="960" w:type="dxa"/>
            <w:vMerge w:val="restart"/>
            <w:shd w:val="clear" w:color="auto" w:fill="auto"/>
            <w:noWrap/>
            <w:vAlign w:val="bottom"/>
            <w:hideMark/>
          </w:tcPr>
          <w:p w14:paraId="53E39237"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E2EFDA"/>
            <w:noWrap/>
            <w:vAlign w:val="bottom"/>
            <w:hideMark/>
          </w:tcPr>
          <w:p w14:paraId="5C6D1FB8" w14:textId="099006EA"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Startup competitions</w:t>
            </w:r>
          </w:p>
        </w:tc>
        <w:tc>
          <w:tcPr>
            <w:tcW w:w="1060" w:type="dxa"/>
            <w:shd w:val="clear" w:color="auto" w:fill="auto"/>
            <w:noWrap/>
            <w:vAlign w:val="bottom"/>
            <w:hideMark/>
          </w:tcPr>
          <w:p w14:paraId="6166CA95"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5000</w:t>
            </w:r>
          </w:p>
        </w:tc>
        <w:tc>
          <w:tcPr>
            <w:tcW w:w="1060" w:type="dxa"/>
            <w:shd w:val="clear" w:color="auto" w:fill="auto"/>
            <w:noWrap/>
            <w:vAlign w:val="bottom"/>
            <w:hideMark/>
          </w:tcPr>
          <w:p w14:paraId="3F768FD2"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60" w:type="dxa"/>
            <w:shd w:val="clear" w:color="auto" w:fill="auto"/>
            <w:noWrap/>
            <w:vAlign w:val="bottom"/>
            <w:hideMark/>
          </w:tcPr>
          <w:p w14:paraId="42782F06"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720" w:type="dxa"/>
            <w:shd w:val="clear" w:color="auto" w:fill="auto"/>
            <w:noWrap/>
            <w:vAlign w:val="bottom"/>
            <w:hideMark/>
          </w:tcPr>
          <w:p w14:paraId="17B0DAD0"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00" w:type="dxa"/>
            <w:shd w:val="clear" w:color="auto" w:fill="auto"/>
            <w:noWrap/>
            <w:vAlign w:val="bottom"/>
            <w:hideMark/>
          </w:tcPr>
          <w:p w14:paraId="76C72B09"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r>
      <w:tr w:rsidR="00E07BE0" w:rsidRPr="00E07BE0" w14:paraId="025B6C74" w14:textId="77777777" w:rsidTr="00E07BE0">
        <w:trPr>
          <w:trHeight w:val="300"/>
        </w:trPr>
        <w:tc>
          <w:tcPr>
            <w:tcW w:w="960" w:type="dxa"/>
            <w:vMerge/>
            <w:vAlign w:val="center"/>
            <w:hideMark/>
          </w:tcPr>
          <w:p w14:paraId="719CD7DC"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E2EFDA"/>
            <w:noWrap/>
            <w:vAlign w:val="bottom"/>
            <w:hideMark/>
          </w:tcPr>
          <w:p w14:paraId="2911F707"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Angel Investors</w:t>
            </w:r>
          </w:p>
        </w:tc>
        <w:tc>
          <w:tcPr>
            <w:tcW w:w="1060" w:type="dxa"/>
            <w:shd w:val="clear" w:color="auto" w:fill="auto"/>
            <w:noWrap/>
            <w:vAlign w:val="bottom"/>
            <w:hideMark/>
          </w:tcPr>
          <w:p w14:paraId="313E94CC"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2000</w:t>
            </w:r>
          </w:p>
        </w:tc>
        <w:tc>
          <w:tcPr>
            <w:tcW w:w="1060" w:type="dxa"/>
            <w:shd w:val="clear" w:color="auto" w:fill="auto"/>
            <w:noWrap/>
            <w:vAlign w:val="bottom"/>
            <w:hideMark/>
          </w:tcPr>
          <w:p w14:paraId="48DF1400"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60" w:type="dxa"/>
            <w:shd w:val="clear" w:color="auto" w:fill="auto"/>
            <w:noWrap/>
            <w:vAlign w:val="bottom"/>
            <w:hideMark/>
          </w:tcPr>
          <w:p w14:paraId="310F1F30"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720" w:type="dxa"/>
            <w:shd w:val="clear" w:color="auto" w:fill="auto"/>
            <w:noWrap/>
            <w:vAlign w:val="bottom"/>
            <w:hideMark/>
          </w:tcPr>
          <w:p w14:paraId="2C2C507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00" w:type="dxa"/>
            <w:shd w:val="clear" w:color="auto" w:fill="auto"/>
            <w:noWrap/>
            <w:vAlign w:val="bottom"/>
            <w:hideMark/>
          </w:tcPr>
          <w:p w14:paraId="3B1727B7"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r>
      <w:tr w:rsidR="00E07BE0" w:rsidRPr="00E07BE0" w14:paraId="3C2F0349" w14:textId="77777777" w:rsidTr="00E07BE0">
        <w:trPr>
          <w:trHeight w:val="300"/>
        </w:trPr>
        <w:tc>
          <w:tcPr>
            <w:tcW w:w="960" w:type="dxa"/>
            <w:shd w:val="clear" w:color="auto" w:fill="auto"/>
            <w:noWrap/>
            <w:vAlign w:val="bottom"/>
            <w:hideMark/>
          </w:tcPr>
          <w:p w14:paraId="085C50DF"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Loans</w:t>
            </w:r>
          </w:p>
        </w:tc>
        <w:tc>
          <w:tcPr>
            <w:tcW w:w="2780" w:type="dxa"/>
            <w:shd w:val="clear" w:color="auto" w:fill="auto"/>
            <w:noWrap/>
            <w:vAlign w:val="bottom"/>
            <w:hideMark/>
          </w:tcPr>
          <w:p w14:paraId="58972D5D" w14:textId="77777777" w:rsidR="00E07BE0" w:rsidRPr="00E07BE0" w:rsidRDefault="00E07BE0" w:rsidP="00E07BE0">
            <w:pPr>
              <w:spacing w:after="0" w:line="240" w:lineRule="auto"/>
              <w:rPr>
                <w:rFonts w:ascii="Calibri" w:eastAsia="Times New Roman" w:hAnsi="Calibri" w:cs="Calibri"/>
                <w:color w:val="000000"/>
                <w:lang w:eastAsia="en-CA"/>
              </w:rPr>
            </w:pPr>
          </w:p>
        </w:tc>
        <w:tc>
          <w:tcPr>
            <w:tcW w:w="1060" w:type="dxa"/>
            <w:shd w:val="clear" w:color="auto" w:fill="auto"/>
            <w:noWrap/>
            <w:vAlign w:val="bottom"/>
            <w:hideMark/>
          </w:tcPr>
          <w:p w14:paraId="3AB43C0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2F6F3DF2"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59A8343F"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auto"/>
            <w:noWrap/>
            <w:vAlign w:val="bottom"/>
            <w:hideMark/>
          </w:tcPr>
          <w:p w14:paraId="24E92BBB"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00" w:type="dxa"/>
            <w:shd w:val="clear" w:color="auto" w:fill="auto"/>
            <w:noWrap/>
            <w:vAlign w:val="bottom"/>
            <w:hideMark/>
          </w:tcPr>
          <w:p w14:paraId="203F6C6B"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r>
      <w:tr w:rsidR="00E07BE0" w:rsidRPr="00E07BE0" w14:paraId="29516816" w14:textId="77777777" w:rsidTr="00E07BE0">
        <w:trPr>
          <w:trHeight w:val="300"/>
        </w:trPr>
        <w:tc>
          <w:tcPr>
            <w:tcW w:w="960" w:type="dxa"/>
            <w:shd w:val="clear" w:color="auto" w:fill="auto"/>
            <w:noWrap/>
            <w:vAlign w:val="bottom"/>
            <w:hideMark/>
          </w:tcPr>
          <w:p w14:paraId="729DED1F"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000000" w:fill="E2EFDA"/>
            <w:noWrap/>
            <w:vAlign w:val="bottom"/>
            <w:hideMark/>
          </w:tcPr>
          <w:p w14:paraId="2F9EA3CA"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Loan Acquisition</w:t>
            </w:r>
          </w:p>
        </w:tc>
        <w:tc>
          <w:tcPr>
            <w:tcW w:w="1060" w:type="dxa"/>
            <w:shd w:val="clear" w:color="auto" w:fill="auto"/>
            <w:noWrap/>
            <w:vAlign w:val="bottom"/>
            <w:hideMark/>
          </w:tcPr>
          <w:p w14:paraId="73FE5B04"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20000</w:t>
            </w:r>
          </w:p>
        </w:tc>
        <w:tc>
          <w:tcPr>
            <w:tcW w:w="1060" w:type="dxa"/>
            <w:shd w:val="clear" w:color="auto" w:fill="auto"/>
            <w:noWrap/>
            <w:vAlign w:val="bottom"/>
            <w:hideMark/>
          </w:tcPr>
          <w:p w14:paraId="7FF69219"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60" w:type="dxa"/>
            <w:shd w:val="clear" w:color="auto" w:fill="auto"/>
            <w:noWrap/>
            <w:vAlign w:val="bottom"/>
            <w:hideMark/>
          </w:tcPr>
          <w:p w14:paraId="314FCDC8"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720" w:type="dxa"/>
            <w:shd w:val="clear" w:color="auto" w:fill="auto"/>
            <w:noWrap/>
            <w:vAlign w:val="bottom"/>
            <w:hideMark/>
          </w:tcPr>
          <w:p w14:paraId="5D963F81"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00" w:type="dxa"/>
            <w:shd w:val="clear" w:color="auto" w:fill="auto"/>
            <w:noWrap/>
            <w:vAlign w:val="bottom"/>
            <w:hideMark/>
          </w:tcPr>
          <w:p w14:paraId="680F2D80"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r>
      <w:tr w:rsidR="00E07BE0" w:rsidRPr="00E07BE0" w14:paraId="6F10B076" w14:textId="77777777" w:rsidTr="00E07BE0">
        <w:trPr>
          <w:trHeight w:val="300"/>
        </w:trPr>
        <w:tc>
          <w:tcPr>
            <w:tcW w:w="960" w:type="dxa"/>
            <w:shd w:val="clear" w:color="auto" w:fill="auto"/>
            <w:noWrap/>
            <w:vAlign w:val="bottom"/>
            <w:hideMark/>
          </w:tcPr>
          <w:p w14:paraId="3312CCA4" w14:textId="77777777" w:rsidR="00E07BE0" w:rsidRPr="00E07BE0" w:rsidRDefault="00E07BE0" w:rsidP="00E07BE0">
            <w:pPr>
              <w:spacing w:after="0" w:line="240" w:lineRule="auto"/>
              <w:jc w:val="right"/>
              <w:rPr>
                <w:rFonts w:ascii="Calibri" w:eastAsia="Times New Roman" w:hAnsi="Calibri" w:cs="Calibri"/>
                <w:color w:val="000000"/>
                <w:lang w:eastAsia="en-CA"/>
              </w:rPr>
            </w:pPr>
          </w:p>
        </w:tc>
        <w:tc>
          <w:tcPr>
            <w:tcW w:w="2780" w:type="dxa"/>
            <w:shd w:val="clear" w:color="000000" w:fill="FCE4D6"/>
            <w:noWrap/>
            <w:vAlign w:val="bottom"/>
            <w:hideMark/>
          </w:tcPr>
          <w:p w14:paraId="73416F57"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Loan Payment</w:t>
            </w:r>
          </w:p>
        </w:tc>
        <w:tc>
          <w:tcPr>
            <w:tcW w:w="1060" w:type="dxa"/>
            <w:shd w:val="clear" w:color="auto" w:fill="auto"/>
            <w:noWrap/>
            <w:vAlign w:val="bottom"/>
            <w:hideMark/>
          </w:tcPr>
          <w:p w14:paraId="30594C8D"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c>
          <w:tcPr>
            <w:tcW w:w="1060" w:type="dxa"/>
            <w:shd w:val="clear" w:color="auto" w:fill="auto"/>
            <w:noWrap/>
            <w:vAlign w:val="bottom"/>
            <w:hideMark/>
          </w:tcPr>
          <w:p w14:paraId="6CDA7F15"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-5000</w:t>
            </w:r>
          </w:p>
        </w:tc>
        <w:tc>
          <w:tcPr>
            <w:tcW w:w="1060" w:type="dxa"/>
            <w:shd w:val="clear" w:color="auto" w:fill="auto"/>
            <w:noWrap/>
            <w:vAlign w:val="bottom"/>
            <w:hideMark/>
          </w:tcPr>
          <w:p w14:paraId="154A3BD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-5000</w:t>
            </w:r>
          </w:p>
        </w:tc>
        <w:tc>
          <w:tcPr>
            <w:tcW w:w="1720" w:type="dxa"/>
            <w:shd w:val="clear" w:color="auto" w:fill="auto"/>
            <w:noWrap/>
            <w:vAlign w:val="bottom"/>
            <w:hideMark/>
          </w:tcPr>
          <w:p w14:paraId="5BE79B9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-5000</w:t>
            </w:r>
          </w:p>
        </w:tc>
        <w:tc>
          <w:tcPr>
            <w:tcW w:w="1000" w:type="dxa"/>
            <w:shd w:val="clear" w:color="auto" w:fill="auto"/>
            <w:noWrap/>
            <w:vAlign w:val="bottom"/>
            <w:hideMark/>
          </w:tcPr>
          <w:p w14:paraId="5F482DC4"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-5000</w:t>
            </w:r>
          </w:p>
        </w:tc>
      </w:tr>
      <w:tr w:rsidR="00E07BE0" w:rsidRPr="00E07BE0" w14:paraId="493D9A2B" w14:textId="77777777" w:rsidTr="00E07BE0">
        <w:trPr>
          <w:trHeight w:val="300"/>
        </w:trPr>
        <w:tc>
          <w:tcPr>
            <w:tcW w:w="960" w:type="dxa"/>
            <w:shd w:val="clear" w:color="auto" w:fill="auto"/>
            <w:noWrap/>
            <w:vAlign w:val="bottom"/>
            <w:hideMark/>
          </w:tcPr>
          <w:p w14:paraId="6E4E8D29" w14:textId="77777777" w:rsidR="00E07BE0" w:rsidRPr="00E07BE0" w:rsidRDefault="00E07BE0" w:rsidP="00E07BE0">
            <w:pPr>
              <w:spacing w:after="0" w:line="240" w:lineRule="auto"/>
              <w:jc w:val="right"/>
              <w:rPr>
                <w:rFonts w:ascii="Calibri" w:eastAsia="Times New Roman" w:hAnsi="Calibri" w:cs="Calibri"/>
                <w:color w:val="000000"/>
                <w:lang w:eastAsia="en-CA"/>
              </w:rPr>
            </w:pPr>
          </w:p>
        </w:tc>
        <w:tc>
          <w:tcPr>
            <w:tcW w:w="2780" w:type="dxa"/>
            <w:shd w:val="clear" w:color="000000" w:fill="F2F2F2"/>
            <w:noWrap/>
            <w:vAlign w:val="bottom"/>
            <w:hideMark/>
          </w:tcPr>
          <w:p w14:paraId="568A461E"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Loans Owed</w:t>
            </w:r>
          </w:p>
        </w:tc>
        <w:tc>
          <w:tcPr>
            <w:tcW w:w="1060" w:type="dxa"/>
            <w:shd w:val="clear" w:color="auto" w:fill="auto"/>
            <w:noWrap/>
            <w:vAlign w:val="bottom"/>
            <w:hideMark/>
          </w:tcPr>
          <w:p w14:paraId="11B0E037"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20000</w:t>
            </w:r>
          </w:p>
        </w:tc>
        <w:tc>
          <w:tcPr>
            <w:tcW w:w="1060" w:type="dxa"/>
            <w:shd w:val="clear" w:color="auto" w:fill="auto"/>
            <w:noWrap/>
            <w:vAlign w:val="bottom"/>
            <w:hideMark/>
          </w:tcPr>
          <w:p w14:paraId="4996665C"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15000</w:t>
            </w:r>
          </w:p>
        </w:tc>
        <w:tc>
          <w:tcPr>
            <w:tcW w:w="1060" w:type="dxa"/>
            <w:shd w:val="clear" w:color="auto" w:fill="auto"/>
            <w:noWrap/>
            <w:vAlign w:val="bottom"/>
            <w:hideMark/>
          </w:tcPr>
          <w:p w14:paraId="29E1C318"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10000</w:t>
            </w:r>
          </w:p>
        </w:tc>
        <w:tc>
          <w:tcPr>
            <w:tcW w:w="1720" w:type="dxa"/>
            <w:shd w:val="clear" w:color="auto" w:fill="auto"/>
            <w:noWrap/>
            <w:vAlign w:val="bottom"/>
            <w:hideMark/>
          </w:tcPr>
          <w:p w14:paraId="55064A3B"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5000</w:t>
            </w:r>
          </w:p>
        </w:tc>
        <w:tc>
          <w:tcPr>
            <w:tcW w:w="1000" w:type="dxa"/>
            <w:shd w:val="clear" w:color="auto" w:fill="auto"/>
            <w:noWrap/>
            <w:vAlign w:val="bottom"/>
            <w:hideMark/>
          </w:tcPr>
          <w:p w14:paraId="6D5AA374"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0</w:t>
            </w:r>
          </w:p>
        </w:tc>
      </w:tr>
      <w:tr w:rsidR="00E07BE0" w:rsidRPr="00E07BE0" w14:paraId="5225D816" w14:textId="77777777" w:rsidTr="00E07BE0">
        <w:trPr>
          <w:trHeight w:val="525"/>
        </w:trPr>
        <w:tc>
          <w:tcPr>
            <w:tcW w:w="3740" w:type="dxa"/>
            <w:gridSpan w:val="2"/>
            <w:shd w:val="clear" w:color="000000" w:fill="4472C4"/>
            <w:noWrap/>
            <w:vAlign w:val="bottom"/>
            <w:hideMark/>
          </w:tcPr>
          <w:p w14:paraId="5B50355E" w14:textId="77777777" w:rsidR="00E07BE0" w:rsidRPr="00E07BE0" w:rsidRDefault="00E07BE0" w:rsidP="00E07BE0">
            <w:pPr>
              <w:spacing w:after="0" w:line="240" w:lineRule="auto"/>
              <w:rPr>
                <w:rFonts w:ascii="Calibri" w:eastAsia="Times New Roman" w:hAnsi="Calibri" w:cs="Calibri"/>
                <w:b/>
                <w:bCs/>
                <w:color w:val="FFFFFF"/>
                <w:sz w:val="40"/>
                <w:szCs w:val="40"/>
                <w:lang w:eastAsia="en-CA"/>
              </w:rPr>
            </w:pPr>
            <w:r w:rsidRPr="00E07BE0">
              <w:rPr>
                <w:rFonts w:ascii="Calibri" w:eastAsia="Times New Roman" w:hAnsi="Calibri" w:cs="Calibri"/>
                <w:b/>
                <w:bCs/>
                <w:color w:val="FFFFFF"/>
                <w:sz w:val="40"/>
                <w:szCs w:val="40"/>
                <w:lang w:eastAsia="en-CA"/>
              </w:rPr>
              <w:t>Net Cash Flow</w:t>
            </w:r>
          </w:p>
        </w:tc>
        <w:tc>
          <w:tcPr>
            <w:tcW w:w="1060" w:type="dxa"/>
            <w:shd w:val="clear" w:color="000000" w:fill="4472C4"/>
            <w:noWrap/>
            <w:vAlign w:val="bottom"/>
            <w:hideMark/>
          </w:tcPr>
          <w:p w14:paraId="2F1C3782" w14:textId="77777777" w:rsidR="00E07BE0" w:rsidRPr="00E07BE0" w:rsidRDefault="00E07BE0" w:rsidP="00E07BE0">
            <w:pPr>
              <w:spacing w:after="0" w:line="240" w:lineRule="auto"/>
              <w:jc w:val="right"/>
              <w:rPr>
                <w:rFonts w:ascii="Calibri" w:eastAsia="Times New Roman" w:hAnsi="Calibri" w:cs="Calibri"/>
                <w:color w:val="FFFFFF"/>
                <w:lang w:eastAsia="en-CA"/>
              </w:rPr>
            </w:pPr>
            <w:r w:rsidRPr="00E07BE0">
              <w:rPr>
                <w:rFonts w:ascii="Calibri" w:eastAsia="Times New Roman" w:hAnsi="Calibri" w:cs="Calibri"/>
                <w:color w:val="FFFFFF"/>
                <w:lang w:eastAsia="en-CA"/>
              </w:rPr>
              <w:t>37457.5</w:t>
            </w:r>
          </w:p>
        </w:tc>
        <w:tc>
          <w:tcPr>
            <w:tcW w:w="1060" w:type="dxa"/>
            <w:shd w:val="clear" w:color="000000" w:fill="4472C4"/>
            <w:noWrap/>
            <w:vAlign w:val="bottom"/>
            <w:hideMark/>
          </w:tcPr>
          <w:p w14:paraId="688A4054" w14:textId="77777777" w:rsidR="00E07BE0" w:rsidRPr="00E07BE0" w:rsidRDefault="00E07BE0" w:rsidP="00E07BE0">
            <w:pPr>
              <w:spacing w:after="0" w:line="240" w:lineRule="auto"/>
              <w:jc w:val="right"/>
              <w:rPr>
                <w:rFonts w:ascii="Calibri" w:eastAsia="Times New Roman" w:hAnsi="Calibri" w:cs="Calibri"/>
                <w:color w:val="FFFFFF"/>
                <w:lang w:eastAsia="en-CA"/>
              </w:rPr>
            </w:pPr>
            <w:r w:rsidRPr="00E07BE0">
              <w:rPr>
                <w:rFonts w:ascii="Calibri" w:eastAsia="Times New Roman" w:hAnsi="Calibri" w:cs="Calibri"/>
                <w:color w:val="FFFFFF"/>
                <w:lang w:eastAsia="en-CA"/>
              </w:rPr>
              <w:t>26932.5</w:t>
            </w:r>
          </w:p>
        </w:tc>
        <w:tc>
          <w:tcPr>
            <w:tcW w:w="1060" w:type="dxa"/>
            <w:shd w:val="clear" w:color="000000" w:fill="4472C4"/>
            <w:noWrap/>
            <w:vAlign w:val="bottom"/>
            <w:hideMark/>
          </w:tcPr>
          <w:p w14:paraId="1AD2C902" w14:textId="77777777" w:rsidR="00E07BE0" w:rsidRPr="00E07BE0" w:rsidRDefault="00E07BE0" w:rsidP="00E07BE0">
            <w:pPr>
              <w:spacing w:after="0" w:line="240" w:lineRule="auto"/>
              <w:jc w:val="right"/>
              <w:rPr>
                <w:rFonts w:ascii="Calibri" w:eastAsia="Times New Roman" w:hAnsi="Calibri" w:cs="Calibri"/>
                <w:color w:val="FFFFFF"/>
                <w:lang w:eastAsia="en-CA"/>
              </w:rPr>
            </w:pPr>
            <w:r w:rsidRPr="00E07BE0">
              <w:rPr>
                <w:rFonts w:ascii="Calibri" w:eastAsia="Times New Roman" w:hAnsi="Calibri" w:cs="Calibri"/>
                <w:color w:val="FFFFFF"/>
                <w:lang w:eastAsia="en-CA"/>
              </w:rPr>
              <w:t>43142.5</w:t>
            </w:r>
          </w:p>
        </w:tc>
        <w:tc>
          <w:tcPr>
            <w:tcW w:w="1720" w:type="dxa"/>
            <w:shd w:val="clear" w:color="000000" w:fill="4472C4"/>
            <w:noWrap/>
            <w:vAlign w:val="bottom"/>
            <w:hideMark/>
          </w:tcPr>
          <w:p w14:paraId="23761A2F" w14:textId="77777777" w:rsidR="00E07BE0" w:rsidRPr="00E07BE0" w:rsidRDefault="00E07BE0" w:rsidP="00E07BE0">
            <w:pPr>
              <w:spacing w:after="0" w:line="240" w:lineRule="auto"/>
              <w:jc w:val="right"/>
              <w:rPr>
                <w:rFonts w:ascii="Calibri" w:eastAsia="Times New Roman" w:hAnsi="Calibri" w:cs="Calibri"/>
                <w:color w:val="FFFFFF"/>
                <w:lang w:eastAsia="en-CA"/>
              </w:rPr>
            </w:pPr>
            <w:r w:rsidRPr="00E07BE0">
              <w:rPr>
                <w:rFonts w:ascii="Calibri" w:eastAsia="Times New Roman" w:hAnsi="Calibri" w:cs="Calibri"/>
                <w:color w:val="FFFFFF"/>
                <w:lang w:eastAsia="en-CA"/>
              </w:rPr>
              <w:t>77047.5</w:t>
            </w:r>
          </w:p>
        </w:tc>
        <w:tc>
          <w:tcPr>
            <w:tcW w:w="1000" w:type="dxa"/>
            <w:shd w:val="clear" w:color="000000" w:fill="4472C4"/>
            <w:noWrap/>
            <w:vAlign w:val="bottom"/>
            <w:hideMark/>
          </w:tcPr>
          <w:p w14:paraId="04D7495B" w14:textId="77777777" w:rsidR="00E07BE0" w:rsidRPr="00E07BE0" w:rsidRDefault="00E07BE0" w:rsidP="00E07BE0">
            <w:pPr>
              <w:spacing w:after="0" w:line="240" w:lineRule="auto"/>
              <w:jc w:val="right"/>
              <w:rPr>
                <w:rFonts w:ascii="Calibri" w:eastAsia="Times New Roman" w:hAnsi="Calibri" w:cs="Calibri"/>
                <w:color w:val="FFFFFF"/>
                <w:lang w:eastAsia="en-CA"/>
              </w:rPr>
            </w:pPr>
            <w:r w:rsidRPr="00E07BE0">
              <w:rPr>
                <w:rFonts w:ascii="Calibri" w:eastAsia="Times New Roman" w:hAnsi="Calibri" w:cs="Calibri"/>
                <w:color w:val="FFFFFF"/>
                <w:lang w:eastAsia="en-CA"/>
              </w:rPr>
              <w:t>109560</w:t>
            </w:r>
          </w:p>
        </w:tc>
      </w:tr>
      <w:tr w:rsidR="00E07BE0" w:rsidRPr="00E07BE0" w14:paraId="1F46D1A0" w14:textId="77777777" w:rsidTr="00E07BE0">
        <w:trPr>
          <w:trHeight w:val="315"/>
        </w:trPr>
        <w:tc>
          <w:tcPr>
            <w:tcW w:w="960" w:type="dxa"/>
            <w:shd w:val="clear" w:color="auto" w:fill="auto"/>
            <w:noWrap/>
            <w:vAlign w:val="bottom"/>
            <w:hideMark/>
          </w:tcPr>
          <w:p w14:paraId="10DFAE65" w14:textId="77777777" w:rsidR="00E07BE0" w:rsidRPr="00E07BE0" w:rsidRDefault="00E07BE0" w:rsidP="00E07BE0">
            <w:pPr>
              <w:spacing w:after="0" w:line="240" w:lineRule="auto"/>
              <w:jc w:val="right"/>
              <w:rPr>
                <w:rFonts w:ascii="Calibri" w:eastAsia="Times New Roman" w:hAnsi="Calibri" w:cs="Calibri"/>
                <w:color w:val="FFFFFF"/>
                <w:lang w:eastAsia="en-CA"/>
              </w:rPr>
            </w:pPr>
          </w:p>
        </w:tc>
        <w:tc>
          <w:tcPr>
            <w:tcW w:w="2780" w:type="dxa"/>
            <w:shd w:val="clear" w:color="auto" w:fill="auto"/>
            <w:noWrap/>
            <w:vAlign w:val="bottom"/>
            <w:hideMark/>
          </w:tcPr>
          <w:p w14:paraId="70320978"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4AA223F3"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4949F5B9"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356488E2"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tcBorders>
              <w:bottom w:val="single" w:sz="4" w:space="0" w:color="auto"/>
            </w:tcBorders>
            <w:shd w:val="clear" w:color="auto" w:fill="auto"/>
            <w:noWrap/>
            <w:vAlign w:val="bottom"/>
            <w:hideMark/>
          </w:tcPr>
          <w:p w14:paraId="6CE4154C"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00" w:type="dxa"/>
            <w:tcBorders>
              <w:bottom w:val="single" w:sz="4" w:space="0" w:color="auto"/>
            </w:tcBorders>
            <w:shd w:val="clear" w:color="auto" w:fill="auto"/>
            <w:noWrap/>
            <w:vAlign w:val="bottom"/>
            <w:hideMark/>
          </w:tcPr>
          <w:p w14:paraId="05120497"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r>
      <w:tr w:rsidR="00E07BE0" w:rsidRPr="00E07BE0" w14:paraId="58890BB8" w14:textId="77777777" w:rsidTr="00E07BE0">
        <w:trPr>
          <w:trHeight w:val="315"/>
        </w:trPr>
        <w:tc>
          <w:tcPr>
            <w:tcW w:w="960" w:type="dxa"/>
            <w:shd w:val="clear" w:color="auto" w:fill="auto"/>
            <w:noWrap/>
            <w:vAlign w:val="bottom"/>
            <w:hideMark/>
          </w:tcPr>
          <w:p w14:paraId="7AE4A683"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2780" w:type="dxa"/>
            <w:shd w:val="clear" w:color="auto" w:fill="auto"/>
            <w:noWrap/>
            <w:vAlign w:val="bottom"/>
            <w:hideMark/>
          </w:tcPr>
          <w:p w14:paraId="30D4E30E"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7217667A"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06C340B9"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0B96A9FD"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D0CECE" w:themeFill="background2" w:themeFillShade="E6"/>
            <w:noWrap/>
            <w:vAlign w:val="bottom"/>
            <w:hideMark/>
          </w:tcPr>
          <w:p w14:paraId="2E040BE7"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Pricing Details</w:t>
            </w:r>
          </w:p>
        </w:tc>
        <w:tc>
          <w:tcPr>
            <w:tcW w:w="1000" w:type="dxa"/>
            <w:shd w:val="clear" w:color="auto" w:fill="D0CECE" w:themeFill="background2" w:themeFillShade="E6"/>
            <w:noWrap/>
            <w:vAlign w:val="bottom"/>
            <w:hideMark/>
          </w:tcPr>
          <w:p w14:paraId="6C497136"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Price</w:t>
            </w:r>
          </w:p>
        </w:tc>
      </w:tr>
      <w:tr w:rsidR="00E07BE0" w:rsidRPr="00E07BE0" w14:paraId="2CCD6639" w14:textId="77777777" w:rsidTr="00E07BE0">
        <w:trPr>
          <w:trHeight w:val="300"/>
        </w:trPr>
        <w:tc>
          <w:tcPr>
            <w:tcW w:w="960" w:type="dxa"/>
            <w:shd w:val="clear" w:color="auto" w:fill="auto"/>
            <w:noWrap/>
            <w:vAlign w:val="bottom"/>
            <w:hideMark/>
          </w:tcPr>
          <w:p w14:paraId="1C93694A" w14:textId="77777777" w:rsidR="00E07BE0" w:rsidRPr="00E07BE0" w:rsidRDefault="00E07BE0" w:rsidP="00E07BE0">
            <w:pPr>
              <w:spacing w:after="0" w:line="240" w:lineRule="auto"/>
              <w:rPr>
                <w:rFonts w:ascii="Calibri" w:eastAsia="Times New Roman" w:hAnsi="Calibri" w:cs="Calibri"/>
                <w:color w:val="000000"/>
                <w:lang w:eastAsia="en-CA"/>
              </w:rPr>
            </w:pPr>
          </w:p>
        </w:tc>
        <w:tc>
          <w:tcPr>
            <w:tcW w:w="2780" w:type="dxa"/>
            <w:shd w:val="clear" w:color="auto" w:fill="auto"/>
            <w:noWrap/>
            <w:vAlign w:val="bottom"/>
            <w:hideMark/>
          </w:tcPr>
          <w:p w14:paraId="5E3AEE62"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15D80FC7"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1CE20788"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2647B5C3"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D0CECE" w:themeFill="background2" w:themeFillShade="E6"/>
            <w:noWrap/>
            <w:vAlign w:val="bottom"/>
            <w:hideMark/>
          </w:tcPr>
          <w:p w14:paraId="2814CD03"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Hardware Cost</w:t>
            </w:r>
          </w:p>
        </w:tc>
        <w:tc>
          <w:tcPr>
            <w:tcW w:w="1000" w:type="dxa"/>
            <w:shd w:val="clear" w:color="auto" w:fill="D0CECE" w:themeFill="background2" w:themeFillShade="E6"/>
            <w:noWrap/>
            <w:vAlign w:val="bottom"/>
            <w:hideMark/>
          </w:tcPr>
          <w:p w14:paraId="4109B765" w14:textId="463B6D5A"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111.5</w:t>
            </w:r>
            <w:r w:rsidR="00117E1F">
              <w:rPr>
                <w:rFonts w:ascii="Calibri" w:eastAsia="Times New Roman" w:hAnsi="Calibri" w:cs="Calibri"/>
                <w:color w:val="000000"/>
                <w:lang w:eastAsia="en-CA"/>
              </w:rPr>
              <w:t>0</w:t>
            </w:r>
          </w:p>
        </w:tc>
      </w:tr>
      <w:tr w:rsidR="00E07BE0" w:rsidRPr="00E07BE0" w14:paraId="029255A9" w14:textId="77777777" w:rsidTr="00E07BE0">
        <w:trPr>
          <w:trHeight w:val="300"/>
        </w:trPr>
        <w:tc>
          <w:tcPr>
            <w:tcW w:w="960" w:type="dxa"/>
            <w:shd w:val="clear" w:color="auto" w:fill="auto"/>
            <w:noWrap/>
            <w:vAlign w:val="bottom"/>
            <w:hideMark/>
          </w:tcPr>
          <w:p w14:paraId="5ED76BF3" w14:textId="77777777" w:rsidR="00E07BE0" w:rsidRPr="00E07BE0" w:rsidRDefault="00E07BE0" w:rsidP="00E07BE0">
            <w:pPr>
              <w:spacing w:after="0" w:line="240" w:lineRule="auto"/>
              <w:jc w:val="right"/>
              <w:rPr>
                <w:rFonts w:ascii="Calibri" w:eastAsia="Times New Roman" w:hAnsi="Calibri" w:cs="Calibri"/>
                <w:color w:val="000000"/>
                <w:lang w:eastAsia="en-CA"/>
              </w:rPr>
            </w:pPr>
          </w:p>
        </w:tc>
        <w:tc>
          <w:tcPr>
            <w:tcW w:w="2780" w:type="dxa"/>
            <w:shd w:val="clear" w:color="auto" w:fill="auto"/>
            <w:noWrap/>
            <w:vAlign w:val="bottom"/>
            <w:hideMark/>
          </w:tcPr>
          <w:p w14:paraId="095541EA"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26CE726B"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5908467D"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2D851E86"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D0CECE" w:themeFill="background2" w:themeFillShade="E6"/>
            <w:noWrap/>
            <w:vAlign w:val="bottom"/>
            <w:hideMark/>
          </w:tcPr>
          <w:p w14:paraId="66F0D0D8"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Hardware Retail</w:t>
            </w:r>
          </w:p>
        </w:tc>
        <w:tc>
          <w:tcPr>
            <w:tcW w:w="1000" w:type="dxa"/>
            <w:shd w:val="clear" w:color="auto" w:fill="D0CECE" w:themeFill="background2" w:themeFillShade="E6"/>
            <w:noWrap/>
            <w:vAlign w:val="bottom"/>
            <w:hideMark/>
          </w:tcPr>
          <w:p w14:paraId="3F88EA53"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500</w:t>
            </w:r>
          </w:p>
        </w:tc>
      </w:tr>
      <w:tr w:rsidR="00E07BE0" w:rsidRPr="00E07BE0" w14:paraId="42EAE75D" w14:textId="77777777" w:rsidTr="00E07BE0">
        <w:trPr>
          <w:trHeight w:val="300"/>
        </w:trPr>
        <w:tc>
          <w:tcPr>
            <w:tcW w:w="960" w:type="dxa"/>
            <w:shd w:val="clear" w:color="auto" w:fill="auto"/>
            <w:noWrap/>
            <w:vAlign w:val="bottom"/>
            <w:hideMark/>
          </w:tcPr>
          <w:p w14:paraId="42ECF043" w14:textId="77777777" w:rsidR="00E07BE0" w:rsidRPr="00E07BE0" w:rsidRDefault="00E07BE0" w:rsidP="00E07BE0">
            <w:pPr>
              <w:spacing w:after="0" w:line="240" w:lineRule="auto"/>
              <w:jc w:val="right"/>
              <w:rPr>
                <w:rFonts w:ascii="Calibri" w:eastAsia="Times New Roman" w:hAnsi="Calibri" w:cs="Calibri"/>
                <w:color w:val="000000"/>
                <w:lang w:eastAsia="en-CA"/>
              </w:rPr>
            </w:pPr>
          </w:p>
        </w:tc>
        <w:tc>
          <w:tcPr>
            <w:tcW w:w="2780" w:type="dxa"/>
            <w:shd w:val="clear" w:color="auto" w:fill="auto"/>
            <w:noWrap/>
            <w:vAlign w:val="bottom"/>
            <w:hideMark/>
          </w:tcPr>
          <w:p w14:paraId="16CA193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6235A8B8"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3F9689F6"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0D378A85"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D0CECE" w:themeFill="background2" w:themeFillShade="E6"/>
            <w:noWrap/>
            <w:vAlign w:val="bottom"/>
            <w:hideMark/>
          </w:tcPr>
          <w:p w14:paraId="26C9D63A"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 xml:space="preserve">Software Retail </w:t>
            </w:r>
          </w:p>
        </w:tc>
        <w:tc>
          <w:tcPr>
            <w:tcW w:w="1000" w:type="dxa"/>
            <w:shd w:val="clear" w:color="auto" w:fill="D0CECE" w:themeFill="background2" w:themeFillShade="E6"/>
            <w:noWrap/>
            <w:vAlign w:val="bottom"/>
            <w:hideMark/>
          </w:tcPr>
          <w:p w14:paraId="282C349B"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10</w:t>
            </w:r>
          </w:p>
        </w:tc>
      </w:tr>
      <w:tr w:rsidR="00E07BE0" w:rsidRPr="00E07BE0" w14:paraId="531DD19C" w14:textId="77777777" w:rsidTr="00E07BE0">
        <w:trPr>
          <w:trHeight w:val="315"/>
        </w:trPr>
        <w:tc>
          <w:tcPr>
            <w:tcW w:w="960" w:type="dxa"/>
            <w:shd w:val="clear" w:color="auto" w:fill="auto"/>
            <w:noWrap/>
            <w:vAlign w:val="bottom"/>
            <w:hideMark/>
          </w:tcPr>
          <w:p w14:paraId="48BAB872" w14:textId="77777777" w:rsidR="00E07BE0" w:rsidRPr="00E07BE0" w:rsidRDefault="00E07BE0" w:rsidP="00E07BE0">
            <w:pPr>
              <w:spacing w:after="0" w:line="240" w:lineRule="auto"/>
              <w:jc w:val="right"/>
              <w:rPr>
                <w:rFonts w:ascii="Calibri" w:eastAsia="Times New Roman" w:hAnsi="Calibri" w:cs="Calibri"/>
                <w:color w:val="000000"/>
                <w:lang w:eastAsia="en-CA"/>
              </w:rPr>
            </w:pPr>
          </w:p>
        </w:tc>
        <w:tc>
          <w:tcPr>
            <w:tcW w:w="2780" w:type="dxa"/>
            <w:shd w:val="clear" w:color="auto" w:fill="auto"/>
            <w:noWrap/>
            <w:vAlign w:val="bottom"/>
            <w:hideMark/>
          </w:tcPr>
          <w:p w14:paraId="3E42C93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232D96ED"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2703BD11"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060" w:type="dxa"/>
            <w:shd w:val="clear" w:color="auto" w:fill="auto"/>
            <w:noWrap/>
            <w:vAlign w:val="bottom"/>
            <w:hideMark/>
          </w:tcPr>
          <w:p w14:paraId="55790D24" w14:textId="77777777" w:rsidR="00E07BE0" w:rsidRPr="00E07BE0" w:rsidRDefault="00E07BE0" w:rsidP="00E07BE0">
            <w:pPr>
              <w:spacing w:after="0" w:line="240" w:lineRule="auto"/>
              <w:rPr>
                <w:rFonts w:ascii="Times New Roman" w:eastAsia="Times New Roman" w:hAnsi="Times New Roman" w:cs="Times New Roman"/>
                <w:sz w:val="20"/>
                <w:szCs w:val="20"/>
                <w:lang w:eastAsia="en-CA"/>
              </w:rPr>
            </w:pPr>
          </w:p>
        </w:tc>
        <w:tc>
          <w:tcPr>
            <w:tcW w:w="1720" w:type="dxa"/>
            <w:shd w:val="clear" w:color="auto" w:fill="D0CECE" w:themeFill="background2" w:themeFillShade="E6"/>
            <w:noWrap/>
            <w:vAlign w:val="bottom"/>
            <w:hideMark/>
          </w:tcPr>
          <w:p w14:paraId="1FFA015C" w14:textId="77777777" w:rsidR="00E07BE0" w:rsidRPr="00E07BE0" w:rsidRDefault="00E07BE0" w:rsidP="00E07BE0">
            <w:pPr>
              <w:spacing w:after="0" w:line="240" w:lineRule="auto"/>
              <w:rPr>
                <w:rFonts w:ascii="Calibri" w:eastAsia="Times New Roman" w:hAnsi="Calibri" w:cs="Calibri"/>
                <w:color w:val="000000"/>
                <w:lang w:eastAsia="en-CA"/>
              </w:rPr>
            </w:pPr>
            <w:r w:rsidRPr="00E07BE0">
              <w:rPr>
                <w:rFonts w:ascii="Calibri" w:eastAsia="Times New Roman" w:hAnsi="Calibri" w:cs="Calibri"/>
                <w:color w:val="000000"/>
                <w:lang w:eastAsia="en-CA"/>
              </w:rPr>
              <w:t>Labour Cost</w:t>
            </w:r>
          </w:p>
        </w:tc>
        <w:tc>
          <w:tcPr>
            <w:tcW w:w="1000" w:type="dxa"/>
            <w:shd w:val="clear" w:color="auto" w:fill="D0CECE" w:themeFill="background2" w:themeFillShade="E6"/>
            <w:noWrap/>
            <w:vAlign w:val="bottom"/>
            <w:hideMark/>
          </w:tcPr>
          <w:p w14:paraId="5512F3BF" w14:textId="77777777" w:rsidR="00E07BE0" w:rsidRPr="00E07BE0" w:rsidRDefault="00E07BE0" w:rsidP="00E07BE0">
            <w:pPr>
              <w:spacing w:after="0" w:line="240" w:lineRule="auto"/>
              <w:jc w:val="right"/>
              <w:rPr>
                <w:rFonts w:ascii="Calibri" w:eastAsia="Times New Roman" w:hAnsi="Calibri" w:cs="Calibri"/>
                <w:color w:val="000000"/>
                <w:lang w:eastAsia="en-CA"/>
              </w:rPr>
            </w:pPr>
            <w:r w:rsidRPr="00E07BE0">
              <w:rPr>
                <w:rFonts w:ascii="Calibri" w:eastAsia="Times New Roman" w:hAnsi="Calibri" w:cs="Calibri"/>
                <w:color w:val="000000"/>
                <w:lang w:eastAsia="en-CA"/>
              </w:rPr>
              <w:t>20</w:t>
            </w:r>
          </w:p>
        </w:tc>
      </w:tr>
    </w:tbl>
    <w:p w14:paraId="25CCD66F" w14:textId="77777777" w:rsidR="00E07BE0" w:rsidRPr="00E07BE0" w:rsidRDefault="00E07BE0" w:rsidP="00E07BE0"/>
    <w:sectPr w:rsidR="00E07BE0" w:rsidRPr="00E07BE0">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FA114" w14:textId="77777777" w:rsidR="00923D2D" w:rsidRDefault="00923D2D" w:rsidP="00E94DB1">
      <w:pPr>
        <w:spacing w:after="0" w:line="240" w:lineRule="auto"/>
      </w:pPr>
      <w:r>
        <w:separator/>
      </w:r>
    </w:p>
  </w:endnote>
  <w:endnote w:type="continuationSeparator" w:id="0">
    <w:p w14:paraId="05CF199F" w14:textId="77777777" w:rsidR="00923D2D" w:rsidRDefault="00923D2D" w:rsidP="00E9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4A173" w14:textId="61E1B49E" w:rsidR="00E94DB1" w:rsidRDefault="00E94DB1">
    <w:pPr>
      <w:pStyle w:val="Footer"/>
    </w:pPr>
    <w:r>
      <w:t>2020-04-16</w:t>
    </w:r>
    <w:r>
      <w:tab/>
      <w:t>400138679</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15C9C" w14:textId="77777777" w:rsidR="00923D2D" w:rsidRDefault="00923D2D" w:rsidP="00E94DB1">
      <w:pPr>
        <w:spacing w:after="0" w:line="240" w:lineRule="auto"/>
      </w:pPr>
      <w:r>
        <w:separator/>
      </w:r>
    </w:p>
  </w:footnote>
  <w:footnote w:type="continuationSeparator" w:id="0">
    <w:p w14:paraId="1D1177A3" w14:textId="77777777" w:rsidR="00923D2D" w:rsidRDefault="00923D2D" w:rsidP="00E9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6D07F" w14:textId="0A7520E3" w:rsidR="00E94DB1" w:rsidRDefault="00E94DB1">
    <w:pPr>
      <w:pStyle w:val="Header"/>
    </w:pPr>
    <w:r>
      <w:tab/>
      <w:t>IBEHS 3P04: A4</w:t>
    </w:r>
    <w:r>
      <w:tab/>
    </w:r>
    <w:r w:rsidR="00DD5228">
      <w:t>Jeff Suitor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97699"/>
    <w:multiLevelType w:val="hybridMultilevel"/>
    <w:tmpl w:val="5C92A7E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9F2591"/>
    <w:multiLevelType w:val="hybridMultilevel"/>
    <w:tmpl w:val="46EAD85C"/>
    <w:lvl w:ilvl="0" w:tplc="C9AEC0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424F3C"/>
    <w:multiLevelType w:val="hybridMultilevel"/>
    <w:tmpl w:val="E3E08F20"/>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BB0BB9"/>
    <w:multiLevelType w:val="multilevel"/>
    <w:tmpl w:val="10090027"/>
    <w:lvl w:ilvl="0">
      <w:start w:val="1"/>
      <w:numFmt w:val="upperRoman"/>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50E94418"/>
    <w:multiLevelType w:val="hybridMultilevel"/>
    <w:tmpl w:val="2384F65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D8"/>
    <w:rsid w:val="00117E1F"/>
    <w:rsid w:val="00125A21"/>
    <w:rsid w:val="00166172"/>
    <w:rsid w:val="003723D8"/>
    <w:rsid w:val="004D5AC6"/>
    <w:rsid w:val="00517023"/>
    <w:rsid w:val="005E523F"/>
    <w:rsid w:val="008F0BC2"/>
    <w:rsid w:val="00923D2D"/>
    <w:rsid w:val="00A96940"/>
    <w:rsid w:val="00AB7345"/>
    <w:rsid w:val="00AC7218"/>
    <w:rsid w:val="00B25384"/>
    <w:rsid w:val="00B52987"/>
    <w:rsid w:val="00B73DA9"/>
    <w:rsid w:val="00B93707"/>
    <w:rsid w:val="00C916C4"/>
    <w:rsid w:val="00D41080"/>
    <w:rsid w:val="00DD276A"/>
    <w:rsid w:val="00DD5228"/>
    <w:rsid w:val="00E07BE0"/>
    <w:rsid w:val="00E94DB1"/>
    <w:rsid w:val="00F953E2"/>
    <w:rsid w:val="00FD3C9D"/>
    <w:rsid w:val="00FE4A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E6895"/>
  <w15:chartTrackingRefBased/>
  <w15:docId w15:val="{3FD599AD-4774-419B-95F8-7403986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3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3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23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23D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723D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723D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723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3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3D8"/>
    <w:pPr>
      <w:ind w:left="720"/>
      <w:contextualSpacing/>
    </w:pPr>
  </w:style>
  <w:style w:type="character" w:customStyle="1" w:styleId="Heading1Char">
    <w:name w:val="Heading 1 Char"/>
    <w:basedOn w:val="DefaultParagraphFont"/>
    <w:link w:val="Heading1"/>
    <w:uiPriority w:val="9"/>
    <w:rsid w:val="005E52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3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3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723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723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723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723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723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3D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17023"/>
    <w:rPr>
      <w:color w:val="0000FF"/>
      <w:u w:val="single"/>
    </w:rPr>
  </w:style>
  <w:style w:type="character" w:styleId="UnresolvedMention">
    <w:name w:val="Unresolved Mention"/>
    <w:basedOn w:val="DefaultParagraphFont"/>
    <w:uiPriority w:val="99"/>
    <w:semiHidden/>
    <w:unhideWhenUsed/>
    <w:rsid w:val="00517023"/>
    <w:rPr>
      <w:color w:val="605E5C"/>
      <w:shd w:val="clear" w:color="auto" w:fill="E1DFDD"/>
    </w:rPr>
  </w:style>
  <w:style w:type="table" w:styleId="TableGrid">
    <w:name w:val="Table Grid"/>
    <w:basedOn w:val="TableNormal"/>
    <w:uiPriority w:val="39"/>
    <w:rsid w:val="00E9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DB1"/>
  </w:style>
  <w:style w:type="paragraph" w:styleId="Footer">
    <w:name w:val="footer"/>
    <w:basedOn w:val="Normal"/>
    <w:link w:val="FooterChar"/>
    <w:uiPriority w:val="99"/>
    <w:unhideWhenUsed/>
    <w:rsid w:val="00E9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DB1"/>
  </w:style>
  <w:style w:type="paragraph" w:styleId="BalloonText">
    <w:name w:val="Balloon Text"/>
    <w:basedOn w:val="Normal"/>
    <w:link w:val="BalloonTextChar"/>
    <w:uiPriority w:val="99"/>
    <w:semiHidden/>
    <w:unhideWhenUsed/>
    <w:rsid w:val="001661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61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210415">
      <w:bodyDiv w:val="1"/>
      <w:marLeft w:val="0"/>
      <w:marRight w:val="0"/>
      <w:marTop w:val="0"/>
      <w:marBottom w:val="0"/>
      <w:divBdr>
        <w:top w:val="none" w:sz="0" w:space="0" w:color="auto"/>
        <w:left w:val="none" w:sz="0" w:space="0" w:color="auto"/>
        <w:bottom w:val="none" w:sz="0" w:space="0" w:color="auto"/>
        <w:right w:val="none" w:sz="0" w:space="0" w:color="auto"/>
      </w:divBdr>
    </w:div>
    <w:div w:id="14048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fr\Desktop\3P04\A4\cash_flo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GastroCroc</a:t>
            </a:r>
            <a:r>
              <a:rPr lang="en-CA" baseline="0"/>
              <a:t> Cash Flow Diagram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Sheet1!$D$12</c:f>
              <c:strCache>
                <c:ptCount val="1"/>
                <c:pt idx="0">
                  <c:v>Hardware Purchase</c:v>
                </c:pt>
              </c:strCache>
            </c:strRef>
          </c:tx>
          <c:spPr>
            <a:solidFill>
              <a:schemeClr val="accent1"/>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Sheet1!$E$12:$I$12</c:f>
              <c:numCache>
                <c:formatCode>General</c:formatCode>
                <c:ptCount val="5"/>
                <c:pt idx="0">
                  <c:v>2500</c:v>
                </c:pt>
                <c:pt idx="1">
                  <c:v>7500</c:v>
                </c:pt>
                <c:pt idx="2">
                  <c:v>17500</c:v>
                </c:pt>
                <c:pt idx="3">
                  <c:v>32500</c:v>
                </c:pt>
                <c:pt idx="4">
                  <c:v>40000</c:v>
                </c:pt>
              </c:numCache>
            </c:numRef>
          </c:val>
          <c:extLst>
            <c:ext xmlns:c16="http://schemas.microsoft.com/office/drawing/2014/chart" uri="{C3380CC4-5D6E-409C-BE32-E72D297353CC}">
              <c16:uniqueId val="{00000000-55B1-47B5-9A86-7F01DA99AE6C}"/>
            </c:ext>
          </c:extLst>
        </c:ser>
        <c:ser>
          <c:idx val="1"/>
          <c:order val="1"/>
          <c:tx>
            <c:strRef>
              <c:f>Sheet1!$D$13</c:f>
              <c:strCache>
                <c:ptCount val="1"/>
                <c:pt idx="0">
                  <c:v>Software Purchase</c:v>
                </c:pt>
              </c:strCache>
            </c:strRef>
          </c:tx>
          <c:spPr>
            <a:solidFill>
              <a:schemeClr val="accent2"/>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Sheet1!$E$13:$I$13</c:f>
              <c:numCache>
                <c:formatCode>General</c:formatCode>
                <c:ptCount val="5"/>
                <c:pt idx="0">
                  <c:v>1200</c:v>
                </c:pt>
                <c:pt idx="1">
                  <c:v>2760</c:v>
                </c:pt>
                <c:pt idx="2">
                  <c:v>6240</c:v>
                </c:pt>
                <c:pt idx="3">
                  <c:v>12600</c:v>
                </c:pt>
                <c:pt idx="4">
                  <c:v>20040</c:v>
                </c:pt>
              </c:numCache>
            </c:numRef>
          </c:val>
          <c:extLst>
            <c:ext xmlns:c16="http://schemas.microsoft.com/office/drawing/2014/chart" uri="{C3380CC4-5D6E-409C-BE32-E72D297353CC}">
              <c16:uniqueId val="{00000001-55B1-47B5-9A86-7F01DA99AE6C}"/>
            </c:ext>
          </c:extLst>
        </c:ser>
        <c:ser>
          <c:idx val="2"/>
          <c:order val="2"/>
          <c:tx>
            <c:strRef>
              <c:f>Sheet1!$D$15</c:f>
              <c:strCache>
                <c:ptCount val="1"/>
                <c:pt idx="0">
                  <c:v>Materials</c:v>
                </c:pt>
              </c:strCache>
            </c:strRef>
          </c:tx>
          <c:spPr>
            <a:solidFill>
              <a:schemeClr val="accent3"/>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Sheet1!$E$15:$I$15</c:f>
              <c:numCache>
                <c:formatCode>General</c:formatCode>
                <c:ptCount val="5"/>
                <c:pt idx="0">
                  <c:v>-557.5</c:v>
                </c:pt>
                <c:pt idx="1">
                  <c:v>-1672.5</c:v>
                </c:pt>
                <c:pt idx="2">
                  <c:v>-3902.5</c:v>
                </c:pt>
                <c:pt idx="3">
                  <c:v>-7247.5</c:v>
                </c:pt>
                <c:pt idx="4">
                  <c:v>-8920</c:v>
                </c:pt>
              </c:numCache>
            </c:numRef>
          </c:val>
          <c:extLst>
            <c:ext xmlns:c16="http://schemas.microsoft.com/office/drawing/2014/chart" uri="{C3380CC4-5D6E-409C-BE32-E72D297353CC}">
              <c16:uniqueId val="{00000002-55B1-47B5-9A86-7F01DA99AE6C}"/>
            </c:ext>
          </c:extLst>
        </c:ser>
        <c:ser>
          <c:idx val="3"/>
          <c:order val="3"/>
          <c:tx>
            <c:strRef>
              <c:f>Sheet1!$D$16</c:f>
              <c:strCache>
                <c:ptCount val="1"/>
                <c:pt idx="0">
                  <c:v>Labour</c:v>
                </c:pt>
              </c:strCache>
            </c:strRef>
          </c:tx>
          <c:spPr>
            <a:solidFill>
              <a:schemeClr val="accent4"/>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Sheet1!$E$16:$I$16</c:f>
              <c:numCache>
                <c:formatCode>General</c:formatCode>
                <c:ptCount val="5"/>
                <c:pt idx="0">
                  <c:v>-100</c:v>
                </c:pt>
                <c:pt idx="1">
                  <c:v>-300</c:v>
                </c:pt>
                <c:pt idx="2">
                  <c:v>-700</c:v>
                </c:pt>
                <c:pt idx="3">
                  <c:v>-1300</c:v>
                </c:pt>
                <c:pt idx="4">
                  <c:v>-1600</c:v>
                </c:pt>
              </c:numCache>
            </c:numRef>
          </c:val>
          <c:extLst>
            <c:ext xmlns:c16="http://schemas.microsoft.com/office/drawing/2014/chart" uri="{C3380CC4-5D6E-409C-BE32-E72D297353CC}">
              <c16:uniqueId val="{00000003-55B1-47B5-9A86-7F01DA99AE6C}"/>
            </c:ext>
          </c:extLst>
        </c:ser>
        <c:ser>
          <c:idx val="4"/>
          <c:order val="4"/>
          <c:tx>
            <c:strRef>
              <c:f>Sheet1!$D$17</c:f>
              <c:strCache>
                <c:ptCount val="1"/>
                <c:pt idx="0">
                  <c:v>Administration</c:v>
                </c:pt>
              </c:strCache>
            </c:strRef>
          </c:tx>
          <c:spPr>
            <a:solidFill>
              <a:schemeClr val="accent5"/>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Sheet1!$E$17:$I$17</c:f>
              <c:numCache>
                <c:formatCode>General</c:formatCode>
                <c:ptCount val="5"/>
                <c:pt idx="0">
                  <c:v>-500</c:v>
                </c:pt>
                <c:pt idx="1">
                  <c:v>-500</c:v>
                </c:pt>
                <c:pt idx="2">
                  <c:v>-1000</c:v>
                </c:pt>
                <c:pt idx="3">
                  <c:v>-2000</c:v>
                </c:pt>
                <c:pt idx="4">
                  <c:v>-2000</c:v>
                </c:pt>
              </c:numCache>
            </c:numRef>
          </c:val>
          <c:extLst>
            <c:ext xmlns:c16="http://schemas.microsoft.com/office/drawing/2014/chart" uri="{C3380CC4-5D6E-409C-BE32-E72D297353CC}">
              <c16:uniqueId val="{00000004-55B1-47B5-9A86-7F01DA99AE6C}"/>
            </c:ext>
          </c:extLst>
        </c:ser>
        <c:ser>
          <c:idx val="5"/>
          <c:order val="5"/>
          <c:tx>
            <c:strRef>
              <c:f>Sheet1!$D$18</c:f>
              <c:strCache>
                <c:ptCount val="1"/>
                <c:pt idx="0">
                  <c:v>Team Wages</c:v>
                </c:pt>
              </c:strCache>
            </c:strRef>
          </c:tx>
          <c:spPr>
            <a:solidFill>
              <a:schemeClr val="accent6"/>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Sheet1!$E$18:$I$18</c:f>
              <c:numCache>
                <c:formatCode>General</c:formatCode>
                <c:ptCount val="5"/>
                <c:pt idx="0">
                  <c:v>-4000</c:v>
                </c:pt>
                <c:pt idx="1">
                  <c:v>-8000</c:v>
                </c:pt>
                <c:pt idx="2">
                  <c:v>-8000</c:v>
                </c:pt>
                <c:pt idx="3">
                  <c:v>-16000</c:v>
                </c:pt>
                <c:pt idx="4">
                  <c:v>-32000</c:v>
                </c:pt>
              </c:numCache>
            </c:numRef>
          </c:val>
          <c:extLst>
            <c:ext xmlns:c16="http://schemas.microsoft.com/office/drawing/2014/chart" uri="{C3380CC4-5D6E-409C-BE32-E72D297353CC}">
              <c16:uniqueId val="{00000005-55B1-47B5-9A86-7F01DA99AE6C}"/>
            </c:ext>
          </c:extLst>
        </c:ser>
        <c:ser>
          <c:idx val="6"/>
          <c:order val="6"/>
          <c:tx>
            <c:strRef>
              <c:f>Sheet1!$D$19</c:f>
              <c:strCache>
                <c:ptCount val="1"/>
                <c:pt idx="0">
                  <c:v>Interest</c:v>
                </c:pt>
              </c:strCache>
            </c:strRef>
          </c:tx>
          <c:spPr>
            <a:solidFill>
              <a:schemeClr val="accent1">
                <a:lumMod val="60000"/>
              </a:schemeClr>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Sheet1!$E$19:$I$19</c:f>
              <c:numCache>
                <c:formatCode>General</c:formatCode>
                <c:ptCount val="5"/>
                <c:pt idx="0">
                  <c:v>-1600</c:v>
                </c:pt>
                <c:pt idx="1">
                  <c:v>-1200</c:v>
                </c:pt>
                <c:pt idx="2">
                  <c:v>-800</c:v>
                </c:pt>
                <c:pt idx="3">
                  <c:v>-400</c:v>
                </c:pt>
                <c:pt idx="4">
                  <c:v>0</c:v>
                </c:pt>
              </c:numCache>
            </c:numRef>
          </c:val>
          <c:extLst>
            <c:ext xmlns:c16="http://schemas.microsoft.com/office/drawing/2014/chart" uri="{C3380CC4-5D6E-409C-BE32-E72D297353CC}">
              <c16:uniqueId val="{00000006-55B1-47B5-9A86-7F01DA99AE6C}"/>
            </c:ext>
          </c:extLst>
        </c:ser>
        <c:ser>
          <c:idx val="7"/>
          <c:order val="7"/>
          <c:tx>
            <c:strRef>
              <c:f>Sheet1!$D$22</c:f>
              <c:strCache>
                <c:ptCount val="1"/>
                <c:pt idx="0">
                  <c:v>Startup compeitions</c:v>
                </c:pt>
              </c:strCache>
            </c:strRef>
          </c:tx>
          <c:spPr>
            <a:solidFill>
              <a:schemeClr val="accent2">
                <a:lumMod val="60000"/>
              </a:schemeClr>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Sheet1!$E$22:$I$22</c:f>
              <c:numCache>
                <c:formatCode>General</c:formatCode>
                <c:ptCount val="5"/>
                <c:pt idx="0">
                  <c:v>5000</c:v>
                </c:pt>
                <c:pt idx="1">
                  <c:v>0</c:v>
                </c:pt>
                <c:pt idx="2">
                  <c:v>0</c:v>
                </c:pt>
                <c:pt idx="3">
                  <c:v>0</c:v>
                </c:pt>
                <c:pt idx="4">
                  <c:v>0</c:v>
                </c:pt>
              </c:numCache>
            </c:numRef>
          </c:val>
          <c:extLst>
            <c:ext xmlns:c16="http://schemas.microsoft.com/office/drawing/2014/chart" uri="{C3380CC4-5D6E-409C-BE32-E72D297353CC}">
              <c16:uniqueId val="{00000007-55B1-47B5-9A86-7F01DA99AE6C}"/>
            </c:ext>
          </c:extLst>
        </c:ser>
        <c:ser>
          <c:idx val="8"/>
          <c:order val="8"/>
          <c:tx>
            <c:strRef>
              <c:f>Sheet1!$D$23</c:f>
              <c:strCache>
                <c:ptCount val="1"/>
                <c:pt idx="0">
                  <c:v>Angel Investors</c:v>
                </c:pt>
              </c:strCache>
            </c:strRef>
          </c:tx>
          <c:spPr>
            <a:solidFill>
              <a:schemeClr val="accent3">
                <a:lumMod val="60000"/>
              </a:schemeClr>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Sheet1!$E$23:$I$23</c:f>
              <c:numCache>
                <c:formatCode>General</c:formatCode>
                <c:ptCount val="5"/>
                <c:pt idx="0">
                  <c:v>2000</c:v>
                </c:pt>
                <c:pt idx="1">
                  <c:v>0</c:v>
                </c:pt>
                <c:pt idx="2">
                  <c:v>0</c:v>
                </c:pt>
                <c:pt idx="3">
                  <c:v>0</c:v>
                </c:pt>
                <c:pt idx="4">
                  <c:v>0</c:v>
                </c:pt>
              </c:numCache>
            </c:numRef>
          </c:val>
          <c:extLst>
            <c:ext xmlns:c16="http://schemas.microsoft.com/office/drawing/2014/chart" uri="{C3380CC4-5D6E-409C-BE32-E72D297353CC}">
              <c16:uniqueId val="{00000008-55B1-47B5-9A86-7F01DA99AE6C}"/>
            </c:ext>
          </c:extLst>
        </c:ser>
        <c:ser>
          <c:idx val="9"/>
          <c:order val="9"/>
          <c:tx>
            <c:strRef>
              <c:f>Sheet1!$D$25</c:f>
              <c:strCache>
                <c:ptCount val="1"/>
                <c:pt idx="0">
                  <c:v>Loan Acquisition</c:v>
                </c:pt>
              </c:strCache>
            </c:strRef>
          </c:tx>
          <c:spPr>
            <a:solidFill>
              <a:schemeClr val="accent4">
                <a:lumMod val="60000"/>
              </a:schemeClr>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Sheet1!$E$25:$I$25</c:f>
              <c:numCache>
                <c:formatCode>General</c:formatCode>
                <c:ptCount val="5"/>
                <c:pt idx="0">
                  <c:v>20000</c:v>
                </c:pt>
                <c:pt idx="1">
                  <c:v>0</c:v>
                </c:pt>
                <c:pt idx="2">
                  <c:v>0</c:v>
                </c:pt>
                <c:pt idx="3">
                  <c:v>0</c:v>
                </c:pt>
                <c:pt idx="4">
                  <c:v>0</c:v>
                </c:pt>
              </c:numCache>
            </c:numRef>
          </c:val>
          <c:extLst>
            <c:ext xmlns:c16="http://schemas.microsoft.com/office/drawing/2014/chart" uri="{C3380CC4-5D6E-409C-BE32-E72D297353CC}">
              <c16:uniqueId val="{00000009-55B1-47B5-9A86-7F01DA99AE6C}"/>
            </c:ext>
          </c:extLst>
        </c:ser>
        <c:ser>
          <c:idx val="10"/>
          <c:order val="10"/>
          <c:tx>
            <c:strRef>
              <c:f>Sheet1!$D$26</c:f>
              <c:strCache>
                <c:ptCount val="1"/>
                <c:pt idx="0">
                  <c:v>Loan Payment</c:v>
                </c:pt>
              </c:strCache>
            </c:strRef>
          </c:tx>
          <c:spPr>
            <a:solidFill>
              <a:schemeClr val="accent5">
                <a:lumMod val="60000"/>
              </a:schemeClr>
            </a:solidFill>
            <a:ln>
              <a:noFill/>
            </a:ln>
            <a:effectLst/>
          </c:spPr>
          <c:invertIfNegative val="0"/>
          <c:cat>
            <c:numRef>
              <c:f>Sheet1!$E$2:$I$2</c:f>
              <c:numCache>
                <c:formatCode>General</c:formatCode>
                <c:ptCount val="5"/>
                <c:pt idx="0">
                  <c:v>2020</c:v>
                </c:pt>
                <c:pt idx="1">
                  <c:v>2021</c:v>
                </c:pt>
                <c:pt idx="2">
                  <c:v>2022</c:v>
                </c:pt>
                <c:pt idx="3">
                  <c:v>2023</c:v>
                </c:pt>
                <c:pt idx="4">
                  <c:v>2024</c:v>
                </c:pt>
              </c:numCache>
            </c:numRef>
          </c:cat>
          <c:val>
            <c:numRef>
              <c:f>Sheet1!$E$26:$I$26</c:f>
              <c:numCache>
                <c:formatCode>General</c:formatCode>
                <c:ptCount val="5"/>
                <c:pt idx="0">
                  <c:v>0</c:v>
                </c:pt>
                <c:pt idx="1">
                  <c:v>-5000</c:v>
                </c:pt>
                <c:pt idx="2">
                  <c:v>-5000</c:v>
                </c:pt>
                <c:pt idx="3">
                  <c:v>-5000</c:v>
                </c:pt>
                <c:pt idx="4">
                  <c:v>-5000</c:v>
                </c:pt>
              </c:numCache>
            </c:numRef>
          </c:val>
          <c:extLst>
            <c:ext xmlns:c16="http://schemas.microsoft.com/office/drawing/2014/chart" uri="{C3380CC4-5D6E-409C-BE32-E72D297353CC}">
              <c16:uniqueId val="{0000000A-55B1-47B5-9A86-7F01DA99AE6C}"/>
            </c:ext>
          </c:extLst>
        </c:ser>
        <c:dLbls>
          <c:showLegendKey val="0"/>
          <c:showVal val="0"/>
          <c:showCatName val="0"/>
          <c:showSerName val="0"/>
          <c:showPercent val="0"/>
          <c:showBubbleSize val="0"/>
        </c:dLbls>
        <c:gapWidth val="150"/>
        <c:overlap val="100"/>
        <c:axId val="373941567"/>
        <c:axId val="407868591"/>
      </c:barChart>
      <c:catAx>
        <c:axId val="373941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68591"/>
        <c:crosses val="autoZero"/>
        <c:auto val="1"/>
        <c:lblAlgn val="ctr"/>
        <c:lblOffset val="100"/>
        <c:noMultiLvlLbl val="0"/>
      </c:catAx>
      <c:valAx>
        <c:axId val="407868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Cash Flow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9415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Suitor</dc:creator>
  <cp:keywords/>
  <dc:description/>
  <cp:lastModifiedBy>Jeff Suitor</cp:lastModifiedBy>
  <cp:revision>2</cp:revision>
  <dcterms:created xsi:type="dcterms:W3CDTF">2020-04-20T02:04:00Z</dcterms:created>
  <dcterms:modified xsi:type="dcterms:W3CDTF">2020-04-20T02:04:00Z</dcterms:modified>
</cp:coreProperties>
</file>