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9663" w14:textId="77777777" w:rsidR="00177915" w:rsidRPr="007D553D" w:rsidRDefault="00BA25B9" w:rsidP="007C3583">
      <w:pPr>
        <w:pStyle w:val="Heading1"/>
      </w:pPr>
      <w:r w:rsidRPr="007D553D">
        <w:t xml:space="preserve">CS 405 Project Two Script </w:t>
      </w:r>
      <w:r w:rsidRPr="007C3583">
        <w:t>Template</w:t>
      </w:r>
    </w:p>
    <w:p w14:paraId="7DF64999" w14:textId="77777777" w:rsidR="007D553D" w:rsidRDefault="007D553D" w:rsidP="007D553D">
      <w:pPr>
        <w:suppressAutoHyphens/>
        <w:spacing w:after="0" w:line="240" w:lineRule="auto"/>
        <w:jc w:val="center"/>
        <w:rPr>
          <w:b/>
        </w:rPr>
      </w:pPr>
    </w:p>
    <w:p w14:paraId="6C7279AD"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7EB2CED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EF5E3B6" w14:textId="77777777" w:rsidTr="00DE776F">
        <w:trPr>
          <w:trHeight w:val="1373"/>
          <w:tblHeader/>
        </w:trPr>
        <w:tc>
          <w:tcPr>
            <w:tcW w:w="2115" w:type="dxa"/>
            <w:vAlign w:val="center"/>
          </w:tcPr>
          <w:p w14:paraId="2CB6FF94" w14:textId="77777777" w:rsidR="00177915" w:rsidRPr="007D553D" w:rsidRDefault="00BA25B9" w:rsidP="007D553D">
            <w:pPr>
              <w:suppressAutoHyphens/>
              <w:jc w:val="center"/>
              <w:rPr>
                <w:b/>
              </w:rPr>
            </w:pPr>
            <w:r w:rsidRPr="007D553D">
              <w:rPr>
                <w:b/>
              </w:rPr>
              <w:t>Slide Number</w:t>
            </w:r>
          </w:p>
        </w:tc>
        <w:tc>
          <w:tcPr>
            <w:tcW w:w="7455" w:type="dxa"/>
            <w:vAlign w:val="center"/>
          </w:tcPr>
          <w:p w14:paraId="03779E05" w14:textId="77777777" w:rsidR="00177915" w:rsidRPr="007D553D" w:rsidRDefault="00BA25B9" w:rsidP="007D553D">
            <w:pPr>
              <w:suppressAutoHyphens/>
              <w:jc w:val="center"/>
              <w:rPr>
                <w:b/>
              </w:rPr>
            </w:pPr>
            <w:r w:rsidRPr="007D553D">
              <w:rPr>
                <w:b/>
              </w:rPr>
              <w:t>Narrative</w:t>
            </w:r>
          </w:p>
        </w:tc>
      </w:tr>
      <w:tr w:rsidR="00177915" w:rsidRPr="007D553D" w14:paraId="69FD9E3F" w14:textId="77777777" w:rsidTr="00DE776F">
        <w:trPr>
          <w:trHeight w:val="1296"/>
        </w:trPr>
        <w:tc>
          <w:tcPr>
            <w:tcW w:w="2115" w:type="dxa"/>
            <w:vAlign w:val="center"/>
          </w:tcPr>
          <w:p w14:paraId="5A2D71F1" w14:textId="77777777" w:rsidR="00177915" w:rsidRPr="007D553D" w:rsidRDefault="00BA25B9" w:rsidP="007D553D">
            <w:pPr>
              <w:suppressAutoHyphens/>
              <w:jc w:val="center"/>
              <w:rPr>
                <w:b/>
              </w:rPr>
            </w:pPr>
            <w:r w:rsidRPr="007D553D">
              <w:rPr>
                <w:b/>
              </w:rPr>
              <w:t>1</w:t>
            </w:r>
          </w:p>
        </w:tc>
        <w:tc>
          <w:tcPr>
            <w:tcW w:w="7455" w:type="dxa"/>
          </w:tcPr>
          <w:p w14:paraId="1C790691" w14:textId="2DA26B6A" w:rsidR="00177915" w:rsidRPr="007D553D" w:rsidRDefault="00F750AF" w:rsidP="007D553D">
            <w:pPr>
              <w:suppressAutoHyphens/>
            </w:pPr>
            <w:r>
              <w:t>Good</w:t>
            </w:r>
            <w:r>
              <w:t xml:space="preserve"> morning</w:t>
            </w:r>
            <w:r>
              <w:t>, I'm Jeffrey Carlson. Today, I'm here to present Green Pace's Security Policy Guide Template.</w:t>
            </w:r>
          </w:p>
        </w:tc>
      </w:tr>
      <w:tr w:rsidR="00177915" w:rsidRPr="007D553D" w14:paraId="6E9D8609" w14:textId="77777777" w:rsidTr="00F750AF">
        <w:trPr>
          <w:trHeight w:val="1373"/>
        </w:trPr>
        <w:tc>
          <w:tcPr>
            <w:tcW w:w="2115" w:type="dxa"/>
            <w:vAlign w:val="center"/>
          </w:tcPr>
          <w:p w14:paraId="41ACD238" w14:textId="77777777" w:rsidR="00177915" w:rsidRPr="007D553D" w:rsidRDefault="00BA25B9" w:rsidP="007D553D">
            <w:pPr>
              <w:suppressAutoHyphens/>
              <w:jc w:val="center"/>
              <w:rPr>
                <w:b/>
              </w:rPr>
            </w:pPr>
            <w:r w:rsidRPr="007D553D">
              <w:rPr>
                <w:b/>
              </w:rPr>
              <w:t>2</w:t>
            </w:r>
          </w:p>
        </w:tc>
        <w:tc>
          <w:tcPr>
            <w:tcW w:w="7455" w:type="dxa"/>
            <w:tcBorders>
              <w:bottom w:val="single" w:sz="4" w:space="0" w:color="000000"/>
            </w:tcBorders>
          </w:tcPr>
          <w:p w14:paraId="1E098770" w14:textId="3AF4B0F3" w:rsidR="00177915" w:rsidRPr="007D553D" w:rsidRDefault="00F750AF" w:rsidP="007D553D">
            <w:pPr>
              <w:suppressAutoHyphens/>
            </w:pPr>
            <w:r>
              <w:t xml:space="preserve">Secure on-premises servers with restricted access, enforce privacy agreements for Supplier cloud services, implement deny-by-default measures and defense layers in the absence of a private cloud, engage in external </w:t>
            </w:r>
            <w:proofErr w:type="spellStart"/>
            <w:r>
              <w:t>pentests</w:t>
            </w:r>
            <w:proofErr w:type="spellEnd"/>
            <w:r>
              <w:t xml:space="preserve">, use trusted encryption methods, enable Firewall and PAM, monitor changes, integrate vulnerability </w:t>
            </w:r>
            <w:proofErr w:type="gramStart"/>
            <w:r>
              <w:t>scans</w:t>
            </w:r>
            <w:proofErr w:type="gramEnd"/>
            <w:r>
              <w:t xml:space="preserve"> and patch management in CI/CD, and prioritize team training on layered defense compliance protocols.</w:t>
            </w:r>
          </w:p>
        </w:tc>
      </w:tr>
      <w:tr w:rsidR="00177915" w:rsidRPr="007D553D" w14:paraId="3F01DC40" w14:textId="77777777" w:rsidTr="00F750AF">
        <w:trPr>
          <w:trHeight w:val="1296"/>
        </w:trPr>
        <w:tc>
          <w:tcPr>
            <w:tcW w:w="2115" w:type="dxa"/>
            <w:vAlign w:val="center"/>
          </w:tcPr>
          <w:p w14:paraId="2C2C09DF" w14:textId="77777777" w:rsidR="00177915" w:rsidRPr="007D553D" w:rsidRDefault="00BA25B9" w:rsidP="007D553D">
            <w:pPr>
              <w:suppressAutoHyphens/>
              <w:jc w:val="center"/>
              <w:rPr>
                <w:b/>
              </w:rPr>
            </w:pPr>
            <w:r w:rsidRPr="007D553D">
              <w:rPr>
                <w:b/>
              </w:rPr>
              <w:t>3</w:t>
            </w:r>
          </w:p>
        </w:tc>
        <w:tc>
          <w:tcPr>
            <w:tcW w:w="7455" w:type="dxa"/>
            <w:tcBorders>
              <w:bottom w:val="single" w:sz="4" w:space="0" w:color="auto"/>
            </w:tcBorders>
          </w:tcPr>
          <w:p w14:paraId="502BA630"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Keep it Simple (ALL)</w:t>
            </w:r>
          </w:p>
          <w:p w14:paraId="45EF309D" w14:textId="5AB0EAC6"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Validate Input Data (STD 001, 002, 003, 004)</w:t>
            </w:r>
          </w:p>
          <w:p w14:paraId="0428CA6F"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Heed Compiler Warnings (STD 002, 003, 010)</w:t>
            </w:r>
          </w:p>
          <w:p w14:paraId="2BEABE2C"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Use Effective Quality Assurance Techniques (STD 001, 002, 003, 005, 006, 007, 008, 010)</w:t>
            </w:r>
          </w:p>
          <w:p w14:paraId="678E5A26"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Adopt a Secure Coding Standard (STD 005, 006, 007, 008, 009, 010)</w:t>
            </w:r>
          </w:p>
          <w:p w14:paraId="5B255E89"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Architect for Security Policies (STD 002, 004, 005, 006, 007, 008, 009, 010)</w:t>
            </w:r>
          </w:p>
          <w:p w14:paraId="43A89BD7"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Default Deny (STD 004)</w:t>
            </w:r>
          </w:p>
          <w:p w14:paraId="366F5A6D"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Sanitize Data Sent to Other Systems (STD 003, 004)</w:t>
            </w:r>
          </w:p>
          <w:p w14:paraId="68ECE0D6" w14:textId="77777777" w:rsidR="00F750AF" w:rsidRPr="00F750AF" w:rsidRDefault="00F750AF" w:rsidP="00F750AF">
            <w:pPr>
              <w:pStyle w:val="ListParagraph"/>
              <w:numPr>
                <w:ilvl w:val="0"/>
                <w:numId w:val="4"/>
              </w:numPr>
              <w:spacing w:before="100" w:beforeAutospacing="1" w:after="100" w:afterAutospacing="1"/>
              <w:rPr>
                <w:rFonts w:eastAsia="Times New Roman"/>
              </w:rPr>
            </w:pPr>
            <w:r w:rsidRPr="00F750AF">
              <w:rPr>
                <w:rFonts w:eastAsia="Times New Roman"/>
              </w:rPr>
              <w:t>Practice Defense in Depth (STD 004)</w:t>
            </w:r>
          </w:p>
          <w:p w14:paraId="30837A91" w14:textId="09399A21" w:rsidR="00177915" w:rsidRPr="00F750AF" w:rsidRDefault="00F750AF" w:rsidP="00F750AF">
            <w:pPr>
              <w:pStyle w:val="ListParagraph"/>
              <w:numPr>
                <w:ilvl w:val="0"/>
                <w:numId w:val="4"/>
              </w:numPr>
              <w:spacing w:before="100" w:beforeAutospacing="1" w:after="100" w:afterAutospacing="1"/>
              <w:rPr>
                <w:rFonts w:asciiTheme="minorHAnsi" w:hAnsiTheme="minorHAnsi" w:cstheme="minorHAnsi"/>
              </w:rPr>
            </w:pPr>
            <w:r w:rsidRPr="00F750AF">
              <w:rPr>
                <w:rFonts w:eastAsia="Times New Roman"/>
              </w:rPr>
              <w:t>Adhere to Principle of Least Privilege (STD 004, 009, 010)</w:t>
            </w:r>
          </w:p>
        </w:tc>
      </w:tr>
      <w:tr w:rsidR="00177915" w:rsidRPr="007D553D" w14:paraId="7842F065" w14:textId="77777777" w:rsidTr="00F750AF">
        <w:trPr>
          <w:trHeight w:val="1373"/>
        </w:trPr>
        <w:tc>
          <w:tcPr>
            <w:tcW w:w="2115" w:type="dxa"/>
            <w:vAlign w:val="center"/>
          </w:tcPr>
          <w:p w14:paraId="456B5958" w14:textId="77777777" w:rsidR="00177915" w:rsidRPr="007D553D" w:rsidRDefault="00BA25B9" w:rsidP="007D553D">
            <w:pPr>
              <w:suppressAutoHyphens/>
              <w:jc w:val="center"/>
              <w:rPr>
                <w:b/>
              </w:rPr>
            </w:pPr>
            <w:r w:rsidRPr="007D553D">
              <w:rPr>
                <w:b/>
              </w:rPr>
              <w:t>4</w:t>
            </w:r>
          </w:p>
        </w:tc>
        <w:tc>
          <w:tcPr>
            <w:tcW w:w="7455" w:type="dxa"/>
            <w:tcBorders>
              <w:top w:val="single" w:sz="4" w:space="0" w:color="auto"/>
            </w:tcBorders>
          </w:tcPr>
          <w:p w14:paraId="2A7A8A6E" w14:textId="77777777" w:rsidR="00F750AF" w:rsidRPr="00F750AF" w:rsidRDefault="00F750AF" w:rsidP="00F750AF">
            <w:pPr>
              <w:pStyle w:val="ListParagraph"/>
              <w:numPr>
                <w:ilvl w:val="0"/>
                <w:numId w:val="3"/>
              </w:numPr>
              <w:spacing w:before="100" w:beforeAutospacing="1" w:after="100" w:afterAutospacing="1" w:line="240" w:lineRule="auto"/>
              <w:rPr>
                <w:rFonts w:eastAsia="Times New Roman"/>
              </w:rPr>
            </w:pPr>
            <w:r w:rsidRPr="00F750AF">
              <w:rPr>
                <w:rFonts w:eastAsia="Times New Roman"/>
              </w:rPr>
              <w:t>Data Type</w:t>
            </w:r>
          </w:p>
          <w:p w14:paraId="3A1D5A21"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String Correctness</w:t>
            </w:r>
          </w:p>
          <w:p w14:paraId="1317785C"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Expressions</w:t>
            </w:r>
          </w:p>
          <w:p w14:paraId="06712922"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Memory Protection</w:t>
            </w:r>
          </w:p>
          <w:p w14:paraId="3E43AA4F"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Data Value</w:t>
            </w:r>
          </w:p>
          <w:p w14:paraId="44E971F0"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 xml:space="preserve">Secure </w:t>
            </w:r>
            <w:proofErr w:type="gramStart"/>
            <w:r w:rsidRPr="00F750AF">
              <w:rPr>
                <w:rFonts w:eastAsia="Times New Roman"/>
              </w:rPr>
              <w:t>Object Oriented</w:t>
            </w:r>
            <w:proofErr w:type="gramEnd"/>
            <w:r w:rsidRPr="00F750AF">
              <w:rPr>
                <w:rFonts w:eastAsia="Times New Roman"/>
              </w:rPr>
              <w:t xml:space="preserve"> Programming</w:t>
            </w:r>
          </w:p>
          <w:p w14:paraId="4AC4EAD7"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SQL Injection Prevention</w:t>
            </w:r>
          </w:p>
          <w:p w14:paraId="7F720E19"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Assertions</w:t>
            </w:r>
          </w:p>
          <w:p w14:paraId="5593C6AC" w14:textId="77777777" w:rsidR="00F750AF" w:rsidRPr="00F750AF" w:rsidRDefault="00F750AF" w:rsidP="00F750AF">
            <w:pPr>
              <w:pStyle w:val="ListParagraph"/>
              <w:numPr>
                <w:ilvl w:val="0"/>
                <w:numId w:val="3"/>
              </w:numPr>
              <w:spacing w:before="100" w:beforeAutospacing="1" w:after="100" w:afterAutospacing="1"/>
              <w:rPr>
                <w:rFonts w:eastAsia="Times New Roman"/>
              </w:rPr>
            </w:pPr>
            <w:r w:rsidRPr="00F750AF">
              <w:rPr>
                <w:rFonts w:eastAsia="Times New Roman"/>
              </w:rPr>
              <w:t>API Vulnerability Assessment</w:t>
            </w:r>
          </w:p>
          <w:p w14:paraId="424F537E" w14:textId="219917FA" w:rsidR="00177915" w:rsidRPr="007D553D" w:rsidRDefault="00F750AF" w:rsidP="00F750AF">
            <w:pPr>
              <w:pStyle w:val="ListParagraph"/>
              <w:numPr>
                <w:ilvl w:val="0"/>
                <w:numId w:val="3"/>
              </w:numPr>
              <w:spacing w:before="100" w:beforeAutospacing="1" w:after="100" w:afterAutospacing="1"/>
            </w:pPr>
            <w:r w:rsidRPr="00F750AF">
              <w:rPr>
                <w:rFonts w:eastAsia="Times New Roman"/>
              </w:rPr>
              <w:t>Exceptions</w:t>
            </w:r>
          </w:p>
        </w:tc>
      </w:tr>
      <w:tr w:rsidR="00177915" w:rsidRPr="007D553D" w14:paraId="72CCB5B7" w14:textId="77777777" w:rsidTr="00DE776F">
        <w:trPr>
          <w:trHeight w:val="1296"/>
        </w:trPr>
        <w:tc>
          <w:tcPr>
            <w:tcW w:w="2115" w:type="dxa"/>
            <w:vAlign w:val="center"/>
          </w:tcPr>
          <w:p w14:paraId="3B0D5AE9" w14:textId="77777777" w:rsidR="00177915" w:rsidRPr="007D553D" w:rsidRDefault="00BA25B9" w:rsidP="007D553D">
            <w:pPr>
              <w:suppressAutoHyphens/>
              <w:jc w:val="center"/>
              <w:rPr>
                <w:b/>
              </w:rPr>
            </w:pPr>
            <w:r w:rsidRPr="007D553D">
              <w:rPr>
                <w:b/>
              </w:rPr>
              <w:lastRenderedPageBreak/>
              <w:t>5</w:t>
            </w:r>
          </w:p>
        </w:tc>
        <w:tc>
          <w:tcPr>
            <w:tcW w:w="7455" w:type="dxa"/>
          </w:tcPr>
          <w:p w14:paraId="3868D322"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Rest: Employ full-disk encryption at the server level and database encryption with MySQL Server, along with a backup strategy to secure data at rest.</w:t>
            </w:r>
          </w:p>
          <w:p w14:paraId="28789B84"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Flight: Utilize updated, secure libraries, implement Public Key infrastructure for end-to-end protection on message content or attachments, use Managed File Transfer or SSH with link expiration, password access, and leverage Data Leak Prevention mechanisms integrated into cloud services.</w:t>
            </w:r>
          </w:p>
          <w:p w14:paraId="0A657F2E" w14:textId="7CFA18DF" w:rsidR="00177915" w:rsidRPr="00F750AF" w:rsidRDefault="00F750AF" w:rsidP="00F750AF">
            <w:pPr>
              <w:pStyle w:val="NormalWeb"/>
              <w:rPr>
                <w:rFonts w:ascii="Calibri" w:hAnsi="Calibri" w:cs="Calibri"/>
                <w:sz w:val="22"/>
                <w:szCs w:val="22"/>
              </w:rPr>
            </w:pPr>
            <w:r w:rsidRPr="00F750AF">
              <w:rPr>
                <w:rFonts w:ascii="Calibri" w:hAnsi="Calibri" w:cs="Calibri"/>
                <w:sz w:val="22"/>
                <w:szCs w:val="22"/>
              </w:rPr>
              <w:t>Use: Utilize identity management mechanisms to verify user roles and identity, enable conditional access to tool functionalities based on user roles and other parameters. Apply IRM digital rights management for persistent protection of documentation.</w:t>
            </w:r>
          </w:p>
        </w:tc>
      </w:tr>
      <w:tr w:rsidR="00177915" w:rsidRPr="007D553D" w14:paraId="1E3A649C" w14:textId="77777777" w:rsidTr="00DE776F">
        <w:trPr>
          <w:trHeight w:val="1373"/>
        </w:trPr>
        <w:tc>
          <w:tcPr>
            <w:tcW w:w="2115" w:type="dxa"/>
            <w:vAlign w:val="center"/>
          </w:tcPr>
          <w:p w14:paraId="32641B8D" w14:textId="77777777" w:rsidR="00177915" w:rsidRPr="007D553D" w:rsidRDefault="00BA25B9" w:rsidP="007D553D">
            <w:pPr>
              <w:suppressAutoHyphens/>
              <w:jc w:val="center"/>
              <w:rPr>
                <w:b/>
              </w:rPr>
            </w:pPr>
            <w:r w:rsidRPr="007D553D">
              <w:rPr>
                <w:b/>
              </w:rPr>
              <w:t>6</w:t>
            </w:r>
          </w:p>
        </w:tc>
        <w:tc>
          <w:tcPr>
            <w:tcW w:w="7455" w:type="dxa"/>
          </w:tcPr>
          <w:p w14:paraId="59D10A02"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Authentication: Refers to verifying a user's identity by employing valid user credentials such as a username and password. Implement a secure authentication process utilizing a local protected database or an external AWS server, while prioritizing well-established and trusted protocols.</w:t>
            </w:r>
          </w:p>
          <w:p w14:paraId="4379CB1D"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Authorization: Following successful authentication, employ authorization to define the user's permitted access to resources and functionalities, governing their actions.</w:t>
            </w:r>
          </w:p>
          <w:p w14:paraId="4581C39E" w14:textId="489149F3" w:rsidR="00177915" w:rsidRPr="00F750AF" w:rsidRDefault="00F750AF" w:rsidP="00F750AF">
            <w:pPr>
              <w:pStyle w:val="NormalWeb"/>
              <w:rPr>
                <w:rFonts w:ascii="Calibri" w:hAnsi="Calibri" w:cs="Calibri"/>
                <w:sz w:val="22"/>
                <w:szCs w:val="22"/>
              </w:rPr>
            </w:pPr>
            <w:r w:rsidRPr="00F750AF">
              <w:rPr>
                <w:rFonts w:ascii="Calibri" w:hAnsi="Calibri" w:cs="Calibri"/>
                <w:sz w:val="22"/>
                <w:szCs w:val="22"/>
              </w:rPr>
              <w:t>Accounting: Involves tracking and logging user activities during login/logout and resource usage, including user uptime and configured parameters.</w:t>
            </w:r>
          </w:p>
        </w:tc>
      </w:tr>
      <w:tr w:rsidR="00177915" w:rsidRPr="007D553D" w14:paraId="278E5C07" w14:textId="77777777" w:rsidTr="00DE776F">
        <w:trPr>
          <w:trHeight w:val="1296"/>
        </w:trPr>
        <w:tc>
          <w:tcPr>
            <w:tcW w:w="2115" w:type="dxa"/>
            <w:vAlign w:val="center"/>
          </w:tcPr>
          <w:p w14:paraId="413270D7" w14:textId="77777777" w:rsidR="00177915" w:rsidRPr="007D553D" w:rsidRDefault="00BA25B9" w:rsidP="007D553D">
            <w:pPr>
              <w:suppressAutoHyphens/>
              <w:jc w:val="center"/>
              <w:rPr>
                <w:b/>
              </w:rPr>
            </w:pPr>
            <w:r w:rsidRPr="007D553D">
              <w:rPr>
                <w:b/>
              </w:rPr>
              <w:t>7</w:t>
            </w:r>
          </w:p>
        </w:tc>
        <w:tc>
          <w:tcPr>
            <w:tcW w:w="7455" w:type="dxa"/>
          </w:tcPr>
          <w:p w14:paraId="019C977D"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We are conducting assessments for vulnerabilities related to out-of-bounds occurrences (STD-001 Data Value, STD-005 Memory Protection).</w:t>
            </w:r>
          </w:p>
          <w:p w14:paraId="6F6C5220"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Our primary testing framework, Google Test, enables us to create autonomous and reproducible tests, making it our preferred choice.</w:t>
            </w:r>
          </w:p>
          <w:p w14:paraId="29979B49"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Adhering to the Google Test Primer, we will implement the following guideline: "ASSERT_* versions trigger fatal failures upon failure, leading to the termination of the current function."</w:t>
            </w:r>
          </w:p>
          <w:p w14:paraId="471FBC7A" w14:textId="70BF0388" w:rsidR="00177915" w:rsidRPr="007D553D" w:rsidRDefault="00F750AF" w:rsidP="00F750AF">
            <w:pPr>
              <w:pStyle w:val="NormalWeb"/>
            </w:pPr>
            <w:r w:rsidRPr="00F750AF">
              <w:rPr>
                <w:rFonts w:ascii="Calibri" w:hAnsi="Calibri" w:cs="Calibri"/>
                <w:sz w:val="22"/>
                <w:szCs w:val="22"/>
              </w:rPr>
              <w:t>Initial test: Validate the addition of 5 values to the collection.</w:t>
            </w:r>
          </w:p>
        </w:tc>
      </w:tr>
      <w:tr w:rsidR="00177915" w:rsidRPr="007D553D" w14:paraId="7BAC9954" w14:textId="77777777" w:rsidTr="00DE776F">
        <w:trPr>
          <w:trHeight w:val="1296"/>
        </w:trPr>
        <w:tc>
          <w:tcPr>
            <w:tcW w:w="2115" w:type="dxa"/>
            <w:vAlign w:val="center"/>
          </w:tcPr>
          <w:p w14:paraId="1B6D4BDE" w14:textId="77777777" w:rsidR="00177915" w:rsidRPr="007D553D" w:rsidRDefault="00BA25B9" w:rsidP="007D553D">
            <w:pPr>
              <w:suppressAutoHyphens/>
              <w:jc w:val="center"/>
              <w:rPr>
                <w:b/>
              </w:rPr>
            </w:pPr>
            <w:r w:rsidRPr="007D553D">
              <w:rPr>
                <w:b/>
              </w:rPr>
              <w:t>8</w:t>
            </w:r>
          </w:p>
        </w:tc>
        <w:tc>
          <w:tcPr>
            <w:tcW w:w="7455" w:type="dxa"/>
          </w:tcPr>
          <w:p w14:paraId="4B043686" w14:textId="1E1F7855" w:rsidR="00177915" w:rsidRPr="007D553D" w:rsidRDefault="00F750AF" w:rsidP="007D553D">
            <w:pPr>
              <w:suppressAutoHyphens/>
            </w:pPr>
            <w:r>
              <w:t>In Test 2, ASSERT_</w:t>
            </w:r>
            <w:proofErr w:type="gramStart"/>
            <w:r>
              <w:t>TRUE(</w:t>
            </w:r>
            <w:proofErr w:type="gramEnd"/>
            <w:r>
              <w:t>collection-&gt;</w:t>
            </w:r>
            <w:proofErr w:type="spellStart"/>
            <w:r>
              <w:t>max_size</w:t>
            </w:r>
            <w:proofErr w:type="spellEnd"/>
            <w:r>
              <w:t>() &gt;= 10) validates whether the maximum size is greater than or equal to specific values.</w:t>
            </w:r>
          </w:p>
        </w:tc>
      </w:tr>
      <w:tr w:rsidR="00177915" w:rsidRPr="007D553D" w14:paraId="4FEF54BE" w14:textId="77777777" w:rsidTr="00DE776F">
        <w:trPr>
          <w:trHeight w:val="1296"/>
        </w:trPr>
        <w:tc>
          <w:tcPr>
            <w:tcW w:w="2115" w:type="dxa"/>
            <w:vAlign w:val="center"/>
          </w:tcPr>
          <w:p w14:paraId="278325E0" w14:textId="77777777" w:rsidR="00177915" w:rsidRPr="007D553D" w:rsidRDefault="00BA25B9" w:rsidP="007D553D">
            <w:pPr>
              <w:suppressAutoHyphens/>
              <w:jc w:val="center"/>
              <w:rPr>
                <w:b/>
              </w:rPr>
            </w:pPr>
            <w:r w:rsidRPr="007D553D">
              <w:rPr>
                <w:b/>
              </w:rPr>
              <w:lastRenderedPageBreak/>
              <w:t>9</w:t>
            </w:r>
          </w:p>
        </w:tc>
        <w:tc>
          <w:tcPr>
            <w:tcW w:w="7455" w:type="dxa"/>
          </w:tcPr>
          <w:p w14:paraId="6D50CDAD" w14:textId="1D0F6A11" w:rsidR="00177915" w:rsidRPr="007D553D" w:rsidRDefault="00F750AF" w:rsidP="007D553D">
            <w:pPr>
              <w:suppressAutoHyphens/>
            </w:pPr>
            <w:r>
              <w:t>Test 3 involves ASSERT_</w:t>
            </w:r>
            <w:proofErr w:type="gramStart"/>
            <w:r>
              <w:t>TRUE(</w:t>
            </w:r>
            <w:proofErr w:type="gramEnd"/>
            <w:r>
              <w:t xml:space="preserve">collection-&gt;size() &gt; </w:t>
            </w:r>
            <w:proofErr w:type="spellStart"/>
            <w:r>
              <w:t>initialSize</w:t>
            </w:r>
            <w:proofErr w:type="spellEnd"/>
            <w:r>
              <w:t>), enabling us to confirm whether the container's size has expanded after a resize. Conversely, this approach can verify if a resize operation has reduced the collection size.</w:t>
            </w:r>
          </w:p>
        </w:tc>
      </w:tr>
      <w:tr w:rsidR="00177915" w:rsidRPr="007D553D" w14:paraId="2C6F0304" w14:textId="77777777" w:rsidTr="00DE776F">
        <w:trPr>
          <w:trHeight w:val="1296"/>
        </w:trPr>
        <w:tc>
          <w:tcPr>
            <w:tcW w:w="2115" w:type="dxa"/>
            <w:vAlign w:val="center"/>
          </w:tcPr>
          <w:p w14:paraId="2B92D045" w14:textId="77777777" w:rsidR="00177915" w:rsidRPr="007D553D" w:rsidRDefault="00BA25B9" w:rsidP="007D553D">
            <w:pPr>
              <w:suppressAutoHyphens/>
              <w:jc w:val="center"/>
              <w:rPr>
                <w:b/>
              </w:rPr>
            </w:pPr>
            <w:r w:rsidRPr="007D553D">
              <w:rPr>
                <w:b/>
              </w:rPr>
              <w:t>10</w:t>
            </w:r>
          </w:p>
        </w:tc>
        <w:tc>
          <w:tcPr>
            <w:tcW w:w="7455" w:type="dxa"/>
          </w:tcPr>
          <w:p w14:paraId="3A4CB957" w14:textId="7C06855F" w:rsidR="00177915" w:rsidRPr="007D553D" w:rsidRDefault="00F750AF" w:rsidP="007D553D">
            <w:pPr>
              <w:suppressAutoHyphens/>
            </w:pPr>
            <w:r>
              <w:t>Test 4 uses ASSERT_</w:t>
            </w:r>
            <w:proofErr w:type="gramStart"/>
            <w:r>
              <w:t>TRUE(</w:t>
            </w:r>
            <w:proofErr w:type="gramEnd"/>
            <w:r>
              <w:t>collection-&gt;size() == 0) to validate whether the resizing operation has successfully reduced the collection size to zero.</w:t>
            </w:r>
          </w:p>
        </w:tc>
      </w:tr>
      <w:tr w:rsidR="00177915" w:rsidRPr="007D553D" w14:paraId="4E262BD6" w14:textId="77777777" w:rsidTr="00DE776F">
        <w:trPr>
          <w:trHeight w:val="1296"/>
        </w:trPr>
        <w:tc>
          <w:tcPr>
            <w:tcW w:w="2115" w:type="dxa"/>
            <w:vAlign w:val="center"/>
          </w:tcPr>
          <w:p w14:paraId="39D38413" w14:textId="77777777" w:rsidR="00177915" w:rsidRPr="007D553D" w:rsidRDefault="00BA25B9" w:rsidP="007D553D">
            <w:pPr>
              <w:suppressAutoHyphens/>
              <w:jc w:val="center"/>
              <w:rPr>
                <w:b/>
              </w:rPr>
            </w:pPr>
            <w:r w:rsidRPr="007D553D">
              <w:rPr>
                <w:b/>
              </w:rPr>
              <w:t>11</w:t>
            </w:r>
          </w:p>
        </w:tc>
        <w:tc>
          <w:tcPr>
            <w:tcW w:w="7455" w:type="dxa"/>
          </w:tcPr>
          <w:p w14:paraId="027E9BA8" w14:textId="6C7FC9A7" w:rsidR="00177915" w:rsidRPr="007D553D" w:rsidRDefault="00F750AF" w:rsidP="007D553D">
            <w:pPr>
              <w:suppressAutoHyphens/>
            </w:pPr>
            <w:r>
              <w:t>Test 5, which utilizes ASSERT_</w:t>
            </w:r>
            <w:proofErr w:type="gramStart"/>
            <w:r>
              <w:t>TRUE(</w:t>
            </w:r>
            <w:proofErr w:type="gramEnd"/>
            <w:r>
              <w:t>collection-&gt;size() == 0), aims to confirm that the collection has indeed been resized to zero after the clear operation. Similarly, ASSERT_</w:t>
            </w:r>
            <w:proofErr w:type="gramStart"/>
            <w:r>
              <w:t>TRUE(</w:t>
            </w:r>
            <w:proofErr w:type="gramEnd"/>
            <w:r>
              <w:t>collection-&gt;size() == 0) can be used to validate that the collection has been cleared from the beginning to the end.</w:t>
            </w:r>
          </w:p>
        </w:tc>
      </w:tr>
      <w:tr w:rsidR="00177915" w:rsidRPr="007D553D" w14:paraId="5406D780" w14:textId="77777777" w:rsidTr="00DE776F">
        <w:trPr>
          <w:trHeight w:val="1296"/>
        </w:trPr>
        <w:tc>
          <w:tcPr>
            <w:tcW w:w="2115" w:type="dxa"/>
            <w:vAlign w:val="center"/>
          </w:tcPr>
          <w:p w14:paraId="296C863D" w14:textId="77777777" w:rsidR="00177915" w:rsidRPr="007D553D" w:rsidRDefault="00BA25B9" w:rsidP="007D553D">
            <w:pPr>
              <w:suppressAutoHyphens/>
              <w:jc w:val="center"/>
              <w:rPr>
                <w:b/>
              </w:rPr>
            </w:pPr>
            <w:r w:rsidRPr="007D553D">
              <w:rPr>
                <w:b/>
              </w:rPr>
              <w:t>12</w:t>
            </w:r>
          </w:p>
        </w:tc>
        <w:tc>
          <w:tcPr>
            <w:tcW w:w="7455" w:type="dxa"/>
          </w:tcPr>
          <w:p w14:paraId="61C3B4DE"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Automate processes during Build by integrating tasks like compilation and static code checks into a CI/CD pipeline, which streamlines team collaboration and leverages technologies such as Docker for containerization, GitLab for version control, and Jenkins for continuous integration.</w:t>
            </w:r>
          </w:p>
          <w:p w14:paraId="2BFE8C88"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Implement automated security and regression tests in the SecOps phase, employing virtualized container deployment. Embed security tests, including static and dynamic application security testing, within the SDLC to detect vulnerabilities in real-time.</w:t>
            </w:r>
          </w:p>
          <w:p w14:paraId="4366A64E" w14:textId="3B9F24D8" w:rsidR="00177915" w:rsidRPr="007D553D" w:rsidRDefault="00F750AF" w:rsidP="00F750AF">
            <w:pPr>
              <w:pStyle w:val="NormalWeb"/>
            </w:pPr>
            <w:r w:rsidRPr="00F750AF">
              <w:rPr>
                <w:rFonts w:ascii="Calibri" w:hAnsi="Calibri" w:cs="Calibri"/>
                <w:sz w:val="22"/>
                <w:szCs w:val="22"/>
              </w:rPr>
              <w:t xml:space="preserve">Utilize tools like OWASP Dependency-Check to assess code dependency vulnerabilities. Key tools include </w:t>
            </w:r>
            <w:proofErr w:type="spellStart"/>
            <w:r w:rsidRPr="00F750AF">
              <w:rPr>
                <w:rFonts w:ascii="Calibri" w:hAnsi="Calibri" w:cs="Calibri"/>
                <w:sz w:val="22"/>
                <w:szCs w:val="22"/>
              </w:rPr>
              <w:t>ClangTidy</w:t>
            </w:r>
            <w:proofErr w:type="spellEnd"/>
            <w:r w:rsidRPr="00F750AF">
              <w:rPr>
                <w:rFonts w:ascii="Calibri" w:hAnsi="Calibri" w:cs="Calibri"/>
                <w:sz w:val="22"/>
                <w:szCs w:val="22"/>
              </w:rPr>
              <w:t xml:space="preserve">, </w:t>
            </w:r>
            <w:proofErr w:type="spellStart"/>
            <w:r w:rsidRPr="00F750AF">
              <w:rPr>
                <w:rFonts w:ascii="Calibri" w:hAnsi="Calibri" w:cs="Calibri"/>
                <w:sz w:val="22"/>
                <w:szCs w:val="22"/>
              </w:rPr>
              <w:t>Cppchecker</w:t>
            </w:r>
            <w:proofErr w:type="spellEnd"/>
            <w:r w:rsidRPr="00F750AF">
              <w:rPr>
                <w:rFonts w:ascii="Calibri" w:hAnsi="Calibri" w:cs="Calibri"/>
                <w:sz w:val="22"/>
                <w:szCs w:val="22"/>
              </w:rPr>
              <w:t xml:space="preserve">, </w:t>
            </w:r>
            <w:proofErr w:type="spellStart"/>
            <w:r w:rsidRPr="00F750AF">
              <w:rPr>
                <w:rFonts w:ascii="Calibri" w:hAnsi="Calibri" w:cs="Calibri"/>
                <w:sz w:val="22"/>
                <w:szCs w:val="22"/>
              </w:rPr>
              <w:t>Parasoft</w:t>
            </w:r>
            <w:proofErr w:type="spellEnd"/>
            <w:r w:rsidRPr="00F750AF">
              <w:rPr>
                <w:rFonts w:ascii="Calibri" w:hAnsi="Calibri" w:cs="Calibri"/>
                <w:sz w:val="22"/>
                <w:szCs w:val="22"/>
              </w:rPr>
              <w:t>, Coverity, Jenkins, GitLab, Docker for various stages of the development lifecycle.</w:t>
            </w:r>
          </w:p>
        </w:tc>
      </w:tr>
      <w:tr w:rsidR="00177915" w:rsidRPr="007D553D" w14:paraId="7E9ACAA7" w14:textId="77777777" w:rsidTr="00DE776F">
        <w:trPr>
          <w:trHeight w:val="1296"/>
        </w:trPr>
        <w:tc>
          <w:tcPr>
            <w:tcW w:w="2115" w:type="dxa"/>
            <w:vAlign w:val="center"/>
          </w:tcPr>
          <w:p w14:paraId="2586292F" w14:textId="77777777" w:rsidR="00177915" w:rsidRPr="007D553D" w:rsidRDefault="00BA25B9" w:rsidP="007D553D">
            <w:pPr>
              <w:suppressAutoHyphens/>
              <w:jc w:val="center"/>
              <w:rPr>
                <w:b/>
              </w:rPr>
            </w:pPr>
            <w:r w:rsidRPr="007D553D">
              <w:rPr>
                <w:b/>
              </w:rPr>
              <w:t>13</w:t>
            </w:r>
          </w:p>
        </w:tc>
        <w:tc>
          <w:tcPr>
            <w:tcW w:w="7455" w:type="dxa"/>
          </w:tcPr>
          <w:p w14:paraId="26E6C831" w14:textId="7DC15456" w:rsidR="00177915" w:rsidRPr="007D553D" w:rsidRDefault="00F750AF" w:rsidP="007D553D">
            <w:pPr>
              <w:suppressAutoHyphens/>
            </w:pPr>
            <w:r>
              <w:t>Fixing bugs during implementation costs significantly more than identifying and rectifying them during the design phase according to IBM. By implementing secure coding practices in the design and pre-production stages through automated tests and threat documentation, we can prevent costlier issues in production, which require defense in depth strategies and proactive security measures.</w:t>
            </w:r>
          </w:p>
        </w:tc>
      </w:tr>
      <w:tr w:rsidR="00177915" w:rsidRPr="007D553D" w14:paraId="47CEB2FE" w14:textId="77777777" w:rsidTr="00DE776F">
        <w:trPr>
          <w:trHeight w:val="1296"/>
        </w:trPr>
        <w:tc>
          <w:tcPr>
            <w:tcW w:w="2115" w:type="dxa"/>
            <w:vAlign w:val="center"/>
          </w:tcPr>
          <w:p w14:paraId="135D541E" w14:textId="77777777" w:rsidR="00177915" w:rsidRPr="007D553D" w:rsidRDefault="00BA25B9" w:rsidP="007D553D">
            <w:pPr>
              <w:suppressAutoHyphens/>
              <w:jc w:val="center"/>
              <w:rPr>
                <w:b/>
              </w:rPr>
            </w:pPr>
            <w:r w:rsidRPr="007D553D">
              <w:rPr>
                <w:b/>
              </w:rPr>
              <w:t>14</w:t>
            </w:r>
          </w:p>
        </w:tc>
        <w:tc>
          <w:tcPr>
            <w:tcW w:w="7455" w:type="dxa"/>
          </w:tcPr>
          <w:p w14:paraId="0B9A9178" w14:textId="77777777" w:rsidR="00F750AF" w:rsidRPr="00F750AF" w:rsidRDefault="00F750AF" w:rsidP="00F750AF">
            <w:pPr>
              <w:pStyle w:val="NormalWeb"/>
              <w:rPr>
                <w:rFonts w:ascii="Calibri" w:hAnsi="Calibri" w:cs="Calibri"/>
                <w:sz w:val="22"/>
                <w:szCs w:val="22"/>
              </w:rPr>
            </w:pPr>
            <w:r w:rsidRPr="00F750AF">
              <w:rPr>
                <w:rFonts w:ascii="Calibri" w:hAnsi="Calibri" w:cs="Calibri"/>
                <w:sz w:val="22"/>
                <w:szCs w:val="22"/>
              </w:rPr>
              <w:t xml:space="preserve">Discuss </w:t>
            </w:r>
            <w:proofErr w:type="spellStart"/>
            <w:r w:rsidRPr="00F750AF">
              <w:rPr>
                <w:rFonts w:ascii="Calibri" w:hAnsi="Calibri" w:cs="Calibri"/>
                <w:sz w:val="22"/>
                <w:szCs w:val="22"/>
              </w:rPr>
              <w:t>Pentesting's</w:t>
            </w:r>
            <w:proofErr w:type="spellEnd"/>
            <w:r w:rsidRPr="00F750AF">
              <w:rPr>
                <w:rFonts w:ascii="Calibri" w:hAnsi="Calibri" w:cs="Calibri"/>
                <w:sz w:val="22"/>
                <w:szCs w:val="22"/>
              </w:rPr>
              <w:t xml:space="preserve"> ability to uncover and address cyber-security threats in commonplace malware and APIs. Detail Cloud Security's "defense in depth" approach across layers including Critical Assets, Data, App, Endpoint, Host, Network, Perimeter, Cloud, and Physical Security.</w:t>
            </w:r>
          </w:p>
          <w:p w14:paraId="7E70C8A7" w14:textId="0FFB947E" w:rsidR="00177915" w:rsidRPr="007D553D" w:rsidRDefault="00F750AF" w:rsidP="00F750AF">
            <w:pPr>
              <w:pStyle w:val="NormalWeb"/>
            </w:pPr>
            <w:r w:rsidRPr="00F750AF">
              <w:rPr>
                <w:rFonts w:ascii="Calibri" w:hAnsi="Calibri" w:cs="Calibri"/>
                <w:sz w:val="22"/>
                <w:szCs w:val="22"/>
              </w:rPr>
              <w:t>Adopt diverse tools for Cloud Security, opt for least privilege security controls for network and host security, and stay updated with current security publications.</w:t>
            </w:r>
          </w:p>
        </w:tc>
      </w:tr>
    </w:tbl>
    <w:p w14:paraId="5FB58BB8"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68BC" w14:textId="77777777" w:rsidR="00D00A11" w:rsidRDefault="00D00A11" w:rsidP="007D553D">
      <w:pPr>
        <w:spacing w:after="0" w:line="240" w:lineRule="auto"/>
      </w:pPr>
      <w:r>
        <w:separator/>
      </w:r>
    </w:p>
  </w:endnote>
  <w:endnote w:type="continuationSeparator" w:id="0">
    <w:p w14:paraId="410D43CD" w14:textId="77777777" w:rsidR="00D00A11" w:rsidRDefault="00D00A1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2BC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DDA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C0B1"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73C86" w14:textId="77777777" w:rsidR="00D00A11" w:rsidRDefault="00D00A11" w:rsidP="007D553D">
      <w:pPr>
        <w:spacing w:after="0" w:line="240" w:lineRule="auto"/>
      </w:pPr>
      <w:r>
        <w:separator/>
      </w:r>
    </w:p>
  </w:footnote>
  <w:footnote w:type="continuationSeparator" w:id="0">
    <w:p w14:paraId="5314795A" w14:textId="77777777" w:rsidR="00D00A11" w:rsidRDefault="00D00A1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A10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AB9D" w14:textId="77777777" w:rsidR="007D553D" w:rsidRDefault="007D553D" w:rsidP="007D553D">
    <w:pPr>
      <w:pStyle w:val="Header"/>
      <w:suppressAutoHyphens/>
      <w:spacing w:after="200"/>
      <w:jc w:val="center"/>
    </w:pPr>
    <w:r>
      <w:rPr>
        <w:noProof/>
      </w:rPr>
      <w:drawing>
        <wp:inline distT="0" distB="0" distL="0" distR="0" wp14:anchorId="2A06BA35" wp14:editId="5F22509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0F8CE"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723D"/>
    <w:multiLevelType w:val="multilevel"/>
    <w:tmpl w:val="A2C6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1652B"/>
    <w:multiLevelType w:val="hybridMultilevel"/>
    <w:tmpl w:val="F78072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C321F4"/>
    <w:multiLevelType w:val="hybridMultilevel"/>
    <w:tmpl w:val="6BAC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67C65"/>
    <w:multiLevelType w:val="multilevel"/>
    <w:tmpl w:val="0EFE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528377">
    <w:abstractNumId w:val="0"/>
  </w:num>
  <w:num w:numId="2" w16cid:durableId="1838691076">
    <w:abstractNumId w:val="3"/>
  </w:num>
  <w:num w:numId="3" w16cid:durableId="991643897">
    <w:abstractNumId w:val="2"/>
  </w:num>
  <w:num w:numId="4" w16cid:durableId="214022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5969D0"/>
    <w:rsid w:val="00702C2F"/>
    <w:rsid w:val="007C3583"/>
    <w:rsid w:val="007D553D"/>
    <w:rsid w:val="00BA25B9"/>
    <w:rsid w:val="00BE7B67"/>
    <w:rsid w:val="00C73662"/>
    <w:rsid w:val="00D00A11"/>
    <w:rsid w:val="00DE776F"/>
    <w:rsid w:val="00F25B0D"/>
    <w:rsid w:val="00F7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48FA"/>
  <w15:docId w15:val="{432D8694-DB24-4E7F-8794-D8BF556F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F750AF"/>
    <w:pPr>
      <w:ind w:left="720"/>
      <w:contextualSpacing/>
    </w:pPr>
  </w:style>
  <w:style w:type="paragraph" w:styleId="NormalWeb">
    <w:name w:val="Normal (Web)"/>
    <w:basedOn w:val="Normal"/>
    <w:uiPriority w:val="99"/>
    <w:unhideWhenUsed/>
    <w:rsid w:val="00F750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08390">
      <w:bodyDiv w:val="1"/>
      <w:marLeft w:val="0"/>
      <w:marRight w:val="0"/>
      <w:marTop w:val="0"/>
      <w:marBottom w:val="0"/>
      <w:divBdr>
        <w:top w:val="none" w:sz="0" w:space="0" w:color="auto"/>
        <w:left w:val="none" w:sz="0" w:space="0" w:color="auto"/>
        <w:bottom w:val="none" w:sz="0" w:space="0" w:color="auto"/>
        <w:right w:val="none" w:sz="0" w:space="0" w:color="auto"/>
      </w:divBdr>
    </w:div>
    <w:div w:id="338699540">
      <w:bodyDiv w:val="1"/>
      <w:marLeft w:val="0"/>
      <w:marRight w:val="0"/>
      <w:marTop w:val="0"/>
      <w:marBottom w:val="0"/>
      <w:divBdr>
        <w:top w:val="none" w:sz="0" w:space="0" w:color="auto"/>
        <w:left w:val="none" w:sz="0" w:space="0" w:color="auto"/>
        <w:bottom w:val="none" w:sz="0" w:space="0" w:color="auto"/>
        <w:right w:val="none" w:sz="0" w:space="0" w:color="auto"/>
      </w:divBdr>
      <w:divsChild>
        <w:div w:id="1516387076">
          <w:marLeft w:val="0"/>
          <w:marRight w:val="0"/>
          <w:marTop w:val="0"/>
          <w:marBottom w:val="0"/>
          <w:divBdr>
            <w:top w:val="none" w:sz="0" w:space="0" w:color="auto"/>
            <w:left w:val="none" w:sz="0" w:space="0" w:color="auto"/>
            <w:bottom w:val="none" w:sz="0" w:space="0" w:color="auto"/>
            <w:right w:val="none" w:sz="0" w:space="0" w:color="auto"/>
          </w:divBdr>
          <w:divsChild>
            <w:div w:id="70858635">
              <w:marLeft w:val="0"/>
              <w:marRight w:val="0"/>
              <w:marTop w:val="0"/>
              <w:marBottom w:val="0"/>
              <w:divBdr>
                <w:top w:val="none" w:sz="0" w:space="0" w:color="auto"/>
                <w:left w:val="none" w:sz="0" w:space="0" w:color="auto"/>
                <w:bottom w:val="none" w:sz="0" w:space="0" w:color="auto"/>
                <w:right w:val="none" w:sz="0" w:space="0" w:color="auto"/>
              </w:divBdr>
              <w:divsChild>
                <w:div w:id="17186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7444">
      <w:bodyDiv w:val="1"/>
      <w:marLeft w:val="0"/>
      <w:marRight w:val="0"/>
      <w:marTop w:val="0"/>
      <w:marBottom w:val="0"/>
      <w:divBdr>
        <w:top w:val="none" w:sz="0" w:space="0" w:color="auto"/>
        <w:left w:val="none" w:sz="0" w:space="0" w:color="auto"/>
        <w:bottom w:val="none" w:sz="0" w:space="0" w:color="auto"/>
        <w:right w:val="none" w:sz="0" w:space="0" w:color="auto"/>
      </w:divBdr>
      <w:divsChild>
        <w:div w:id="1436094959">
          <w:marLeft w:val="0"/>
          <w:marRight w:val="0"/>
          <w:marTop w:val="0"/>
          <w:marBottom w:val="0"/>
          <w:divBdr>
            <w:top w:val="none" w:sz="0" w:space="0" w:color="auto"/>
            <w:left w:val="none" w:sz="0" w:space="0" w:color="auto"/>
            <w:bottom w:val="none" w:sz="0" w:space="0" w:color="auto"/>
            <w:right w:val="none" w:sz="0" w:space="0" w:color="auto"/>
          </w:divBdr>
          <w:divsChild>
            <w:div w:id="1353991292">
              <w:marLeft w:val="0"/>
              <w:marRight w:val="0"/>
              <w:marTop w:val="0"/>
              <w:marBottom w:val="0"/>
              <w:divBdr>
                <w:top w:val="none" w:sz="0" w:space="0" w:color="auto"/>
                <w:left w:val="none" w:sz="0" w:space="0" w:color="auto"/>
                <w:bottom w:val="none" w:sz="0" w:space="0" w:color="auto"/>
                <w:right w:val="none" w:sz="0" w:space="0" w:color="auto"/>
              </w:divBdr>
              <w:divsChild>
                <w:div w:id="1661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0740">
      <w:bodyDiv w:val="1"/>
      <w:marLeft w:val="0"/>
      <w:marRight w:val="0"/>
      <w:marTop w:val="0"/>
      <w:marBottom w:val="0"/>
      <w:divBdr>
        <w:top w:val="none" w:sz="0" w:space="0" w:color="auto"/>
        <w:left w:val="none" w:sz="0" w:space="0" w:color="auto"/>
        <w:bottom w:val="none" w:sz="0" w:space="0" w:color="auto"/>
        <w:right w:val="none" w:sz="0" w:space="0" w:color="auto"/>
      </w:divBdr>
      <w:divsChild>
        <w:div w:id="276564570">
          <w:marLeft w:val="0"/>
          <w:marRight w:val="0"/>
          <w:marTop w:val="0"/>
          <w:marBottom w:val="0"/>
          <w:divBdr>
            <w:top w:val="none" w:sz="0" w:space="0" w:color="auto"/>
            <w:left w:val="none" w:sz="0" w:space="0" w:color="auto"/>
            <w:bottom w:val="none" w:sz="0" w:space="0" w:color="auto"/>
            <w:right w:val="none" w:sz="0" w:space="0" w:color="auto"/>
          </w:divBdr>
          <w:divsChild>
            <w:div w:id="1608343285">
              <w:marLeft w:val="0"/>
              <w:marRight w:val="0"/>
              <w:marTop w:val="0"/>
              <w:marBottom w:val="0"/>
              <w:divBdr>
                <w:top w:val="none" w:sz="0" w:space="0" w:color="auto"/>
                <w:left w:val="none" w:sz="0" w:space="0" w:color="auto"/>
                <w:bottom w:val="none" w:sz="0" w:space="0" w:color="auto"/>
                <w:right w:val="none" w:sz="0" w:space="0" w:color="auto"/>
              </w:divBdr>
              <w:divsChild>
                <w:div w:id="718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0966">
      <w:bodyDiv w:val="1"/>
      <w:marLeft w:val="0"/>
      <w:marRight w:val="0"/>
      <w:marTop w:val="0"/>
      <w:marBottom w:val="0"/>
      <w:divBdr>
        <w:top w:val="none" w:sz="0" w:space="0" w:color="auto"/>
        <w:left w:val="none" w:sz="0" w:space="0" w:color="auto"/>
        <w:bottom w:val="none" w:sz="0" w:space="0" w:color="auto"/>
        <w:right w:val="none" w:sz="0" w:space="0" w:color="auto"/>
      </w:divBdr>
      <w:divsChild>
        <w:div w:id="1382753622">
          <w:marLeft w:val="0"/>
          <w:marRight w:val="0"/>
          <w:marTop w:val="0"/>
          <w:marBottom w:val="0"/>
          <w:divBdr>
            <w:top w:val="none" w:sz="0" w:space="0" w:color="auto"/>
            <w:left w:val="none" w:sz="0" w:space="0" w:color="auto"/>
            <w:bottom w:val="none" w:sz="0" w:space="0" w:color="auto"/>
            <w:right w:val="none" w:sz="0" w:space="0" w:color="auto"/>
          </w:divBdr>
          <w:divsChild>
            <w:div w:id="680164573">
              <w:marLeft w:val="0"/>
              <w:marRight w:val="0"/>
              <w:marTop w:val="0"/>
              <w:marBottom w:val="0"/>
              <w:divBdr>
                <w:top w:val="none" w:sz="0" w:space="0" w:color="auto"/>
                <w:left w:val="none" w:sz="0" w:space="0" w:color="auto"/>
                <w:bottom w:val="none" w:sz="0" w:space="0" w:color="auto"/>
                <w:right w:val="none" w:sz="0" w:space="0" w:color="auto"/>
              </w:divBdr>
              <w:divsChild>
                <w:div w:id="5355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49248">
      <w:bodyDiv w:val="1"/>
      <w:marLeft w:val="0"/>
      <w:marRight w:val="0"/>
      <w:marTop w:val="0"/>
      <w:marBottom w:val="0"/>
      <w:divBdr>
        <w:top w:val="none" w:sz="0" w:space="0" w:color="auto"/>
        <w:left w:val="none" w:sz="0" w:space="0" w:color="auto"/>
        <w:bottom w:val="none" w:sz="0" w:space="0" w:color="auto"/>
        <w:right w:val="none" w:sz="0" w:space="0" w:color="auto"/>
      </w:divBdr>
    </w:div>
    <w:div w:id="1940602090">
      <w:bodyDiv w:val="1"/>
      <w:marLeft w:val="0"/>
      <w:marRight w:val="0"/>
      <w:marTop w:val="0"/>
      <w:marBottom w:val="0"/>
      <w:divBdr>
        <w:top w:val="none" w:sz="0" w:space="0" w:color="auto"/>
        <w:left w:val="none" w:sz="0" w:space="0" w:color="auto"/>
        <w:bottom w:val="none" w:sz="0" w:space="0" w:color="auto"/>
        <w:right w:val="none" w:sz="0" w:space="0" w:color="auto"/>
      </w:divBdr>
      <w:divsChild>
        <w:div w:id="1073770210">
          <w:marLeft w:val="0"/>
          <w:marRight w:val="0"/>
          <w:marTop w:val="0"/>
          <w:marBottom w:val="0"/>
          <w:divBdr>
            <w:top w:val="none" w:sz="0" w:space="0" w:color="auto"/>
            <w:left w:val="none" w:sz="0" w:space="0" w:color="auto"/>
            <w:bottom w:val="none" w:sz="0" w:space="0" w:color="auto"/>
            <w:right w:val="none" w:sz="0" w:space="0" w:color="auto"/>
          </w:divBdr>
          <w:divsChild>
            <w:div w:id="1553493778">
              <w:marLeft w:val="0"/>
              <w:marRight w:val="0"/>
              <w:marTop w:val="0"/>
              <w:marBottom w:val="0"/>
              <w:divBdr>
                <w:top w:val="none" w:sz="0" w:space="0" w:color="auto"/>
                <w:left w:val="none" w:sz="0" w:space="0" w:color="auto"/>
                <w:bottom w:val="none" w:sz="0" w:space="0" w:color="auto"/>
                <w:right w:val="none" w:sz="0" w:space="0" w:color="auto"/>
              </w:divBdr>
              <w:divsChild>
                <w:div w:id="1255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Jeffrey C</cp:lastModifiedBy>
  <cp:revision>7</cp:revision>
  <dcterms:created xsi:type="dcterms:W3CDTF">2020-11-16T16:36:00Z</dcterms:created>
  <dcterms:modified xsi:type="dcterms:W3CDTF">2023-12-07T19:35:00Z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