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Altcoin Shadow System — 深度量化评估报告</w:t>
      </w:r>
    </w:p>
    <w:p/>
    <w:p>
      <w:pPr>
        <w:jc w:val="center"/>
      </w:pPr>
      <w:r>
        <w:rPr>
          <w:sz w:val="20"/>
        </w:rPr>
        <w:t>系统类型：基于 Python 的中频均值回归做空量化交易系统</w:t>
        <w:br/>
      </w:r>
      <w:r>
        <w:rPr>
          <w:sz w:val="20"/>
        </w:rPr>
        <w:t>评估日期：2026年5月26日</w:t>
        <w:br/>
      </w:r>
      <w:r>
        <w:rPr>
          <w:sz w:val="20"/>
        </w:rPr>
        <w:t>评估维度：市场定位 | 技术代差 | SWOT | 改进路径</w:t>
      </w:r>
    </w:p>
    <w:p/>
    <w:p>
      <w:pPr>
        <w:pStyle w:val="Heading1"/>
      </w:pPr>
      <w:r>
        <w:t>一、市场定位与赛道分析</w:t>
      </w:r>
    </w:p>
    <w:p>
      <w:pPr>
        <w:pStyle w:val="Heading2"/>
      </w:pPr>
      <w:r>
        <w:t>1.1 梯队定位：进阶个人开发者级 → 小型私募级之间（2.5/5 梯队）</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val="clear"/>
          </w:tcPr>
          <w:p>
            <w:pPr>
              <w:spacing w:before="40" w:after="40"/>
              <w:jc w:val="center"/>
            </w:pPr>
            <w:r>
              <w:rPr>
                <w:b/>
                <w:color w:val="FFFFFF"/>
                <w:sz w:val="18"/>
              </w:rPr>
              <w:t>维度</w:t>
            </w:r>
          </w:p>
        </w:tc>
        <w:tc>
          <w:tcPr>
            <w:tcW w:type="dxa" w:w="2880"/>
            <w:shd w:fill="1F4E79" w:val="clear"/>
          </w:tcPr>
          <w:p>
            <w:pPr>
              <w:spacing w:before="40" w:after="40"/>
              <w:jc w:val="center"/>
            </w:pPr>
            <w:r>
              <w:rPr>
                <w:b/>
                <w:color w:val="FFFFFF"/>
                <w:sz w:val="18"/>
              </w:rPr>
              <w:t>评估</w:t>
            </w:r>
          </w:p>
        </w:tc>
        <w:tc>
          <w:tcPr>
            <w:tcW w:type="dxa" w:w="2880"/>
            <w:shd w:fill="1F4E79" w:val="clear"/>
          </w:tcPr>
          <w:p>
            <w:pPr>
              <w:spacing w:before="40" w:after="40"/>
              <w:jc w:val="center"/>
            </w:pPr>
            <w:r>
              <w:rPr>
                <w:b/>
                <w:color w:val="FFFFFF"/>
                <w:sz w:val="18"/>
              </w:rPr>
              <w:t>理由</w:t>
            </w:r>
          </w:p>
        </w:tc>
      </w:tr>
      <w:tr>
        <w:tc>
          <w:tcPr>
            <w:tcW w:type="dxa" w:w="2880"/>
          </w:tcPr>
          <w:p>
            <w:pPr>
              <w:spacing w:before="40" w:after="40"/>
            </w:pPr>
            <w:r>
              <w:rPr>
                <w:sz w:val="18"/>
              </w:rPr>
              <w:t>资金管理规模</w:t>
            </w:r>
          </w:p>
        </w:tc>
        <w:tc>
          <w:tcPr>
            <w:tcW w:type="dxa" w:w="2880"/>
          </w:tcPr>
          <w:p>
            <w:pPr>
              <w:spacing w:before="40" w:after="40"/>
            </w:pPr>
            <w:r>
              <w:rPr>
                <w:sz w:val="18"/>
              </w:rPr>
              <w:t>个人/小团队</w:t>
            </w:r>
          </w:p>
        </w:tc>
        <w:tc>
          <w:tcPr>
            <w:tcW w:type="dxa" w:w="2880"/>
          </w:tcPr>
          <w:p>
            <w:pPr>
              <w:spacing w:before="40" w:after="40"/>
            </w:pPr>
            <w:r>
              <w:rPr>
                <w:sz w:val="18"/>
              </w:rPr>
              <w:t>默认本金 100U，最大复利 300U stake，适配 $1K–$50K AUM</w:t>
            </w:r>
          </w:p>
        </w:tc>
      </w:tr>
      <w:tr>
        <w:tc>
          <w:tcPr>
            <w:tcW w:type="dxa" w:w="2880"/>
          </w:tcPr>
          <w:p>
            <w:pPr>
              <w:spacing w:before="40" w:after="40"/>
            </w:pPr>
            <w:r>
              <w:rPr>
                <w:sz w:val="18"/>
              </w:rPr>
              <w:t>工程成熟度</w:t>
            </w:r>
          </w:p>
        </w:tc>
        <w:tc>
          <w:tcPr>
            <w:tcW w:type="dxa" w:w="2880"/>
          </w:tcPr>
          <w:p>
            <w:pPr>
              <w:spacing w:before="40" w:after="40"/>
            </w:pPr>
            <w:r>
              <w:rPr>
                <w:sz w:val="18"/>
              </w:rPr>
              <w:t>小型私募水平</w:t>
            </w:r>
          </w:p>
        </w:tc>
        <w:tc>
          <w:tcPr>
            <w:tcW w:type="dxa" w:w="2880"/>
          </w:tcPr>
          <w:p>
            <w:pPr>
              <w:spacing w:before="40" w:after="40"/>
            </w:pPr>
            <w:r>
              <w:rPr>
                <w:sz w:val="18"/>
              </w:rPr>
              <w:t>Docker 化部署、多账户隔离、TOTP 安全面板、JSON 文件锁并发控制</w:t>
            </w:r>
          </w:p>
        </w:tc>
      </w:tr>
      <w:tr>
        <w:tc>
          <w:tcPr>
            <w:tcW w:type="dxa" w:w="2880"/>
          </w:tcPr>
          <w:p>
            <w:pPr>
              <w:spacing w:before="40" w:after="40"/>
            </w:pPr>
            <w:r>
              <w:rPr>
                <w:sz w:val="18"/>
              </w:rPr>
              <w:t>策略复杂度</w:t>
            </w:r>
          </w:p>
        </w:tc>
        <w:tc>
          <w:tcPr>
            <w:tcW w:type="dxa" w:w="2880"/>
          </w:tcPr>
          <w:p>
            <w:pPr>
              <w:spacing w:before="40" w:after="40"/>
            </w:pPr>
            <w:r>
              <w:rPr>
                <w:sz w:val="18"/>
              </w:rPr>
              <w:t>个人开发者中上</w:t>
            </w:r>
          </w:p>
        </w:tc>
        <w:tc>
          <w:tcPr>
            <w:tcW w:type="dxa" w:w="2880"/>
          </w:tcPr>
          <w:p>
            <w:pPr>
              <w:spacing w:before="40" w:after="40"/>
            </w:pPr>
            <w:r>
              <w:rPr>
                <w:sz w:val="18"/>
              </w:rPr>
              <w:t>单因子（RSI）为核心，辅以 OI/Funding/量价背离等过滤层</w:t>
            </w:r>
          </w:p>
        </w:tc>
      </w:tr>
      <w:tr>
        <w:tc>
          <w:tcPr>
            <w:tcW w:type="dxa" w:w="2880"/>
          </w:tcPr>
          <w:p>
            <w:pPr>
              <w:spacing w:before="40" w:after="40"/>
            </w:pPr>
            <w:r>
              <w:rPr>
                <w:sz w:val="18"/>
              </w:rPr>
              <w:t>运维能力</w:t>
            </w:r>
          </w:p>
        </w:tc>
        <w:tc>
          <w:tcPr>
            <w:tcW w:type="dxa" w:w="2880"/>
          </w:tcPr>
          <w:p>
            <w:pPr>
              <w:spacing w:before="40" w:after="40"/>
            </w:pPr>
            <w:r>
              <w:rPr>
                <w:sz w:val="18"/>
              </w:rPr>
              <w:t>准机构级</w:t>
            </w:r>
          </w:p>
        </w:tc>
        <w:tc>
          <w:tcPr>
            <w:tcW w:type="dxa" w:w="2880"/>
          </w:tcPr>
          <w:p>
            <w:pPr>
              <w:spacing w:before="40" w:after="40"/>
            </w:pPr>
            <w:r>
              <w:rPr>
                <w:sz w:val="18"/>
              </w:rPr>
              <w:t>健康检查、任务超时诊断、TG 告警、审计日志、In-flight Journal 幽灵仓位防护</w:t>
            </w:r>
          </w:p>
        </w:tc>
      </w:tr>
    </w:tbl>
    <w:p/>
    <w:p>
      <w:pPr>
        <w:pStyle w:val="Heading2"/>
      </w:pPr>
      <w:r>
        <w:t>1.2 策略赛道：中频 Mean-Reversion Short（均值回归做空）</w:t>
      </w:r>
    </w:p>
    <w:p>
      <w:r>
        <w:rPr>
          <w:b/>
        </w:rPr>
        <w:t>• 标的宇宙：</w:t>
      </w:r>
      <w:r>
        <w:t>Binance USDT 永续合约中的小盘/中盘 altcoin（PRICE_MAX ≤ $50，VOL_MIN ≥ 50万U）</w:t>
        <w:br/>
      </w:r>
      <w:r>
        <w:rPr>
          <w:b/>
        </w:rPr>
        <w:t>• 持仓周期：</w:t>
      </w:r>
      <w:r>
        <w:t>1h–24h（中频偏短线）</w:t>
        <w:br/>
      </w:r>
      <w:r>
        <w:rPr>
          <w:b/>
        </w:rPr>
        <w:t>• 核心逻辑：</w:t>
      </w:r>
      <w:r>
        <w:t>超买（日线 RSI≥75）→ 回落确认（4h RSI drop≥10）→ 做空 → 分批止盈</w:t>
        <w:br/>
      </w:r>
      <w:r>
        <w:rPr>
          <w:b/>
        </w:rPr>
        <w:t>• 适合赛道：</w:t>
      </w:r>
      <w:r>
        <w:t>CTA 类趋势反转策略，而非高频做市或跨所套利</w:t>
      </w:r>
    </w:p>
    <w:p>
      <w:pPr>
        <w:pStyle w:val="Heading1"/>
      </w:pPr>
      <w:r>
        <w:t>二、技术代差与顶级系统差距对比</w:t>
      </w:r>
    </w:p>
    <w:p>
      <w:pPr>
        <w:pStyle w:val="Heading2"/>
      </w:pPr>
      <w:r>
        <w:t>2.1 执行与延迟（Execution &amp; Latency）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4E79" w:val="clear"/>
          </w:tcPr>
          <w:p>
            <w:pPr>
              <w:spacing w:before="40" w:after="40"/>
              <w:jc w:val="center"/>
            </w:pPr>
            <w:r>
              <w:rPr>
                <w:b/>
                <w:color w:val="FFFFFF"/>
                <w:sz w:val="18"/>
              </w:rPr>
              <w:t>维度</w:t>
            </w:r>
          </w:p>
        </w:tc>
        <w:tc>
          <w:tcPr>
            <w:tcW w:type="dxa" w:w="2160"/>
            <w:shd w:fill="1F4E79" w:val="clear"/>
          </w:tcPr>
          <w:p>
            <w:pPr>
              <w:spacing w:before="40" w:after="40"/>
              <w:jc w:val="center"/>
            </w:pPr>
            <w:r>
              <w:rPr>
                <w:b/>
                <w:color w:val="FFFFFF"/>
                <w:sz w:val="18"/>
              </w:rPr>
              <w:t>本系统现状</w:t>
            </w:r>
          </w:p>
        </w:tc>
        <w:tc>
          <w:tcPr>
            <w:tcW w:type="dxa" w:w="2160"/>
            <w:shd w:fill="1F4E79" w:val="clear"/>
          </w:tcPr>
          <w:p>
            <w:pPr>
              <w:spacing w:before="40" w:after="40"/>
              <w:jc w:val="center"/>
            </w:pPr>
            <w:r>
              <w:rPr>
                <w:b/>
                <w:color w:val="FFFFFF"/>
                <w:sz w:val="18"/>
              </w:rPr>
              <w:t>顶级量化机构目标</w:t>
            </w:r>
          </w:p>
        </w:tc>
        <w:tc>
          <w:tcPr>
            <w:tcW w:type="dxa" w:w="2160"/>
            <w:shd w:fill="1F4E79" w:val="clear"/>
          </w:tcPr>
          <w:p>
            <w:pPr>
              <w:spacing w:before="40" w:after="40"/>
              <w:jc w:val="center"/>
            </w:pPr>
            <w:r>
              <w:rPr>
                <w:b/>
                <w:color w:val="FFFFFF"/>
                <w:sz w:val="18"/>
              </w:rPr>
              <w:t>差距评估</w:t>
            </w:r>
          </w:p>
        </w:tc>
      </w:tr>
      <w:tr>
        <w:tc>
          <w:tcPr>
            <w:tcW w:type="dxa" w:w="2160"/>
          </w:tcPr>
          <w:p>
            <w:pPr>
              <w:spacing w:before="40" w:after="40"/>
            </w:pPr>
            <w:r>
              <w:rPr>
                <w:sz w:val="18"/>
              </w:rPr>
              <w:t>下单延迟</w:t>
            </w:r>
          </w:p>
        </w:tc>
        <w:tc>
          <w:tcPr>
            <w:tcW w:type="dxa" w:w="2160"/>
          </w:tcPr>
          <w:p>
            <w:pPr>
              <w:spacing w:before="40" w:after="40"/>
            </w:pPr>
            <w:r>
              <w:rPr>
                <w:sz w:val="18"/>
              </w:rPr>
              <w:t>REST API 市价单（~100–300ms）</w:t>
            </w:r>
          </w:p>
        </w:tc>
        <w:tc>
          <w:tcPr>
            <w:tcW w:type="dxa" w:w="2160"/>
          </w:tcPr>
          <w:p>
            <w:pPr>
              <w:spacing w:before="40" w:after="40"/>
            </w:pPr>
            <w:r>
              <w:rPr>
                <w:sz w:val="18"/>
              </w:rPr>
              <w:t>Co-located C++/FPGA 直连撮合引擎（&lt;1ms）</w:t>
            </w:r>
          </w:p>
        </w:tc>
        <w:tc>
          <w:tcPr>
            <w:tcW w:type="dxa" w:w="2160"/>
          </w:tcPr>
          <w:p>
            <w:pPr>
              <w:spacing w:before="40" w:after="40"/>
            </w:pPr>
            <w:r>
              <w:rPr>
                <w:sz w:val="18"/>
              </w:rPr>
              <w:t>巨大差距（但策略不依赖极低延迟）</w:t>
            </w:r>
          </w:p>
        </w:tc>
      </w:tr>
      <w:tr>
        <w:tc>
          <w:tcPr>
            <w:tcW w:type="dxa" w:w="2160"/>
          </w:tcPr>
          <w:p>
            <w:pPr>
              <w:spacing w:before="40" w:after="40"/>
            </w:pPr>
            <w:r>
              <w:rPr>
                <w:sz w:val="18"/>
              </w:rPr>
              <w:t>滑点控制</w:t>
            </w:r>
          </w:p>
        </w:tc>
        <w:tc>
          <w:tcPr>
            <w:tcW w:type="dxa" w:w="2160"/>
          </w:tcPr>
          <w:p>
            <w:pPr>
              <w:spacing w:before="40" w:after="40"/>
            </w:pPr>
            <w:r>
              <w:rPr>
                <w:sz w:val="18"/>
              </w:rPr>
              <w:t>简单市价单 + 事后滑点告警（1%）</w:t>
            </w:r>
          </w:p>
        </w:tc>
        <w:tc>
          <w:tcPr>
            <w:tcW w:type="dxa" w:w="2160"/>
          </w:tcPr>
          <w:p>
            <w:pPr>
              <w:spacing w:before="40" w:after="40"/>
            </w:pPr>
            <w:r>
              <w:rPr>
                <w:sz w:val="18"/>
              </w:rPr>
              <w:t>TWAP/VWAP/Adaptive Algo + Order Book 深度实时分析</w:t>
            </w:r>
          </w:p>
        </w:tc>
        <w:tc>
          <w:tcPr>
            <w:tcW w:type="dxa" w:w="2160"/>
          </w:tcPr>
          <w:p>
            <w:pPr>
              <w:spacing w:before="40" w:after="40"/>
            </w:pPr>
            <w:r>
              <w:rPr>
                <w:sz w:val="18"/>
              </w:rPr>
              <w:t>中等差距</w:t>
            </w:r>
          </w:p>
        </w:tc>
      </w:tr>
      <w:tr>
        <w:tc>
          <w:tcPr>
            <w:tcW w:type="dxa" w:w="2160"/>
          </w:tcPr>
          <w:p>
            <w:pPr>
              <w:spacing w:before="40" w:after="40"/>
            </w:pPr>
            <w:r>
              <w:rPr>
                <w:sz w:val="18"/>
              </w:rPr>
              <w:t>并发执行</w:t>
            </w:r>
          </w:p>
        </w:tc>
        <w:tc>
          <w:tcPr>
            <w:tcW w:type="dxa" w:w="2160"/>
          </w:tcPr>
          <w:p>
            <w:pPr>
              <w:spacing w:before="40" w:after="40"/>
            </w:pPr>
            <w:r>
              <w:rPr>
                <w:sz w:val="18"/>
              </w:rPr>
              <w:t>asyncio + ThreadPoolExecutor（4线程）</w:t>
            </w:r>
          </w:p>
        </w:tc>
        <w:tc>
          <w:tcPr>
            <w:tcW w:type="dxa" w:w="2160"/>
          </w:tcPr>
          <w:p>
            <w:pPr>
              <w:spacing w:before="40" w:after="40"/>
            </w:pPr>
            <w:r>
              <w:rPr>
                <w:sz w:val="18"/>
              </w:rPr>
              <w:t>多进程微服务 + 内存总线通信（ZeroMQ/Aeron）</w:t>
            </w:r>
          </w:p>
        </w:tc>
        <w:tc>
          <w:tcPr>
            <w:tcW w:type="dxa" w:w="2160"/>
          </w:tcPr>
          <w:p>
            <w:pPr>
              <w:spacing w:before="40" w:after="40"/>
            </w:pPr>
            <w:r>
              <w:rPr>
                <w:sz w:val="18"/>
              </w:rPr>
              <w:t>中等差距</w:t>
            </w:r>
          </w:p>
        </w:tc>
      </w:tr>
      <w:tr>
        <w:tc>
          <w:tcPr>
            <w:tcW w:type="dxa" w:w="2160"/>
          </w:tcPr>
          <w:p>
            <w:pPr>
              <w:spacing w:before="40" w:after="40"/>
            </w:pPr>
            <w:r>
              <w:rPr>
                <w:sz w:val="18"/>
              </w:rPr>
              <w:t>网络拓扑</w:t>
            </w:r>
          </w:p>
        </w:tc>
        <w:tc>
          <w:tcPr>
            <w:tcW w:type="dxa" w:w="2160"/>
          </w:tcPr>
          <w:p>
            <w:pPr>
              <w:spacing w:before="40" w:after="40"/>
            </w:pPr>
            <w:r>
              <w:rPr>
                <w:sz w:val="18"/>
              </w:rPr>
              <w:t>普通 VPS Docker 部署</w:t>
            </w:r>
          </w:p>
        </w:tc>
        <w:tc>
          <w:tcPr>
            <w:tcW w:type="dxa" w:w="2160"/>
          </w:tcPr>
          <w:p>
            <w:pPr>
              <w:spacing w:before="40" w:after="40"/>
            </w:pPr>
            <w:r>
              <w:rPr>
                <w:sz w:val="18"/>
              </w:rPr>
              <w:t>AWS Tokyo/Singapore co-location + 专线</w:t>
            </w:r>
          </w:p>
        </w:tc>
        <w:tc>
          <w:tcPr>
            <w:tcW w:type="dxa" w:w="2160"/>
          </w:tcPr>
          <w:p>
            <w:pPr>
              <w:spacing w:before="40" w:after="40"/>
            </w:pPr>
            <w:r>
              <w:rPr>
                <w:sz w:val="18"/>
              </w:rPr>
              <w:t>显著差距</w:t>
            </w:r>
          </w:p>
        </w:tc>
      </w:tr>
    </w:tbl>
    <w:p/>
    <w:p>
      <w:r>
        <w:rPr>
          <w:b/>
        </w:rPr>
        <w:t>结论：</w:t>
      </w:r>
      <w:r>
        <w:t>中频策略（持仓 1–24h）对延迟容忍度高，当前架构基本够用。100ms 级延迟对 RSI 回落信号（小时级窗口）不构成致命劣势。</w:t>
      </w:r>
    </w:p>
    <w:p>
      <w:pPr>
        <w:pStyle w:val="Heading2"/>
      </w:pPr>
      <w:r>
        <w:t>2.2 数据与回测（Data &amp; Backtesting）</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4E79" w:val="clear"/>
          </w:tcPr>
          <w:p>
            <w:pPr>
              <w:spacing w:before="40" w:after="40"/>
              <w:jc w:val="center"/>
            </w:pPr>
            <w:r>
              <w:rPr>
                <w:b/>
                <w:color w:val="FFFFFF"/>
                <w:sz w:val="18"/>
              </w:rPr>
              <w:t>维度</w:t>
            </w:r>
          </w:p>
        </w:tc>
        <w:tc>
          <w:tcPr>
            <w:tcW w:type="dxa" w:w="2160"/>
            <w:shd w:fill="1F4E79" w:val="clear"/>
          </w:tcPr>
          <w:p>
            <w:pPr>
              <w:spacing w:before="40" w:after="40"/>
              <w:jc w:val="center"/>
            </w:pPr>
            <w:r>
              <w:rPr>
                <w:b/>
                <w:color w:val="FFFFFF"/>
                <w:sz w:val="18"/>
              </w:rPr>
              <w:t>本系统现状</w:t>
            </w:r>
          </w:p>
        </w:tc>
        <w:tc>
          <w:tcPr>
            <w:tcW w:type="dxa" w:w="2160"/>
            <w:shd w:fill="1F4E79" w:val="clear"/>
          </w:tcPr>
          <w:p>
            <w:pPr>
              <w:spacing w:before="40" w:after="40"/>
              <w:jc w:val="center"/>
            </w:pPr>
            <w:r>
              <w:rPr>
                <w:b/>
                <w:color w:val="FFFFFF"/>
                <w:sz w:val="18"/>
              </w:rPr>
              <w:t>顶级量化机构目标</w:t>
            </w:r>
          </w:p>
        </w:tc>
        <w:tc>
          <w:tcPr>
            <w:tcW w:type="dxa" w:w="2160"/>
            <w:shd w:fill="1F4E79" w:val="clear"/>
          </w:tcPr>
          <w:p>
            <w:pPr>
              <w:spacing w:before="40" w:after="40"/>
              <w:jc w:val="center"/>
            </w:pPr>
            <w:r>
              <w:rPr>
                <w:b/>
                <w:color w:val="FFFFFF"/>
                <w:sz w:val="18"/>
              </w:rPr>
              <w:t>差距评估</w:t>
            </w:r>
          </w:p>
        </w:tc>
      </w:tr>
      <w:tr>
        <w:tc>
          <w:tcPr>
            <w:tcW w:type="dxa" w:w="2160"/>
          </w:tcPr>
          <w:p>
            <w:pPr>
              <w:spacing w:before="40" w:after="40"/>
            </w:pPr>
            <w:r>
              <w:rPr>
                <w:sz w:val="18"/>
              </w:rPr>
              <w:t>数据精度</w:t>
            </w:r>
          </w:p>
        </w:tc>
        <w:tc>
          <w:tcPr>
            <w:tcW w:type="dxa" w:w="2160"/>
          </w:tcPr>
          <w:p>
            <w:pPr>
              <w:spacing w:before="40" w:after="40"/>
            </w:pPr>
            <w:r>
              <w:rPr>
                <w:sz w:val="18"/>
              </w:rPr>
              <w:t>1h K 线为主，REST API 拉取</w:t>
            </w:r>
          </w:p>
        </w:tc>
        <w:tc>
          <w:tcPr>
            <w:tcW w:type="dxa" w:w="2160"/>
          </w:tcPr>
          <w:p>
            <w:pPr>
              <w:spacing w:before="40" w:after="40"/>
            </w:pPr>
            <w:r>
              <w:rPr>
                <w:sz w:val="18"/>
              </w:rPr>
              <w:t>Tick-level L2 Order Book 全量重播</w:t>
            </w:r>
          </w:p>
        </w:tc>
        <w:tc>
          <w:tcPr>
            <w:tcW w:type="dxa" w:w="2160"/>
          </w:tcPr>
          <w:p>
            <w:pPr>
              <w:spacing w:before="40" w:after="40"/>
            </w:pPr>
            <w:r>
              <w:rPr>
                <w:sz w:val="18"/>
              </w:rPr>
              <w:t>显著差距</w:t>
            </w:r>
          </w:p>
        </w:tc>
      </w:tr>
      <w:tr>
        <w:tc>
          <w:tcPr>
            <w:tcW w:type="dxa" w:w="2160"/>
          </w:tcPr>
          <w:p>
            <w:pPr>
              <w:spacing w:before="40" w:after="40"/>
            </w:pPr>
            <w:r>
              <w:rPr>
                <w:sz w:val="18"/>
              </w:rPr>
              <w:t>Look-ahead Bias 防护</w:t>
            </w:r>
          </w:p>
        </w:tc>
        <w:tc>
          <w:tcPr>
            <w:tcW w:type="dxa" w:w="2160"/>
          </w:tcPr>
          <w:p>
            <w:pPr>
              <w:spacing w:before="40" w:after="40"/>
            </w:pPr>
            <w:r>
              <w:rPr>
                <w:sz w:val="18"/>
              </w:rPr>
              <w:t>✅ 丢弃最后未收盘 K 线、entry_idx+1 开盘价入场</w:t>
            </w:r>
          </w:p>
        </w:tc>
        <w:tc>
          <w:tcPr>
            <w:tcW w:type="dxa" w:w="2160"/>
          </w:tcPr>
          <w:p>
            <w:pPr>
              <w:spacing w:before="40" w:after="40"/>
            </w:pPr>
            <w:r>
              <w:rPr>
                <w:sz w:val="18"/>
              </w:rPr>
              <w:t>✅ Point-in-time 数据库 + 存活偏差校正</w:t>
            </w:r>
          </w:p>
        </w:tc>
        <w:tc>
          <w:tcPr>
            <w:tcW w:type="dxa" w:w="2160"/>
          </w:tcPr>
          <w:p>
            <w:pPr>
              <w:spacing w:before="40" w:after="40"/>
            </w:pPr>
            <w:r>
              <w:rPr>
                <w:sz w:val="18"/>
              </w:rPr>
              <w:t>基本达标</w:t>
            </w:r>
          </w:p>
        </w:tc>
      </w:tr>
      <w:tr>
        <w:tc>
          <w:tcPr>
            <w:tcW w:type="dxa" w:w="2160"/>
          </w:tcPr>
          <w:p>
            <w:pPr>
              <w:spacing w:before="40" w:after="40"/>
            </w:pPr>
            <w:r>
              <w:rPr>
                <w:sz w:val="18"/>
              </w:rPr>
              <w:t>回测引擎</w:t>
            </w:r>
          </w:p>
        </w:tc>
        <w:tc>
          <w:tcPr>
            <w:tcW w:type="dxa" w:w="2160"/>
          </w:tcPr>
          <w:p>
            <w:pPr>
              <w:spacing w:before="40" w:after="40"/>
            </w:pPr>
            <w:r>
              <w:rPr>
                <w:sz w:val="18"/>
              </w:rPr>
              <w:t>向量化引擎（numpy/pandas）+ 事件驱动引擎</w:t>
            </w:r>
          </w:p>
        </w:tc>
        <w:tc>
          <w:tcPr>
            <w:tcW w:type="dxa" w:w="2160"/>
          </w:tcPr>
          <w:p>
            <w:pPr>
              <w:spacing w:before="40" w:after="40"/>
            </w:pPr>
            <w:r>
              <w:rPr>
                <w:sz w:val="18"/>
              </w:rPr>
              <w:t>分布式回测集群 + Monte Carlo + Walk-forward</w:t>
            </w:r>
          </w:p>
        </w:tc>
        <w:tc>
          <w:tcPr>
            <w:tcW w:type="dxa" w:w="2160"/>
          </w:tcPr>
          <w:p>
            <w:pPr>
              <w:spacing w:before="40" w:after="40"/>
            </w:pPr>
            <w:r>
              <w:rPr>
                <w:sz w:val="18"/>
              </w:rPr>
              <w:t>中等差距（已有 Monte Carlo 模块）</w:t>
            </w:r>
          </w:p>
        </w:tc>
      </w:tr>
      <w:tr>
        <w:tc>
          <w:tcPr>
            <w:tcW w:type="dxa" w:w="2160"/>
          </w:tcPr>
          <w:p>
            <w:pPr>
              <w:spacing w:before="40" w:after="40"/>
            </w:pPr>
            <w:r>
              <w:rPr>
                <w:sz w:val="18"/>
              </w:rPr>
              <w:t>滑点建模</w:t>
            </w:r>
          </w:p>
        </w:tc>
        <w:tc>
          <w:tcPr>
            <w:tcW w:type="dxa" w:w="2160"/>
          </w:tcPr>
          <w:p>
            <w:pPr>
              <w:spacing w:before="40" w:after="40"/>
            </w:pPr>
            <w:r>
              <w:rPr>
                <w:sz w:val="18"/>
              </w:rPr>
              <w:t>Volume-Based 滑点模型</w:t>
            </w:r>
          </w:p>
        </w:tc>
        <w:tc>
          <w:tcPr>
            <w:tcW w:type="dxa" w:w="2160"/>
          </w:tcPr>
          <w:p>
            <w:pPr>
              <w:spacing w:before="40" w:after="40"/>
            </w:pPr>
            <w:r>
              <w:rPr>
                <w:sz w:val="18"/>
              </w:rPr>
              <w:t>真实 Order Book 重播 + Almgren-Chriss 市场冲击模型</w:t>
            </w:r>
          </w:p>
        </w:tc>
        <w:tc>
          <w:tcPr>
            <w:tcW w:type="dxa" w:w="2160"/>
          </w:tcPr>
          <w:p>
            <w:pPr>
              <w:spacing w:before="40" w:after="40"/>
            </w:pPr>
            <w:r>
              <w:rPr>
                <w:sz w:val="18"/>
              </w:rPr>
              <w:t>中等差距</w:t>
            </w:r>
          </w:p>
        </w:tc>
      </w:tr>
      <w:tr>
        <w:tc>
          <w:tcPr>
            <w:tcW w:type="dxa" w:w="2160"/>
          </w:tcPr>
          <w:p>
            <w:pPr>
              <w:spacing w:before="40" w:after="40"/>
            </w:pPr>
            <w:r>
              <w:rPr>
                <w:sz w:val="18"/>
              </w:rPr>
              <w:t>资金费率</w:t>
            </w:r>
          </w:p>
        </w:tc>
        <w:tc>
          <w:tcPr>
            <w:tcW w:type="dxa" w:w="2160"/>
          </w:tcPr>
          <w:p>
            <w:pPr>
              <w:spacing w:before="40" w:after="40"/>
            </w:pPr>
            <w:r>
              <w:rPr>
                <w:sz w:val="18"/>
              </w:rPr>
              <w:t>简化为固定 0.01%/8h</w:t>
            </w:r>
          </w:p>
        </w:tc>
        <w:tc>
          <w:tcPr>
            <w:tcW w:type="dxa" w:w="2160"/>
          </w:tcPr>
          <w:p>
            <w:pPr>
              <w:spacing w:before="40" w:after="40"/>
            </w:pPr>
            <w:r>
              <w:rPr>
                <w:sz w:val="18"/>
              </w:rPr>
              <w:t>逐 8h 历史费率精确累计</w:t>
            </w:r>
          </w:p>
        </w:tc>
        <w:tc>
          <w:tcPr>
            <w:tcW w:type="dxa" w:w="2160"/>
          </w:tcPr>
          <w:p>
            <w:pPr>
              <w:spacing w:before="40" w:after="40"/>
            </w:pPr>
            <w:r>
              <w:rPr>
                <w:sz w:val="18"/>
              </w:rPr>
              <w:t>轻微差距</w:t>
            </w:r>
          </w:p>
        </w:tc>
      </w:tr>
      <w:tr>
        <w:tc>
          <w:tcPr>
            <w:tcW w:type="dxa" w:w="2160"/>
          </w:tcPr>
          <w:p>
            <w:pPr>
              <w:spacing w:before="40" w:after="40"/>
            </w:pPr>
            <w:r>
              <w:rPr>
                <w:sz w:val="18"/>
              </w:rPr>
              <w:t>数据完整性</w:t>
            </w:r>
          </w:p>
        </w:tc>
        <w:tc>
          <w:tcPr>
            <w:tcW w:type="dxa" w:w="2160"/>
          </w:tcPr>
          <w:p>
            <w:pPr>
              <w:spacing w:before="40" w:after="40"/>
            </w:pPr>
            <w:r>
              <w:rPr>
                <w:sz w:val="18"/>
              </w:rPr>
              <w:t>✅ 时间戳断点校验（≥4 根缺失丢弃数据）</w:t>
            </w:r>
          </w:p>
        </w:tc>
        <w:tc>
          <w:tcPr>
            <w:tcW w:type="dxa" w:w="2160"/>
          </w:tcPr>
          <w:p>
            <w:pPr>
              <w:spacing w:before="40" w:after="40"/>
            </w:pPr>
            <w:r>
              <w:rPr>
                <w:sz w:val="18"/>
              </w:rPr>
              <w:t>多源交叉验证 + 缺失填补</w:t>
            </w:r>
          </w:p>
        </w:tc>
        <w:tc>
          <w:tcPr>
            <w:tcW w:type="dxa" w:w="2160"/>
          </w:tcPr>
          <w:p>
            <w:pPr>
              <w:spacing w:before="40" w:after="40"/>
            </w:pPr>
            <w:r>
              <w:rPr>
                <w:sz w:val="18"/>
              </w:rPr>
              <w:t>基本达标</w:t>
            </w:r>
          </w:p>
        </w:tc>
      </w:tr>
    </w:tbl>
    <w:p/>
    <w:p>
      <w:pPr>
        <w:pStyle w:val="Heading2"/>
      </w:pPr>
      <w:r>
        <w:t>2.3 Alpha 来源（Signal Generation）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4E79" w:val="clear"/>
          </w:tcPr>
          <w:p>
            <w:pPr>
              <w:spacing w:before="40" w:after="40"/>
              <w:jc w:val="center"/>
            </w:pPr>
            <w:r>
              <w:rPr>
                <w:b/>
                <w:color w:val="FFFFFF"/>
                <w:sz w:val="18"/>
              </w:rPr>
              <w:t>维度</w:t>
            </w:r>
          </w:p>
        </w:tc>
        <w:tc>
          <w:tcPr>
            <w:tcW w:type="dxa" w:w="2160"/>
            <w:shd w:fill="1F4E79" w:val="clear"/>
          </w:tcPr>
          <w:p>
            <w:pPr>
              <w:spacing w:before="40" w:after="40"/>
              <w:jc w:val="center"/>
            </w:pPr>
            <w:r>
              <w:rPr>
                <w:b/>
                <w:color w:val="FFFFFF"/>
                <w:sz w:val="18"/>
              </w:rPr>
              <w:t>本系统现状</w:t>
            </w:r>
          </w:p>
        </w:tc>
        <w:tc>
          <w:tcPr>
            <w:tcW w:type="dxa" w:w="2160"/>
            <w:shd w:fill="1F4E79" w:val="clear"/>
          </w:tcPr>
          <w:p>
            <w:pPr>
              <w:spacing w:before="40" w:after="40"/>
              <w:jc w:val="center"/>
            </w:pPr>
            <w:r>
              <w:rPr>
                <w:b/>
                <w:color w:val="FFFFFF"/>
                <w:sz w:val="18"/>
              </w:rPr>
              <w:t>顶级量化机构目标</w:t>
            </w:r>
          </w:p>
        </w:tc>
        <w:tc>
          <w:tcPr>
            <w:tcW w:type="dxa" w:w="2160"/>
            <w:shd w:fill="1F4E79" w:val="clear"/>
          </w:tcPr>
          <w:p>
            <w:pPr>
              <w:spacing w:before="40" w:after="40"/>
              <w:jc w:val="center"/>
            </w:pPr>
            <w:r>
              <w:rPr>
                <w:b/>
                <w:color w:val="FFFFFF"/>
                <w:sz w:val="18"/>
              </w:rPr>
              <w:t>差距评估</w:t>
            </w:r>
          </w:p>
        </w:tc>
      </w:tr>
      <w:tr>
        <w:tc>
          <w:tcPr>
            <w:tcW w:type="dxa" w:w="2160"/>
          </w:tcPr>
          <w:p>
            <w:pPr>
              <w:spacing w:before="40" w:after="40"/>
            </w:pPr>
            <w:r>
              <w:rPr>
                <w:sz w:val="18"/>
              </w:rPr>
              <w:t>核心因子</w:t>
            </w:r>
          </w:p>
        </w:tc>
        <w:tc>
          <w:tcPr>
            <w:tcW w:type="dxa" w:w="2160"/>
          </w:tcPr>
          <w:p>
            <w:pPr>
              <w:spacing w:before="40" w:after="40"/>
            </w:pPr>
            <w:r>
              <w:rPr>
                <w:sz w:val="18"/>
              </w:rPr>
              <w:t>RSI（Wilder 14期）+ OI 变化 + 资金费率</w:t>
            </w:r>
          </w:p>
        </w:tc>
        <w:tc>
          <w:tcPr>
            <w:tcW w:type="dxa" w:w="2160"/>
          </w:tcPr>
          <w:p>
            <w:pPr>
              <w:spacing w:before="40" w:after="40"/>
            </w:pPr>
            <w:r>
              <w:rPr>
                <w:sz w:val="18"/>
              </w:rPr>
              <w:t>多因子合成（100+因子、因子正交化、IC 衰减分析）</w:t>
            </w:r>
          </w:p>
        </w:tc>
        <w:tc>
          <w:tcPr>
            <w:tcW w:type="dxa" w:w="2160"/>
          </w:tcPr>
          <w:p>
            <w:pPr>
              <w:spacing w:before="40" w:after="40"/>
            </w:pPr>
            <w:r>
              <w:rPr>
                <w:sz w:val="18"/>
              </w:rPr>
              <w:t>巨大差距</w:t>
            </w:r>
          </w:p>
        </w:tc>
      </w:tr>
      <w:tr>
        <w:tc>
          <w:tcPr>
            <w:tcW w:type="dxa" w:w="2160"/>
          </w:tcPr>
          <w:p>
            <w:pPr>
              <w:spacing w:before="40" w:after="40"/>
            </w:pPr>
            <w:r>
              <w:rPr>
                <w:sz w:val="18"/>
              </w:rPr>
              <w:t>信号评分</w:t>
            </w:r>
          </w:p>
        </w:tc>
        <w:tc>
          <w:tcPr>
            <w:tcW w:type="dxa" w:w="2160"/>
          </w:tcPr>
          <w:p>
            <w:pPr>
              <w:spacing w:before="40" w:after="40"/>
            </w:pPr>
            <w:r>
              <w:rPr>
                <w:sz w:val="18"/>
              </w:rPr>
              <w:t>简单加权评分（满分100，4维各25）</w:t>
            </w:r>
          </w:p>
        </w:tc>
        <w:tc>
          <w:tcPr>
            <w:tcW w:type="dxa" w:w="2160"/>
          </w:tcPr>
          <w:p>
            <w:pPr>
              <w:spacing w:before="40" w:after="40"/>
            </w:pPr>
            <w:r>
              <w:rPr>
                <w:sz w:val="18"/>
              </w:rPr>
              <w:t>ML 模型（XGBoost/Transformer）+ 非线性特征交互</w:t>
            </w:r>
          </w:p>
        </w:tc>
        <w:tc>
          <w:tcPr>
            <w:tcW w:type="dxa" w:w="2160"/>
          </w:tcPr>
          <w:p>
            <w:pPr>
              <w:spacing w:before="40" w:after="40"/>
            </w:pPr>
            <w:r>
              <w:rPr>
                <w:sz w:val="18"/>
              </w:rPr>
              <w:t>显著差距</w:t>
            </w:r>
          </w:p>
        </w:tc>
      </w:tr>
      <w:tr>
        <w:tc>
          <w:tcPr>
            <w:tcW w:type="dxa" w:w="2160"/>
          </w:tcPr>
          <w:p>
            <w:pPr>
              <w:spacing w:before="40" w:after="40"/>
            </w:pPr>
            <w:r>
              <w:rPr>
                <w:sz w:val="18"/>
              </w:rPr>
              <w:t>另类数据</w:t>
            </w:r>
          </w:p>
        </w:tc>
        <w:tc>
          <w:tcPr>
            <w:tcW w:type="dxa" w:w="2160"/>
          </w:tcPr>
          <w:p>
            <w:pPr>
              <w:spacing w:before="40" w:after="40"/>
            </w:pPr>
            <w:r>
              <w:rPr>
                <w:sz w:val="18"/>
              </w:rPr>
              <w:t>❌ 无链上数据 / 社交情绪 / 鲸鱼追踪</w:t>
            </w:r>
          </w:p>
        </w:tc>
        <w:tc>
          <w:tcPr>
            <w:tcW w:type="dxa" w:w="2160"/>
          </w:tcPr>
          <w:p>
            <w:pPr>
              <w:spacing w:before="40" w:after="40"/>
            </w:pPr>
            <w:r>
              <w:rPr>
                <w:sz w:val="18"/>
              </w:rPr>
              <w:t>On-chain flow、Whale Alert、社交 NLP、DEX 流动性</w:t>
            </w:r>
          </w:p>
        </w:tc>
        <w:tc>
          <w:tcPr>
            <w:tcW w:type="dxa" w:w="2160"/>
          </w:tcPr>
          <w:p>
            <w:pPr>
              <w:spacing w:before="40" w:after="40"/>
            </w:pPr>
            <w:r>
              <w:rPr>
                <w:sz w:val="18"/>
              </w:rPr>
              <w:t>显著差距</w:t>
            </w:r>
          </w:p>
        </w:tc>
      </w:tr>
      <w:tr>
        <w:tc>
          <w:tcPr>
            <w:tcW w:type="dxa" w:w="2160"/>
          </w:tcPr>
          <w:p>
            <w:pPr>
              <w:spacing w:before="40" w:after="40"/>
            </w:pPr>
            <w:r>
              <w:rPr>
                <w:sz w:val="18"/>
              </w:rPr>
              <w:t>策略多样性</w:t>
            </w:r>
          </w:p>
        </w:tc>
        <w:tc>
          <w:tcPr>
            <w:tcW w:type="dxa" w:w="2160"/>
          </w:tcPr>
          <w:p>
            <w:pPr>
              <w:spacing w:before="40" w:after="40"/>
            </w:pPr>
            <w:r>
              <w:rPr>
                <w:sz w:val="18"/>
              </w:rPr>
              <w:t>3 个策略（做空超买、做多超卖、Funding 套利）但核心仍是 RSI 变体</w:t>
            </w:r>
          </w:p>
        </w:tc>
        <w:tc>
          <w:tcPr>
            <w:tcW w:type="dxa" w:w="2160"/>
          </w:tcPr>
          <w:p>
            <w:pPr>
              <w:spacing w:before="40" w:after="40"/>
            </w:pPr>
            <w:r>
              <w:rPr>
                <w:sz w:val="18"/>
              </w:rPr>
              <w:t>30–100+ 独立策略，低相关性组合</w:t>
            </w:r>
          </w:p>
        </w:tc>
        <w:tc>
          <w:tcPr>
            <w:tcW w:type="dxa" w:w="2160"/>
          </w:tcPr>
          <w:p>
            <w:pPr>
              <w:spacing w:before="40" w:after="40"/>
            </w:pPr>
            <w:r>
              <w:rPr>
                <w:sz w:val="18"/>
              </w:rPr>
              <w:t>巨大差距</w:t>
            </w:r>
          </w:p>
        </w:tc>
      </w:tr>
      <w:tr>
        <w:tc>
          <w:tcPr>
            <w:tcW w:type="dxa" w:w="2160"/>
          </w:tcPr>
          <w:p>
            <w:pPr>
              <w:spacing w:before="40" w:after="40"/>
            </w:pPr>
            <w:r>
              <w:rPr>
                <w:sz w:val="18"/>
              </w:rPr>
              <w:t>自适应能力</w:t>
            </w:r>
          </w:p>
        </w:tc>
        <w:tc>
          <w:tcPr>
            <w:tcW w:type="dxa" w:w="2160"/>
          </w:tcPr>
          <w:p>
            <w:pPr>
              <w:spacing w:before="40" w:after="40"/>
            </w:pPr>
            <w:r>
              <w:rPr>
                <w:sz w:val="18"/>
              </w:rPr>
              <w:t>参数固定（需人工 admin 面板调整）</w:t>
            </w:r>
          </w:p>
        </w:tc>
        <w:tc>
          <w:tcPr>
            <w:tcW w:type="dxa" w:w="2160"/>
          </w:tcPr>
          <w:p>
            <w:pPr>
              <w:spacing w:before="40" w:after="40"/>
            </w:pPr>
            <w:r>
              <w:rPr>
                <w:sz w:val="18"/>
              </w:rPr>
              <w:t>在线学习 + Regime Detection + 自动参数衰减</w:t>
            </w:r>
          </w:p>
        </w:tc>
        <w:tc>
          <w:tcPr>
            <w:tcW w:type="dxa" w:w="2160"/>
          </w:tcPr>
          <w:p>
            <w:pPr>
              <w:spacing w:before="40" w:after="40"/>
            </w:pPr>
            <w:r>
              <w:rPr>
                <w:sz w:val="18"/>
              </w:rPr>
              <w:t>显著差距</w:t>
            </w:r>
          </w:p>
        </w:tc>
      </w:tr>
    </w:tbl>
    <w:p/>
    <w:p>
      <w:pPr>
        <w:pStyle w:val="Heading1"/>
      </w:pPr>
      <w:r>
        <w:t>三、系统核心剖析（SWOT）</w:t>
      </w:r>
    </w:p>
    <w:p>
      <w:pPr>
        <w:pStyle w:val="Heading2"/>
      </w:pPr>
      <w:r>
        <w:t>3.1 Strengths（优势）</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2E7D32" w:val="clear"/>
          </w:tcPr>
          <w:p>
            <w:pPr>
              <w:spacing w:before="40" w:after="40"/>
              <w:jc w:val="center"/>
            </w:pPr>
            <w:r>
              <w:rPr>
                <w:b/>
                <w:color w:val="FFFFFF"/>
                <w:sz w:val="18"/>
              </w:rPr>
              <w:t>#</w:t>
            </w:r>
          </w:p>
        </w:tc>
        <w:tc>
          <w:tcPr>
            <w:tcW w:type="dxa" w:w="2880"/>
            <w:shd w:fill="2E7D32" w:val="clear"/>
          </w:tcPr>
          <w:p>
            <w:pPr>
              <w:spacing w:before="40" w:after="40"/>
              <w:jc w:val="center"/>
            </w:pPr>
            <w:r>
              <w:rPr>
                <w:b/>
                <w:color w:val="FFFFFF"/>
                <w:sz w:val="18"/>
              </w:rPr>
              <w:t>优势</w:t>
            </w:r>
          </w:p>
        </w:tc>
        <w:tc>
          <w:tcPr>
            <w:tcW w:type="dxa" w:w="2880"/>
            <w:shd w:fill="2E7D32" w:val="clear"/>
          </w:tcPr>
          <w:p>
            <w:pPr>
              <w:spacing w:before="40" w:after="40"/>
              <w:jc w:val="center"/>
            </w:pPr>
            <w:r>
              <w:rPr>
                <w:b/>
                <w:color w:val="FFFFFF"/>
                <w:sz w:val="18"/>
              </w:rPr>
              <w:t>具体表现</w:t>
            </w:r>
          </w:p>
        </w:tc>
      </w:tr>
      <w:tr>
        <w:tc>
          <w:tcPr>
            <w:tcW w:type="dxa" w:w="2880"/>
          </w:tcPr>
          <w:p>
            <w:pPr>
              <w:spacing w:before="40" w:after="40"/>
            </w:pPr>
            <w:r>
              <w:rPr>
                <w:sz w:val="18"/>
              </w:rPr>
              <w:t>S1</w:t>
            </w:r>
          </w:p>
        </w:tc>
        <w:tc>
          <w:tcPr>
            <w:tcW w:type="dxa" w:w="2880"/>
          </w:tcPr>
          <w:p>
            <w:pPr>
              <w:spacing w:before="40" w:after="40"/>
            </w:pPr>
            <w:r>
              <w:rPr>
                <w:sz w:val="18"/>
              </w:rPr>
              <w:t>工程完整度极高</w:t>
            </w:r>
          </w:p>
        </w:tc>
        <w:tc>
          <w:tcPr>
            <w:tcW w:type="dxa" w:w="2880"/>
          </w:tcPr>
          <w:p>
            <w:pPr>
              <w:spacing w:before="40" w:after="40"/>
            </w:pPr>
            <w:r>
              <w:rPr>
                <w:sz w:val="18"/>
              </w:rPr>
              <w:t>从扫描→开仓→持仓管理→平仓→风控→报告→诊断→归档，全生命周期闭环；45个测试用例</w:t>
            </w:r>
          </w:p>
        </w:tc>
      </w:tr>
      <w:tr>
        <w:tc>
          <w:tcPr>
            <w:tcW w:type="dxa" w:w="2880"/>
          </w:tcPr>
          <w:p>
            <w:pPr>
              <w:spacing w:before="40" w:after="40"/>
            </w:pPr>
            <w:r>
              <w:rPr>
                <w:sz w:val="18"/>
              </w:rPr>
              <w:t>S2</w:t>
            </w:r>
          </w:p>
        </w:tc>
        <w:tc>
          <w:tcPr>
            <w:tcW w:type="dxa" w:w="2880"/>
          </w:tcPr>
          <w:p>
            <w:pPr>
              <w:spacing w:before="40" w:after="40"/>
            </w:pPr>
            <w:r>
              <w:rPr>
                <w:sz w:val="18"/>
              </w:rPr>
              <w:t>多层风控体系</w:t>
            </w:r>
          </w:p>
        </w:tc>
        <w:tc>
          <w:tcPr>
            <w:tcW w:type="dxa" w:w="2880"/>
          </w:tcPr>
          <w:p>
            <w:pPr>
              <w:spacing w:before="40" w:after="40"/>
            </w:pPr>
            <w:r>
              <w:rPr>
                <w:sz w:val="18"/>
              </w:rPr>
              <w:t>8 重防护（日亏损/笔数/连亏暂停/冷却期/持仓占比/BTC 过滤/深度分析/幂等键）</w:t>
            </w:r>
          </w:p>
        </w:tc>
      </w:tr>
      <w:tr>
        <w:tc>
          <w:tcPr>
            <w:tcW w:type="dxa" w:w="2880"/>
          </w:tcPr>
          <w:p>
            <w:pPr>
              <w:spacing w:before="40" w:after="40"/>
            </w:pPr>
            <w:r>
              <w:rPr>
                <w:sz w:val="18"/>
              </w:rPr>
              <w:t>S3</w:t>
            </w:r>
          </w:p>
        </w:tc>
        <w:tc>
          <w:tcPr>
            <w:tcW w:type="dxa" w:w="2880"/>
          </w:tcPr>
          <w:p>
            <w:pPr>
              <w:spacing w:before="40" w:after="40"/>
            </w:pPr>
            <w:r>
              <w:rPr>
                <w:sz w:val="18"/>
              </w:rPr>
              <w:t>多交易所架构</w:t>
            </w:r>
          </w:p>
        </w:tc>
        <w:tc>
          <w:tcPr>
            <w:tcW w:type="dxa" w:w="2880"/>
          </w:tcPr>
          <w:p>
            <w:pPr>
              <w:spacing w:before="40" w:after="40"/>
            </w:pPr>
            <w:r>
              <w:rPr>
                <w:sz w:val="18"/>
              </w:rPr>
              <w:t>Binance/OKX/Gate 三所路由 + 影子并行模式；支持 both 模式分散对手方风险</w:t>
            </w:r>
          </w:p>
        </w:tc>
      </w:tr>
      <w:tr>
        <w:tc>
          <w:tcPr>
            <w:tcW w:type="dxa" w:w="2880"/>
          </w:tcPr>
          <w:p>
            <w:pPr>
              <w:spacing w:before="40" w:after="40"/>
            </w:pPr>
            <w:r>
              <w:rPr>
                <w:sz w:val="18"/>
              </w:rPr>
              <w:t>S4</w:t>
            </w:r>
          </w:p>
        </w:tc>
        <w:tc>
          <w:tcPr>
            <w:tcW w:type="dxa" w:w="2880"/>
          </w:tcPr>
          <w:p>
            <w:pPr>
              <w:spacing w:before="40" w:after="40"/>
            </w:pPr>
            <w:r>
              <w:rPr>
                <w:sz w:val="18"/>
              </w:rPr>
              <w:t>多账户隔离</w:t>
            </w:r>
          </w:p>
        </w:tc>
        <w:tc>
          <w:tcPr>
            <w:tcW w:type="dxa" w:w="2880"/>
          </w:tcPr>
          <w:p>
            <w:pPr>
              <w:spacing w:before="40" w:after="40"/>
            </w:pPr>
            <w:r>
              <w:rPr>
                <w:sz w:val="18"/>
              </w:rPr>
              <w:t>v3 架构每账户独立本金/杠杆/风控/复利曲线；per-account 冷却期</w:t>
            </w:r>
          </w:p>
        </w:tc>
      </w:tr>
      <w:tr>
        <w:tc>
          <w:tcPr>
            <w:tcW w:type="dxa" w:w="2880"/>
          </w:tcPr>
          <w:p>
            <w:pPr>
              <w:spacing w:before="40" w:after="40"/>
            </w:pPr>
            <w:r>
              <w:rPr>
                <w:sz w:val="18"/>
              </w:rPr>
              <w:t>S5</w:t>
            </w:r>
          </w:p>
        </w:tc>
        <w:tc>
          <w:tcPr>
            <w:tcW w:type="dxa" w:w="2880"/>
          </w:tcPr>
          <w:p>
            <w:pPr>
              <w:spacing w:before="40" w:after="40"/>
            </w:pPr>
            <w:r>
              <w:rPr>
                <w:sz w:val="18"/>
              </w:rPr>
              <w:t>部署运维成熟</w:t>
            </w:r>
          </w:p>
        </w:tc>
        <w:tc>
          <w:tcPr>
            <w:tcW w:type="dxa" w:w="2880"/>
          </w:tcPr>
          <w:p>
            <w:pPr>
              <w:spacing w:before="40" w:after="40"/>
            </w:pPr>
            <w:r>
              <w:rPr>
                <w:sz w:val="18"/>
              </w:rPr>
              <w:t>Docker Compose 编排、Redis 事件总线、健康检查、任务超时诊断、WebSocket 断线告警</w:t>
            </w:r>
          </w:p>
        </w:tc>
      </w:tr>
      <w:tr>
        <w:tc>
          <w:tcPr>
            <w:tcW w:type="dxa" w:w="2880"/>
          </w:tcPr>
          <w:p>
            <w:pPr>
              <w:spacing w:before="40" w:after="40"/>
            </w:pPr>
            <w:r>
              <w:rPr>
                <w:sz w:val="18"/>
              </w:rPr>
              <w:t>S6</w:t>
            </w:r>
          </w:p>
        </w:tc>
        <w:tc>
          <w:tcPr>
            <w:tcW w:type="dxa" w:w="2880"/>
          </w:tcPr>
          <w:p>
            <w:pPr>
              <w:spacing w:before="40" w:after="40"/>
            </w:pPr>
            <w:r>
              <w:rPr>
                <w:sz w:val="18"/>
              </w:rPr>
              <w:t>安全设计优秀</w:t>
            </w:r>
          </w:p>
        </w:tc>
        <w:tc>
          <w:tcPr>
            <w:tcW w:type="dxa" w:w="2880"/>
          </w:tcPr>
          <w:p>
            <w:pPr>
              <w:spacing w:before="40" w:after="40"/>
            </w:pPr>
            <w:r>
              <w:rPr>
                <w:sz w:val="18"/>
              </w:rPr>
              <w:t>PBKDF2-SHA256(600k iter) + TOTP + Secret URL + IP 锁定 + CSRF + 审计日志</w:t>
            </w:r>
          </w:p>
        </w:tc>
      </w:tr>
      <w:tr>
        <w:tc>
          <w:tcPr>
            <w:tcW w:type="dxa" w:w="2880"/>
          </w:tcPr>
          <w:p>
            <w:pPr>
              <w:spacing w:before="40" w:after="40"/>
            </w:pPr>
            <w:r>
              <w:rPr>
                <w:sz w:val="18"/>
              </w:rPr>
              <w:t>S7</w:t>
            </w:r>
          </w:p>
        </w:tc>
        <w:tc>
          <w:tcPr>
            <w:tcW w:type="dxa" w:w="2880"/>
          </w:tcPr>
          <w:p>
            <w:pPr>
              <w:spacing w:before="40" w:after="40"/>
            </w:pPr>
            <w:r>
              <w:rPr>
                <w:sz w:val="18"/>
              </w:rPr>
              <w:t>回测框架对齐实盘</w:t>
            </w:r>
          </w:p>
        </w:tc>
        <w:tc>
          <w:tcPr>
            <w:tcW w:type="dxa" w:w="2880"/>
          </w:tcPr>
          <w:p>
            <w:pPr>
              <w:spacing w:before="40" w:after="40"/>
            </w:pPr>
            <w:r>
              <w:rPr>
                <w:sz w:val="18"/>
              </w:rPr>
              <w:t>事件驱动回测引擎同步了复利/BTC 过滤/风控限频/冷却期，解决回测-实盘口径偏差</w:t>
            </w:r>
          </w:p>
        </w:tc>
      </w:tr>
      <w:tr>
        <w:tc>
          <w:tcPr>
            <w:tcW w:type="dxa" w:w="2880"/>
          </w:tcPr>
          <w:p>
            <w:pPr>
              <w:spacing w:before="40" w:after="40"/>
            </w:pPr>
            <w:r>
              <w:rPr>
                <w:sz w:val="18"/>
              </w:rPr>
              <w:t>S8</w:t>
            </w:r>
          </w:p>
        </w:tc>
        <w:tc>
          <w:tcPr>
            <w:tcW w:type="dxa" w:w="2880"/>
          </w:tcPr>
          <w:p>
            <w:pPr>
              <w:spacing w:before="40" w:after="40"/>
            </w:pPr>
            <w:r>
              <w:rPr>
                <w:sz w:val="18"/>
              </w:rPr>
              <w:t>优雅降级与容错</w:t>
            </w:r>
          </w:p>
        </w:tc>
        <w:tc>
          <w:tcPr>
            <w:tcW w:type="dxa" w:w="2880"/>
          </w:tcPr>
          <w:p>
            <w:pPr>
              <w:spacing w:before="40" w:after="40"/>
            </w:pPr>
            <w:r>
              <w:rPr>
                <w:sz w:val="18"/>
              </w:rPr>
              <w:t>In-flight Journal 防幽灵仓位、平仓重试队列、多源价格 fallback</w:t>
            </w:r>
          </w:p>
        </w:tc>
      </w:tr>
    </w:tbl>
    <w:p/>
    <w:p>
      <w:pPr>
        <w:pStyle w:val="Heading2"/>
      </w:pPr>
      <w:r>
        <w:t>3.2 Weaknesses（劣势）</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C62828" w:val="clear"/>
          </w:tcPr>
          <w:p>
            <w:pPr>
              <w:spacing w:before="40" w:after="40"/>
              <w:jc w:val="center"/>
            </w:pPr>
            <w:r>
              <w:rPr>
                <w:b/>
                <w:color w:val="FFFFFF"/>
                <w:sz w:val="18"/>
              </w:rPr>
              <w:t>#</w:t>
            </w:r>
          </w:p>
        </w:tc>
        <w:tc>
          <w:tcPr>
            <w:tcW w:type="dxa" w:w="2880"/>
            <w:shd w:fill="C62828" w:val="clear"/>
          </w:tcPr>
          <w:p>
            <w:pPr>
              <w:spacing w:before="40" w:after="40"/>
              <w:jc w:val="center"/>
            </w:pPr>
            <w:r>
              <w:rPr>
                <w:b/>
                <w:color w:val="FFFFFF"/>
                <w:sz w:val="18"/>
              </w:rPr>
              <w:t>劣势</w:t>
            </w:r>
          </w:p>
        </w:tc>
        <w:tc>
          <w:tcPr>
            <w:tcW w:type="dxa" w:w="2880"/>
            <w:shd w:fill="C62828" w:val="clear"/>
          </w:tcPr>
          <w:p>
            <w:pPr>
              <w:spacing w:before="40" w:after="40"/>
              <w:jc w:val="center"/>
            </w:pPr>
            <w:r>
              <w:rPr>
                <w:b/>
                <w:color w:val="FFFFFF"/>
                <w:sz w:val="18"/>
              </w:rPr>
              <w:t>影响</w:t>
            </w:r>
          </w:p>
        </w:tc>
      </w:tr>
      <w:tr>
        <w:tc>
          <w:tcPr>
            <w:tcW w:type="dxa" w:w="2880"/>
          </w:tcPr>
          <w:p>
            <w:pPr>
              <w:spacing w:before="40" w:after="40"/>
            </w:pPr>
            <w:r>
              <w:rPr>
                <w:sz w:val="18"/>
              </w:rPr>
              <w:t>W1</w:t>
            </w:r>
          </w:p>
        </w:tc>
        <w:tc>
          <w:tcPr>
            <w:tcW w:type="dxa" w:w="2880"/>
          </w:tcPr>
          <w:p>
            <w:pPr>
              <w:spacing w:before="40" w:after="40"/>
            </w:pPr>
            <w:r>
              <w:rPr>
                <w:sz w:val="18"/>
              </w:rPr>
              <w:t>Alpha 单薄</w:t>
            </w:r>
          </w:p>
        </w:tc>
        <w:tc>
          <w:tcPr>
            <w:tcW w:type="dxa" w:w="2880"/>
          </w:tcPr>
          <w:p>
            <w:pPr>
              <w:spacing w:before="40" w:after="40"/>
            </w:pPr>
            <w:r>
              <w:rPr>
                <w:sz w:val="18"/>
              </w:rPr>
              <w:t>核心仍是 RSI 一个因子，在越来越拥挤的均值回归赛道中容易被"信号衰减（Alpha Decay）"吞噬</w:t>
            </w:r>
          </w:p>
        </w:tc>
      </w:tr>
      <w:tr>
        <w:tc>
          <w:tcPr>
            <w:tcW w:type="dxa" w:w="2880"/>
          </w:tcPr>
          <w:p>
            <w:pPr>
              <w:spacing w:before="40" w:after="40"/>
            </w:pPr>
            <w:r>
              <w:rPr>
                <w:sz w:val="18"/>
              </w:rPr>
              <w:t>W2</w:t>
            </w:r>
          </w:p>
        </w:tc>
        <w:tc>
          <w:tcPr>
            <w:tcW w:type="dxa" w:w="2880"/>
          </w:tcPr>
          <w:p>
            <w:pPr>
              <w:spacing w:before="40" w:after="40"/>
            </w:pPr>
            <w:r>
              <w:rPr>
                <w:sz w:val="18"/>
              </w:rPr>
              <w:t>JSON 文件存储</w:t>
            </w:r>
          </w:p>
        </w:tc>
        <w:tc>
          <w:tcPr>
            <w:tcW w:type="dxa" w:w="2880"/>
          </w:tcPr>
          <w:p>
            <w:pPr>
              <w:spacing w:before="40" w:after="40"/>
            </w:pPr>
            <w:r>
              <w:rPr>
                <w:sz w:val="18"/>
              </w:rPr>
              <w:t>altcoin_shadow_trades.json + fcntl 锁作为主数据库，在高并发/大量历史数据下是瓶颈</w:t>
            </w:r>
          </w:p>
        </w:tc>
      </w:tr>
      <w:tr>
        <w:tc>
          <w:tcPr>
            <w:tcW w:type="dxa" w:w="2880"/>
          </w:tcPr>
          <w:p>
            <w:pPr>
              <w:spacing w:before="40" w:after="40"/>
            </w:pPr>
            <w:r>
              <w:rPr>
                <w:sz w:val="18"/>
              </w:rPr>
              <w:t>W3</w:t>
            </w:r>
          </w:p>
        </w:tc>
        <w:tc>
          <w:tcPr>
            <w:tcW w:type="dxa" w:w="2880"/>
          </w:tcPr>
          <w:p>
            <w:pPr>
              <w:spacing w:before="40" w:after="40"/>
            </w:pPr>
            <w:r>
              <w:rPr>
                <w:sz w:val="18"/>
              </w:rPr>
              <w:t>无真实 Order Book 模拟</w:t>
            </w:r>
          </w:p>
        </w:tc>
        <w:tc>
          <w:tcPr>
            <w:tcW w:type="dxa" w:w="2880"/>
          </w:tcPr>
          <w:p>
            <w:pPr>
              <w:spacing w:before="40" w:after="40"/>
            </w:pPr>
            <w:r>
              <w:rPr>
                <w:sz w:val="18"/>
              </w:rPr>
              <w:t>回测滑点模型是参数化公式，未基于真实深度重播；小币种流动性薄场景下可能严重低估滑点</w:t>
            </w:r>
          </w:p>
        </w:tc>
      </w:tr>
      <w:tr>
        <w:tc>
          <w:tcPr>
            <w:tcW w:type="dxa" w:w="2880"/>
          </w:tcPr>
          <w:p>
            <w:pPr>
              <w:spacing w:before="40" w:after="40"/>
            </w:pPr>
            <w:r>
              <w:rPr>
                <w:sz w:val="18"/>
              </w:rPr>
              <w:t>W4</w:t>
            </w:r>
          </w:p>
        </w:tc>
        <w:tc>
          <w:tcPr>
            <w:tcW w:type="dxa" w:w="2880"/>
          </w:tcPr>
          <w:p>
            <w:pPr>
              <w:spacing w:before="40" w:after="40"/>
            </w:pPr>
            <w:r>
              <w:rPr>
                <w:sz w:val="18"/>
              </w:rPr>
              <w:t>策略同质性高</w:t>
            </w:r>
          </w:p>
        </w:tc>
        <w:tc>
          <w:tcPr>
            <w:tcW w:type="dxa" w:w="2880"/>
          </w:tcPr>
          <w:p>
            <w:pPr>
              <w:spacing w:before="40" w:after="40"/>
            </w:pPr>
            <w:r>
              <w:rPr>
                <w:sz w:val="18"/>
              </w:rPr>
              <w:t>3 个策略本质都是 RSI 变体 + 方向翻转，真正的非相关 Alpha 源极少</w:t>
            </w:r>
          </w:p>
        </w:tc>
      </w:tr>
      <w:tr>
        <w:tc>
          <w:tcPr>
            <w:tcW w:type="dxa" w:w="2880"/>
          </w:tcPr>
          <w:p>
            <w:pPr>
              <w:spacing w:before="40" w:after="40"/>
            </w:pPr>
            <w:r>
              <w:rPr>
                <w:sz w:val="18"/>
              </w:rPr>
              <w:t>W5</w:t>
            </w:r>
          </w:p>
        </w:tc>
        <w:tc>
          <w:tcPr>
            <w:tcW w:type="dxa" w:w="2880"/>
          </w:tcPr>
          <w:p>
            <w:pPr>
              <w:spacing w:before="40" w:after="40"/>
            </w:pPr>
            <w:r>
              <w:rPr>
                <w:sz w:val="18"/>
              </w:rPr>
              <w:t>无实时 P&amp;L / Greeks 监控</w:t>
            </w:r>
          </w:p>
        </w:tc>
        <w:tc>
          <w:tcPr>
            <w:tcW w:type="dxa" w:w="2880"/>
          </w:tcPr>
          <w:p>
            <w:pPr>
              <w:spacing w:before="40" w:after="40"/>
            </w:pPr>
            <w:r>
              <w:rPr>
                <w:sz w:val="18"/>
              </w:rPr>
              <w:t>没有 portfolio-level 的实时风险敞口计算（Delta/Vega/Funding exposure）</w:t>
            </w:r>
          </w:p>
        </w:tc>
      </w:tr>
      <w:tr>
        <w:tc>
          <w:tcPr>
            <w:tcW w:type="dxa" w:w="2880"/>
          </w:tcPr>
          <w:p>
            <w:pPr>
              <w:spacing w:before="40" w:after="40"/>
            </w:pPr>
            <w:r>
              <w:rPr>
                <w:sz w:val="18"/>
              </w:rPr>
              <w:t>W6</w:t>
            </w:r>
          </w:p>
        </w:tc>
        <w:tc>
          <w:tcPr>
            <w:tcW w:type="dxa" w:w="2880"/>
          </w:tcPr>
          <w:p>
            <w:pPr>
              <w:spacing w:before="40" w:after="40"/>
            </w:pPr>
            <w:r>
              <w:rPr>
                <w:sz w:val="18"/>
              </w:rPr>
              <w:t>缺乏统计检验</w:t>
            </w:r>
          </w:p>
        </w:tc>
        <w:tc>
          <w:tcPr>
            <w:tcW w:type="dxa" w:w="2880"/>
          </w:tcPr>
          <w:p>
            <w:pPr>
              <w:spacing w:before="40" w:after="40"/>
            </w:pPr>
            <w:r>
              <w:rPr>
                <w:sz w:val="18"/>
              </w:rPr>
              <w:t>无 Walk-forward validation、无 Out-of-sample 测试框架、无因子 IC/IR 分析</w:t>
            </w:r>
          </w:p>
        </w:tc>
      </w:tr>
      <w:tr>
        <w:tc>
          <w:tcPr>
            <w:tcW w:type="dxa" w:w="2880"/>
          </w:tcPr>
          <w:p>
            <w:pPr>
              <w:spacing w:before="40" w:after="40"/>
            </w:pPr>
            <w:r>
              <w:rPr>
                <w:sz w:val="18"/>
              </w:rPr>
              <w:t>W7</w:t>
            </w:r>
          </w:p>
        </w:tc>
        <w:tc>
          <w:tcPr>
            <w:tcW w:type="dxa" w:w="2880"/>
          </w:tcPr>
          <w:p>
            <w:pPr>
              <w:spacing w:before="40" w:after="40"/>
            </w:pPr>
            <w:r>
              <w:rPr>
                <w:sz w:val="18"/>
              </w:rPr>
              <w:t>Python GIL 限制</w:t>
            </w:r>
          </w:p>
        </w:tc>
        <w:tc>
          <w:tcPr>
            <w:tcW w:type="dxa" w:w="2880"/>
          </w:tcPr>
          <w:p>
            <w:pPr>
              <w:spacing w:before="40" w:after="40"/>
            </w:pPr>
            <w:r>
              <w:rPr>
                <w:sz w:val="18"/>
              </w:rPr>
              <w:t>ThreadPoolExecutor 4 线程受 GIL 制约；asyncio 层虽有但策略逻辑仍在线程池同步执行</w:t>
            </w:r>
          </w:p>
        </w:tc>
      </w:tr>
    </w:tbl>
    <w:p/>
    <w:p>
      <w:pPr>
        <w:pStyle w:val="Heading2"/>
      </w:pPr>
      <w:r>
        <w:t>3.3 Opportunities（机会）</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565C0" w:val="clear"/>
          </w:tcPr>
          <w:p>
            <w:pPr>
              <w:spacing w:before="40" w:after="40"/>
              <w:jc w:val="center"/>
            </w:pPr>
            <w:r>
              <w:rPr>
                <w:b/>
                <w:color w:val="FFFFFF"/>
                <w:sz w:val="18"/>
              </w:rPr>
              <w:t>#</w:t>
            </w:r>
          </w:p>
        </w:tc>
        <w:tc>
          <w:tcPr>
            <w:tcW w:type="dxa" w:w="2880"/>
            <w:shd w:fill="1565C0" w:val="clear"/>
          </w:tcPr>
          <w:p>
            <w:pPr>
              <w:spacing w:before="40" w:after="40"/>
              <w:jc w:val="center"/>
            </w:pPr>
            <w:r>
              <w:rPr>
                <w:b/>
                <w:color w:val="FFFFFF"/>
                <w:sz w:val="18"/>
              </w:rPr>
              <w:t>机会</w:t>
            </w:r>
          </w:p>
        </w:tc>
        <w:tc>
          <w:tcPr>
            <w:tcW w:type="dxa" w:w="2880"/>
            <w:shd w:fill="1565C0" w:val="clear"/>
          </w:tcPr>
          <w:p>
            <w:pPr>
              <w:spacing w:before="40" w:after="40"/>
              <w:jc w:val="center"/>
            </w:pPr>
            <w:r>
              <w:rPr>
                <w:b/>
                <w:color w:val="FFFFFF"/>
                <w:sz w:val="18"/>
              </w:rPr>
              <w:t>可行性</w:t>
            </w:r>
          </w:p>
        </w:tc>
      </w:tr>
      <w:tr>
        <w:tc>
          <w:tcPr>
            <w:tcW w:type="dxa" w:w="2880"/>
          </w:tcPr>
          <w:p>
            <w:pPr>
              <w:spacing w:before="40" w:after="40"/>
            </w:pPr>
            <w:r>
              <w:rPr>
                <w:sz w:val="18"/>
              </w:rPr>
              <w:t>O1</w:t>
            </w:r>
          </w:p>
        </w:tc>
        <w:tc>
          <w:tcPr>
            <w:tcW w:type="dxa" w:w="2880"/>
          </w:tcPr>
          <w:p>
            <w:pPr>
              <w:spacing w:before="40" w:after="40"/>
            </w:pPr>
            <w:r>
              <w:rPr>
                <w:sz w:val="18"/>
              </w:rPr>
              <w:t>链上数据整合</w:t>
            </w:r>
          </w:p>
        </w:tc>
        <w:tc>
          <w:tcPr>
            <w:tcW w:type="dxa" w:w="2880"/>
          </w:tcPr>
          <w:p>
            <w:pPr>
              <w:spacing w:before="40" w:after="40"/>
            </w:pPr>
            <w:r>
              <w:rPr>
                <w:sz w:val="18"/>
              </w:rPr>
              <w:t>Whale Alert / DEX Net Flow / Exchange Inflow → 做空前确认"聪明钱出逃"</w:t>
            </w:r>
          </w:p>
        </w:tc>
      </w:tr>
      <w:tr>
        <w:tc>
          <w:tcPr>
            <w:tcW w:type="dxa" w:w="2880"/>
          </w:tcPr>
          <w:p>
            <w:pPr>
              <w:spacing w:before="40" w:after="40"/>
            </w:pPr>
            <w:r>
              <w:rPr>
                <w:sz w:val="18"/>
              </w:rPr>
              <w:t>O2</w:t>
            </w:r>
          </w:p>
        </w:tc>
        <w:tc>
          <w:tcPr>
            <w:tcW w:type="dxa" w:w="2880"/>
          </w:tcPr>
          <w:p>
            <w:pPr>
              <w:spacing w:before="40" w:after="40"/>
            </w:pPr>
            <w:r>
              <w:rPr>
                <w:sz w:val="18"/>
              </w:rPr>
              <w:t>ML 评分模型</w:t>
            </w:r>
          </w:p>
        </w:tc>
        <w:tc>
          <w:tcPr>
            <w:tcW w:type="dxa" w:w="2880"/>
          </w:tcPr>
          <w:p>
            <w:pPr>
              <w:spacing w:before="40" w:after="40"/>
            </w:pPr>
            <w:r>
              <w:rPr>
                <w:sz w:val="18"/>
              </w:rPr>
              <w:t>用历史 SignalLog 表训练 XGBoost/LightGBM，替代硬编码加权评分</w:t>
            </w:r>
          </w:p>
        </w:tc>
      </w:tr>
      <w:tr>
        <w:tc>
          <w:tcPr>
            <w:tcW w:type="dxa" w:w="2880"/>
          </w:tcPr>
          <w:p>
            <w:pPr>
              <w:spacing w:before="40" w:after="40"/>
            </w:pPr>
            <w:r>
              <w:rPr>
                <w:sz w:val="18"/>
              </w:rPr>
              <w:t>O3</w:t>
            </w:r>
          </w:p>
        </w:tc>
        <w:tc>
          <w:tcPr>
            <w:tcW w:type="dxa" w:w="2880"/>
          </w:tcPr>
          <w:p>
            <w:pPr>
              <w:spacing w:before="40" w:after="40"/>
            </w:pPr>
            <w:r>
              <w:rPr>
                <w:sz w:val="18"/>
              </w:rPr>
              <w:t>DB 全迁移</w:t>
            </w:r>
          </w:p>
        </w:tc>
        <w:tc>
          <w:tcPr>
            <w:tcW w:type="dxa" w:w="2880"/>
          </w:tcPr>
          <w:p>
            <w:pPr>
              <w:spacing w:before="40" w:after="40"/>
            </w:pPr>
            <w:r>
              <w:rPr>
                <w:sz w:val="18"/>
              </w:rPr>
              <w:t>SQLAlchemy models 已定义，迁移后支持复杂查询、历史回溯、JOIN 分析</w:t>
            </w:r>
          </w:p>
        </w:tc>
      </w:tr>
      <w:tr>
        <w:tc>
          <w:tcPr>
            <w:tcW w:type="dxa" w:w="2880"/>
          </w:tcPr>
          <w:p>
            <w:pPr>
              <w:spacing w:before="40" w:after="40"/>
            </w:pPr>
            <w:r>
              <w:rPr>
                <w:sz w:val="18"/>
              </w:rPr>
              <w:t>O4</w:t>
            </w:r>
          </w:p>
        </w:tc>
        <w:tc>
          <w:tcPr>
            <w:tcW w:type="dxa" w:w="2880"/>
          </w:tcPr>
          <w:p>
            <w:pPr>
              <w:spacing w:before="40" w:after="40"/>
            </w:pPr>
            <w:r>
              <w:rPr>
                <w:sz w:val="18"/>
              </w:rPr>
              <w:t>多策略低相关组合</w:t>
            </w:r>
          </w:p>
        </w:tc>
        <w:tc>
          <w:tcPr>
            <w:tcW w:type="dxa" w:w="2880"/>
          </w:tcPr>
          <w:p>
            <w:pPr>
              <w:spacing w:before="40" w:after="40"/>
            </w:pPr>
            <w:r>
              <w:rPr>
                <w:sz w:val="18"/>
              </w:rPr>
              <w:t>引入 Funding Rate 套利（已有框架）、跨交易所基差套利、波动率卖方策略</w:t>
            </w:r>
          </w:p>
        </w:tc>
      </w:tr>
      <w:tr>
        <w:tc>
          <w:tcPr>
            <w:tcW w:type="dxa" w:w="2880"/>
          </w:tcPr>
          <w:p>
            <w:pPr>
              <w:spacing w:before="40" w:after="40"/>
            </w:pPr>
            <w:r>
              <w:rPr>
                <w:sz w:val="18"/>
              </w:rPr>
              <w:t>O5</w:t>
            </w:r>
          </w:p>
        </w:tc>
        <w:tc>
          <w:tcPr>
            <w:tcW w:type="dxa" w:w="2880"/>
          </w:tcPr>
          <w:p>
            <w:pPr>
              <w:spacing w:before="40" w:after="40"/>
            </w:pPr>
            <w:r>
              <w:rPr>
                <w:sz w:val="18"/>
              </w:rPr>
              <w:t>Regime Detection</w:t>
            </w:r>
          </w:p>
        </w:tc>
        <w:tc>
          <w:tcPr>
            <w:tcW w:type="dxa" w:w="2880"/>
          </w:tcPr>
          <w:p>
            <w:pPr>
              <w:spacing w:before="40" w:after="40"/>
            </w:pPr>
            <w:r>
              <w:rPr>
                <w:sz w:val="18"/>
              </w:rPr>
              <w:t>BTC 趋势过滤已做了简单版；可升级为 Hidden Markov / 聚类模型，动态调节策略权重</w:t>
            </w:r>
          </w:p>
        </w:tc>
      </w:tr>
    </w:tbl>
    <w:p/>
    <w:p>
      <w:pPr>
        <w:pStyle w:val="Heading2"/>
      </w:pPr>
      <w:r>
        <w:t>3.4 Threats（威胁）</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E65100" w:val="clear"/>
          </w:tcPr>
          <w:p>
            <w:pPr>
              <w:spacing w:before="40" w:after="40"/>
              <w:jc w:val="center"/>
            </w:pPr>
            <w:r>
              <w:rPr>
                <w:b/>
                <w:color w:val="FFFFFF"/>
                <w:sz w:val="18"/>
              </w:rPr>
              <w:t>#</w:t>
            </w:r>
          </w:p>
        </w:tc>
        <w:tc>
          <w:tcPr>
            <w:tcW w:type="dxa" w:w="2880"/>
            <w:shd w:fill="E65100" w:val="clear"/>
          </w:tcPr>
          <w:p>
            <w:pPr>
              <w:spacing w:before="40" w:after="40"/>
              <w:jc w:val="center"/>
            </w:pPr>
            <w:r>
              <w:rPr>
                <w:b/>
                <w:color w:val="FFFFFF"/>
                <w:sz w:val="18"/>
              </w:rPr>
              <w:t>威胁</w:t>
            </w:r>
          </w:p>
        </w:tc>
        <w:tc>
          <w:tcPr>
            <w:tcW w:type="dxa" w:w="2880"/>
            <w:shd w:fill="E65100" w:val="clear"/>
          </w:tcPr>
          <w:p>
            <w:pPr>
              <w:spacing w:before="40" w:after="40"/>
              <w:jc w:val="center"/>
            </w:pPr>
            <w:r>
              <w:rPr>
                <w:b/>
                <w:color w:val="FFFFFF"/>
                <w:sz w:val="18"/>
              </w:rPr>
              <w:t>严重程度</w:t>
            </w:r>
          </w:p>
        </w:tc>
      </w:tr>
      <w:tr>
        <w:tc>
          <w:tcPr>
            <w:tcW w:type="dxa" w:w="2880"/>
          </w:tcPr>
          <w:p>
            <w:pPr>
              <w:spacing w:before="40" w:after="40"/>
            </w:pPr>
            <w:r>
              <w:rPr>
                <w:sz w:val="18"/>
              </w:rPr>
              <w:t>T1</w:t>
            </w:r>
          </w:p>
        </w:tc>
        <w:tc>
          <w:tcPr>
            <w:tcW w:type="dxa" w:w="2880"/>
          </w:tcPr>
          <w:p>
            <w:pPr>
              <w:spacing w:before="40" w:after="40"/>
            </w:pPr>
            <w:r>
              <w:rPr>
                <w:sz w:val="18"/>
              </w:rPr>
              <w:t>信号拥挤 — RSI 是最古老的技术指标，大量交易者和机器人都在用 → 信号边际收益递减</w:t>
            </w:r>
          </w:p>
        </w:tc>
        <w:tc>
          <w:tcPr>
            <w:tcW w:type="dxa" w:w="2880"/>
          </w:tcPr>
          <w:p>
            <w:pPr>
              <w:spacing w:before="40" w:after="40"/>
            </w:pPr>
            <w:r>
              <w:rPr>
                <w:sz w:val="18"/>
              </w:rPr>
              <w:t>🔴 高</w:t>
            </w:r>
          </w:p>
        </w:tc>
      </w:tr>
      <w:tr>
        <w:tc>
          <w:tcPr>
            <w:tcW w:type="dxa" w:w="2880"/>
          </w:tcPr>
          <w:p>
            <w:pPr>
              <w:spacing w:before="40" w:after="40"/>
            </w:pPr>
            <w:r>
              <w:rPr>
                <w:sz w:val="18"/>
              </w:rPr>
              <w:t>T2</w:t>
            </w:r>
          </w:p>
        </w:tc>
        <w:tc>
          <w:tcPr>
            <w:tcW w:type="dxa" w:w="2880"/>
          </w:tcPr>
          <w:p>
            <w:pPr>
              <w:spacing w:before="40" w:after="40"/>
            </w:pPr>
            <w:r>
              <w:rPr>
                <w:sz w:val="18"/>
              </w:rPr>
              <w:t>交易所风控升级 — Binance 动态调整杠杆上限/限速/保证金要求，可能导致策略参数突然失效</w:t>
            </w:r>
          </w:p>
        </w:tc>
        <w:tc>
          <w:tcPr>
            <w:tcW w:type="dxa" w:w="2880"/>
          </w:tcPr>
          <w:p>
            <w:pPr>
              <w:spacing w:before="40" w:after="40"/>
            </w:pPr>
            <w:r>
              <w:rPr>
                <w:sz w:val="18"/>
              </w:rPr>
              <w:t>🟡 中</w:t>
            </w:r>
          </w:p>
        </w:tc>
      </w:tr>
      <w:tr>
        <w:tc>
          <w:tcPr>
            <w:tcW w:type="dxa" w:w="2880"/>
          </w:tcPr>
          <w:p>
            <w:pPr>
              <w:spacing w:before="40" w:after="40"/>
            </w:pPr>
            <w:r>
              <w:rPr>
                <w:sz w:val="18"/>
              </w:rPr>
              <w:t>T3</w:t>
            </w:r>
          </w:p>
        </w:tc>
        <w:tc>
          <w:tcPr>
            <w:tcW w:type="dxa" w:w="2880"/>
          </w:tcPr>
          <w:p>
            <w:pPr>
              <w:spacing w:before="40" w:after="40"/>
            </w:pPr>
            <w:r>
              <w:rPr>
                <w:sz w:val="18"/>
              </w:rPr>
              <w:t>流动性抽取 — 小币种在极端行情下 Order Book 瞬间清空，5% 硬止损可能产生 10%+ 实际亏损</w:t>
            </w:r>
          </w:p>
        </w:tc>
        <w:tc>
          <w:tcPr>
            <w:tcW w:type="dxa" w:w="2880"/>
          </w:tcPr>
          <w:p>
            <w:pPr>
              <w:spacing w:before="40" w:after="40"/>
            </w:pPr>
            <w:r>
              <w:rPr>
                <w:sz w:val="18"/>
              </w:rPr>
              <w:t>🔴 高</w:t>
            </w:r>
          </w:p>
        </w:tc>
      </w:tr>
      <w:tr>
        <w:tc>
          <w:tcPr>
            <w:tcW w:type="dxa" w:w="2880"/>
          </w:tcPr>
          <w:p>
            <w:pPr>
              <w:spacing w:before="40" w:after="40"/>
            </w:pPr>
            <w:r>
              <w:rPr>
                <w:sz w:val="18"/>
              </w:rPr>
              <w:t>T4</w:t>
            </w:r>
          </w:p>
        </w:tc>
        <w:tc>
          <w:tcPr>
            <w:tcW w:type="dxa" w:w="2880"/>
          </w:tcPr>
          <w:p>
            <w:pPr>
              <w:spacing w:before="40" w:after="40"/>
            </w:pPr>
            <w:r>
              <w:rPr>
                <w:sz w:val="18"/>
              </w:rPr>
              <w:t>单一方向风险 — 纯做空策略在牛市中系统性亏损（BTC 过滤是唯一防线）</w:t>
            </w:r>
          </w:p>
        </w:tc>
        <w:tc>
          <w:tcPr>
            <w:tcW w:type="dxa" w:w="2880"/>
          </w:tcPr>
          <w:p>
            <w:pPr>
              <w:spacing w:before="40" w:after="40"/>
            </w:pPr>
            <w:r>
              <w:rPr>
                <w:sz w:val="18"/>
              </w:rPr>
              <w:t>🟡 中</w:t>
            </w:r>
          </w:p>
        </w:tc>
      </w:tr>
    </w:tbl>
    <w:p/>
    <w:p>
      <w:pPr>
        <w:pStyle w:val="Heading1"/>
      </w:pPr>
      <w:r>
        <w:t>四、进阶改进建议</w:t>
      </w:r>
    </w:p>
    <w:p>
      <w:pPr>
        <w:pStyle w:val="Heading2"/>
      </w:pPr>
      <w:r>
        <w:t>4.1 架构层面</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4E79" w:val="clear"/>
          </w:tcPr>
          <w:p>
            <w:pPr>
              <w:spacing w:before="40" w:after="40"/>
              <w:jc w:val="center"/>
            </w:pPr>
            <w:r>
              <w:rPr>
                <w:b/>
                <w:color w:val="FFFFFF"/>
                <w:sz w:val="18"/>
              </w:rPr>
              <w:t>优先级</w:t>
            </w:r>
          </w:p>
        </w:tc>
        <w:tc>
          <w:tcPr>
            <w:tcW w:type="dxa" w:w="2160"/>
            <w:shd w:fill="1F4E79" w:val="clear"/>
          </w:tcPr>
          <w:p>
            <w:pPr>
              <w:spacing w:before="40" w:after="40"/>
              <w:jc w:val="center"/>
            </w:pPr>
            <w:r>
              <w:rPr>
                <w:b/>
                <w:color w:val="FFFFFF"/>
                <w:sz w:val="18"/>
              </w:rPr>
              <w:t>改进项</w:t>
            </w:r>
          </w:p>
        </w:tc>
        <w:tc>
          <w:tcPr>
            <w:tcW w:type="dxa" w:w="2160"/>
            <w:shd w:fill="1F4E79" w:val="clear"/>
          </w:tcPr>
          <w:p>
            <w:pPr>
              <w:spacing w:before="40" w:after="40"/>
              <w:jc w:val="center"/>
            </w:pPr>
            <w:r>
              <w:rPr>
                <w:b/>
                <w:color w:val="FFFFFF"/>
                <w:sz w:val="18"/>
              </w:rPr>
              <w:t>具体方案</w:t>
            </w:r>
          </w:p>
        </w:tc>
        <w:tc>
          <w:tcPr>
            <w:tcW w:type="dxa" w:w="2160"/>
            <w:shd w:fill="1F4E79" w:val="clear"/>
          </w:tcPr>
          <w:p>
            <w:pPr>
              <w:spacing w:before="40" w:after="40"/>
              <w:jc w:val="center"/>
            </w:pPr>
            <w:r>
              <w:rPr>
                <w:b/>
                <w:color w:val="FFFFFF"/>
                <w:sz w:val="18"/>
              </w:rPr>
              <w:t>预期效果</w:t>
            </w:r>
          </w:p>
        </w:tc>
      </w:tr>
      <w:tr>
        <w:tc>
          <w:tcPr>
            <w:tcW w:type="dxa" w:w="2160"/>
          </w:tcPr>
          <w:p>
            <w:pPr>
              <w:spacing w:before="40" w:after="40"/>
            </w:pPr>
            <w:r>
              <w:rPr>
                <w:sz w:val="18"/>
              </w:rPr>
              <w:t>P0</w:t>
            </w:r>
          </w:p>
        </w:tc>
        <w:tc>
          <w:tcPr>
            <w:tcW w:type="dxa" w:w="2160"/>
          </w:tcPr>
          <w:p>
            <w:pPr>
              <w:spacing w:before="40" w:after="40"/>
            </w:pPr>
            <w:r>
              <w:rPr>
                <w:sz w:val="18"/>
              </w:rPr>
              <w:t>数据层迁移</w:t>
            </w:r>
          </w:p>
        </w:tc>
        <w:tc>
          <w:tcPr>
            <w:tcW w:type="dxa" w:w="2160"/>
          </w:tcPr>
          <w:p>
            <w:pPr>
              <w:spacing w:before="40" w:after="40"/>
            </w:pPr>
            <w:r>
              <w:rPr>
                <w:sz w:val="18"/>
              </w:rPr>
              <w:t>全面切换到 PostgreSQL（models 已定义），消除 JSON + fcntl 瓶颈</w:t>
            </w:r>
          </w:p>
        </w:tc>
        <w:tc>
          <w:tcPr>
            <w:tcW w:type="dxa" w:w="2160"/>
          </w:tcPr>
          <w:p>
            <w:pPr>
              <w:spacing w:before="40" w:after="40"/>
            </w:pPr>
            <w:r>
              <w:rPr>
                <w:sz w:val="18"/>
              </w:rPr>
              <w:t>支持复杂查询、并发安全、数据完整性约束</w:t>
            </w:r>
          </w:p>
        </w:tc>
      </w:tr>
      <w:tr>
        <w:tc>
          <w:tcPr>
            <w:tcW w:type="dxa" w:w="2160"/>
          </w:tcPr>
          <w:p>
            <w:pPr>
              <w:spacing w:before="40" w:after="40"/>
            </w:pPr>
            <w:r>
              <w:rPr>
                <w:sz w:val="18"/>
              </w:rPr>
              <w:t>P1</w:t>
            </w:r>
          </w:p>
        </w:tc>
        <w:tc>
          <w:tcPr>
            <w:tcW w:type="dxa" w:w="2160"/>
          </w:tcPr>
          <w:p>
            <w:pPr>
              <w:spacing w:before="40" w:after="40"/>
            </w:pPr>
            <w:r>
              <w:rPr>
                <w:sz w:val="18"/>
              </w:rPr>
              <w:t>WebSocket 全量化</w:t>
            </w:r>
          </w:p>
        </w:tc>
        <w:tc>
          <w:tcPr>
            <w:tcW w:type="dxa" w:w="2160"/>
          </w:tcPr>
          <w:p>
            <w:pPr>
              <w:spacing w:before="40" w:after="40"/>
            </w:pPr>
            <w:r>
              <w:rPr>
                <w:sz w:val="18"/>
              </w:rPr>
              <w:t>将 hot_scanner 的 WS 扩展到所有活跃持仓的 Order Book Depth Stream</w:t>
            </w:r>
          </w:p>
        </w:tc>
        <w:tc>
          <w:tcPr>
            <w:tcW w:type="dxa" w:w="2160"/>
          </w:tcPr>
          <w:p>
            <w:pPr>
              <w:spacing w:before="40" w:after="40"/>
            </w:pPr>
            <w:r>
              <w:rPr>
                <w:sz w:val="18"/>
              </w:rPr>
              <w:t>实时深度分析 + &lt;100ms 止损触发</w:t>
            </w:r>
          </w:p>
        </w:tc>
      </w:tr>
      <w:tr>
        <w:tc>
          <w:tcPr>
            <w:tcW w:type="dxa" w:w="2160"/>
          </w:tcPr>
          <w:p>
            <w:pPr>
              <w:spacing w:before="40" w:after="40"/>
            </w:pPr>
            <w:r>
              <w:rPr>
                <w:sz w:val="18"/>
              </w:rPr>
              <w:t>P2</w:t>
            </w:r>
          </w:p>
        </w:tc>
        <w:tc>
          <w:tcPr>
            <w:tcW w:type="dxa" w:w="2160"/>
          </w:tcPr>
          <w:p>
            <w:pPr>
              <w:spacing w:before="40" w:after="40"/>
            </w:pPr>
            <w:r>
              <w:rPr>
                <w:sz w:val="18"/>
              </w:rPr>
              <w:t>微服务拆分</w:t>
            </w:r>
          </w:p>
        </w:tc>
        <w:tc>
          <w:tcPr>
            <w:tcW w:type="dxa" w:w="2160"/>
          </w:tcPr>
          <w:p>
            <w:pPr>
              <w:spacing w:before="40" w:after="40"/>
            </w:pPr>
            <w:r>
              <w:rPr>
                <w:sz w:val="18"/>
              </w:rPr>
              <w:t>Scanner / Executor / RiskEngine / Dashboard 拆为独立进程，用 Redis Pub/Sub 通信</w:t>
            </w:r>
          </w:p>
        </w:tc>
        <w:tc>
          <w:tcPr>
            <w:tcW w:type="dxa" w:w="2160"/>
          </w:tcPr>
          <w:p>
            <w:pPr>
              <w:spacing w:before="40" w:after="40"/>
            </w:pPr>
            <w:r>
              <w:rPr>
                <w:sz w:val="18"/>
              </w:rPr>
              <w:t>水平扩展 + 故障隔离</w:t>
            </w:r>
          </w:p>
        </w:tc>
      </w:tr>
      <w:tr>
        <w:tc>
          <w:tcPr>
            <w:tcW w:type="dxa" w:w="2160"/>
          </w:tcPr>
          <w:p>
            <w:pPr>
              <w:spacing w:before="40" w:after="40"/>
            </w:pPr>
            <w:r>
              <w:rPr>
                <w:sz w:val="18"/>
              </w:rPr>
              <w:t>P3</w:t>
            </w:r>
          </w:p>
        </w:tc>
        <w:tc>
          <w:tcPr>
            <w:tcW w:type="dxa" w:w="2160"/>
          </w:tcPr>
          <w:p>
            <w:pPr>
              <w:spacing w:before="40" w:after="40"/>
            </w:pPr>
            <w:r>
              <w:rPr>
                <w:sz w:val="18"/>
              </w:rPr>
              <w:t>Co-location 部署</w:t>
            </w:r>
          </w:p>
        </w:tc>
        <w:tc>
          <w:tcPr>
            <w:tcW w:type="dxa" w:w="2160"/>
          </w:tcPr>
          <w:p>
            <w:pPr>
              <w:spacing w:before="40" w:after="40"/>
            </w:pPr>
            <w:r>
              <w:rPr>
                <w:sz w:val="18"/>
              </w:rPr>
              <w:t>将执行引擎部署到 AWS Tokyo (ap-northeast-1)，靠近 Binance 撮合引擎</w:t>
            </w:r>
          </w:p>
        </w:tc>
        <w:tc>
          <w:tcPr>
            <w:tcW w:type="dxa" w:w="2160"/>
          </w:tcPr>
          <w:p>
            <w:pPr>
              <w:spacing w:before="40" w:after="40"/>
            </w:pPr>
            <w:r>
              <w:rPr>
                <w:sz w:val="18"/>
              </w:rPr>
              <w:t>下单延迟 ~50ms → ~5ms</w:t>
            </w:r>
          </w:p>
        </w:tc>
      </w:tr>
    </w:tbl>
    <w:p/>
    <w:p>
      <w:pPr>
        <w:pStyle w:val="Heading2"/>
      </w:pPr>
      <w:r>
        <w:t>4.2 风控层面</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4E79" w:val="clear"/>
          </w:tcPr>
          <w:p>
            <w:pPr>
              <w:spacing w:before="40" w:after="40"/>
              <w:jc w:val="center"/>
            </w:pPr>
            <w:r>
              <w:rPr>
                <w:b/>
                <w:color w:val="FFFFFF"/>
                <w:sz w:val="18"/>
              </w:rPr>
              <w:t>优先级</w:t>
            </w:r>
          </w:p>
        </w:tc>
        <w:tc>
          <w:tcPr>
            <w:tcW w:type="dxa" w:w="2160"/>
            <w:shd w:fill="1F4E79" w:val="clear"/>
          </w:tcPr>
          <w:p>
            <w:pPr>
              <w:spacing w:before="40" w:after="40"/>
              <w:jc w:val="center"/>
            </w:pPr>
            <w:r>
              <w:rPr>
                <w:b/>
                <w:color w:val="FFFFFF"/>
                <w:sz w:val="18"/>
              </w:rPr>
              <w:t>改进项</w:t>
            </w:r>
          </w:p>
        </w:tc>
        <w:tc>
          <w:tcPr>
            <w:tcW w:type="dxa" w:w="2160"/>
            <w:shd w:fill="1F4E79" w:val="clear"/>
          </w:tcPr>
          <w:p>
            <w:pPr>
              <w:spacing w:before="40" w:after="40"/>
              <w:jc w:val="center"/>
            </w:pPr>
            <w:r>
              <w:rPr>
                <w:b/>
                <w:color w:val="FFFFFF"/>
                <w:sz w:val="18"/>
              </w:rPr>
              <w:t>具体方案</w:t>
            </w:r>
          </w:p>
        </w:tc>
        <w:tc>
          <w:tcPr>
            <w:tcW w:type="dxa" w:w="2160"/>
            <w:shd w:fill="1F4E79" w:val="clear"/>
          </w:tcPr>
          <w:p>
            <w:pPr>
              <w:spacing w:before="40" w:after="40"/>
              <w:jc w:val="center"/>
            </w:pPr>
            <w:r>
              <w:rPr>
                <w:b/>
                <w:color w:val="FFFFFF"/>
                <w:sz w:val="18"/>
              </w:rPr>
              <w:t>预期效果</w:t>
            </w:r>
          </w:p>
        </w:tc>
      </w:tr>
      <w:tr>
        <w:tc>
          <w:tcPr>
            <w:tcW w:type="dxa" w:w="2160"/>
          </w:tcPr>
          <w:p>
            <w:pPr>
              <w:spacing w:before="40" w:after="40"/>
            </w:pPr>
            <w:r>
              <w:rPr>
                <w:sz w:val="18"/>
              </w:rPr>
              <w:t>P0</w:t>
            </w:r>
          </w:p>
        </w:tc>
        <w:tc>
          <w:tcPr>
            <w:tcW w:type="dxa" w:w="2160"/>
          </w:tcPr>
          <w:p>
            <w:pPr>
              <w:spacing w:before="40" w:after="40"/>
            </w:pPr>
            <w:r>
              <w:rPr>
                <w:sz w:val="18"/>
              </w:rPr>
              <w:t>Portfolio VaR</w:t>
            </w:r>
          </w:p>
        </w:tc>
        <w:tc>
          <w:tcPr>
            <w:tcW w:type="dxa" w:w="2160"/>
          </w:tcPr>
          <w:p>
            <w:pPr>
              <w:spacing w:before="40" w:after="40"/>
            </w:pPr>
            <w:r>
              <w:rPr>
                <w:sz w:val="18"/>
              </w:rPr>
              <w:t>实现 Historical VaR / CVaR 计算，基于持仓相关性矩阵估算尾部风险</w:t>
            </w:r>
          </w:p>
        </w:tc>
        <w:tc>
          <w:tcPr>
            <w:tcW w:type="dxa" w:w="2160"/>
          </w:tcPr>
          <w:p>
            <w:pPr>
              <w:spacing w:before="40" w:after="40"/>
            </w:pPr>
            <w:r>
              <w:rPr>
                <w:sz w:val="18"/>
              </w:rPr>
              <w:t>防止"所有持仓同时止损"的极端场景</w:t>
            </w:r>
          </w:p>
        </w:tc>
      </w:tr>
      <w:tr>
        <w:tc>
          <w:tcPr>
            <w:tcW w:type="dxa" w:w="2160"/>
          </w:tcPr>
          <w:p>
            <w:pPr>
              <w:spacing w:before="40" w:after="40"/>
            </w:pPr>
            <w:r>
              <w:rPr>
                <w:sz w:val="18"/>
              </w:rPr>
              <w:t>P1</w:t>
            </w:r>
          </w:p>
        </w:tc>
        <w:tc>
          <w:tcPr>
            <w:tcW w:type="dxa" w:w="2160"/>
          </w:tcPr>
          <w:p>
            <w:pPr>
              <w:spacing w:before="40" w:after="40"/>
            </w:pPr>
            <w:r>
              <w:rPr>
                <w:sz w:val="18"/>
              </w:rPr>
              <w:t>动态止损</w:t>
            </w:r>
          </w:p>
        </w:tc>
        <w:tc>
          <w:tcPr>
            <w:tcW w:type="dxa" w:w="2160"/>
          </w:tcPr>
          <w:p>
            <w:pPr>
              <w:spacing w:before="40" w:after="40"/>
            </w:pPr>
            <w:r>
              <w:rPr>
                <w:sz w:val="18"/>
              </w:rPr>
              <w:t>基于 ATR（Average True Range）动态调整硬止损百分比，替代固定 5%</w:t>
            </w:r>
          </w:p>
        </w:tc>
        <w:tc>
          <w:tcPr>
            <w:tcW w:type="dxa" w:w="2160"/>
          </w:tcPr>
          <w:p>
            <w:pPr>
              <w:spacing w:before="40" w:after="40"/>
            </w:pPr>
            <w:r>
              <w:rPr>
                <w:sz w:val="18"/>
              </w:rPr>
              <w:t>减少牛市假突破止损，增加熊市保护力度</w:t>
            </w:r>
          </w:p>
        </w:tc>
      </w:tr>
      <w:tr>
        <w:tc>
          <w:tcPr>
            <w:tcW w:type="dxa" w:w="2160"/>
          </w:tcPr>
          <w:p>
            <w:pPr>
              <w:spacing w:before="40" w:after="40"/>
            </w:pPr>
            <w:r>
              <w:rPr>
                <w:sz w:val="18"/>
              </w:rPr>
              <w:t>P2</w:t>
            </w:r>
          </w:p>
        </w:tc>
        <w:tc>
          <w:tcPr>
            <w:tcW w:type="dxa" w:w="2160"/>
          </w:tcPr>
          <w:p>
            <w:pPr>
              <w:spacing w:before="40" w:after="40"/>
            </w:pPr>
            <w:r>
              <w:rPr>
                <w:sz w:val="18"/>
              </w:rPr>
              <w:t>Liquidation 预警</w:t>
            </w:r>
          </w:p>
        </w:tc>
        <w:tc>
          <w:tcPr>
            <w:tcW w:type="dxa" w:w="2160"/>
          </w:tcPr>
          <w:p>
            <w:pPr>
              <w:spacing w:before="40" w:after="40"/>
            </w:pPr>
            <w:r>
              <w:rPr>
                <w:sz w:val="18"/>
              </w:rPr>
              <w:t>接入 Binance @forceOrder WebSocket，监控全市场爆仓流 → 极端行情提前减仓</w:t>
            </w:r>
          </w:p>
        </w:tc>
        <w:tc>
          <w:tcPr>
            <w:tcW w:type="dxa" w:w="2160"/>
          </w:tcPr>
          <w:p>
            <w:pPr>
              <w:spacing w:before="40" w:after="40"/>
            </w:pPr>
            <w:r>
              <w:rPr>
                <w:sz w:val="18"/>
              </w:rPr>
              <w:t>黑天鹅保护</w:t>
            </w:r>
          </w:p>
        </w:tc>
      </w:tr>
      <w:tr>
        <w:tc>
          <w:tcPr>
            <w:tcW w:type="dxa" w:w="2160"/>
          </w:tcPr>
          <w:p>
            <w:pPr>
              <w:spacing w:before="40" w:after="40"/>
            </w:pPr>
            <w:r>
              <w:rPr>
                <w:sz w:val="18"/>
              </w:rPr>
              <w:t>P3</w:t>
            </w:r>
          </w:p>
        </w:tc>
        <w:tc>
          <w:tcPr>
            <w:tcW w:type="dxa" w:w="2160"/>
          </w:tcPr>
          <w:p>
            <w:pPr>
              <w:spacing w:before="40" w:after="40"/>
            </w:pPr>
            <w:r>
              <w:rPr>
                <w:sz w:val="18"/>
              </w:rPr>
              <w:t>压力测试模块</w:t>
            </w:r>
          </w:p>
        </w:tc>
        <w:tc>
          <w:tcPr>
            <w:tcW w:type="dxa" w:w="2160"/>
          </w:tcPr>
          <w:p>
            <w:pPr>
              <w:spacing w:before="40" w:after="40"/>
            </w:pPr>
            <w:r>
              <w:rPr>
                <w:sz w:val="18"/>
              </w:rPr>
              <w:t>用 Monte Carlo 模拟 3σ 事件（flash crash / exchange downtime / API 限速风暴）</w:t>
            </w:r>
          </w:p>
        </w:tc>
        <w:tc>
          <w:tcPr>
            <w:tcW w:type="dxa" w:w="2160"/>
          </w:tcPr>
          <w:p>
            <w:pPr>
              <w:spacing w:before="40" w:after="40"/>
            </w:pPr>
            <w:r>
              <w:rPr>
                <w:sz w:val="18"/>
              </w:rPr>
              <w:t>量化最大可承受冲击</w:t>
            </w:r>
          </w:p>
        </w:tc>
      </w:tr>
    </w:tbl>
    <w:p/>
    <w:p>
      <w:pPr>
        <w:pStyle w:val="Heading2"/>
      </w:pPr>
      <w:r>
        <w:t>4.3 策略层面</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4E79" w:val="clear"/>
          </w:tcPr>
          <w:p>
            <w:pPr>
              <w:spacing w:before="40" w:after="40"/>
              <w:jc w:val="center"/>
            </w:pPr>
            <w:r>
              <w:rPr>
                <w:b/>
                <w:color w:val="FFFFFF"/>
                <w:sz w:val="18"/>
              </w:rPr>
              <w:t>优先级</w:t>
            </w:r>
          </w:p>
        </w:tc>
        <w:tc>
          <w:tcPr>
            <w:tcW w:type="dxa" w:w="2160"/>
            <w:shd w:fill="1F4E79" w:val="clear"/>
          </w:tcPr>
          <w:p>
            <w:pPr>
              <w:spacing w:before="40" w:after="40"/>
              <w:jc w:val="center"/>
            </w:pPr>
            <w:r>
              <w:rPr>
                <w:b/>
                <w:color w:val="FFFFFF"/>
                <w:sz w:val="18"/>
              </w:rPr>
              <w:t>改进项</w:t>
            </w:r>
          </w:p>
        </w:tc>
        <w:tc>
          <w:tcPr>
            <w:tcW w:type="dxa" w:w="2160"/>
            <w:shd w:fill="1F4E79" w:val="clear"/>
          </w:tcPr>
          <w:p>
            <w:pPr>
              <w:spacing w:before="40" w:after="40"/>
              <w:jc w:val="center"/>
            </w:pPr>
            <w:r>
              <w:rPr>
                <w:b/>
                <w:color w:val="FFFFFF"/>
                <w:sz w:val="18"/>
              </w:rPr>
              <w:t>具体方案</w:t>
            </w:r>
          </w:p>
        </w:tc>
        <w:tc>
          <w:tcPr>
            <w:tcW w:type="dxa" w:w="2160"/>
            <w:shd w:fill="1F4E79" w:val="clear"/>
          </w:tcPr>
          <w:p>
            <w:pPr>
              <w:spacing w:before="40" w:after="40"/>
              <w:jc w:val="center"/>
            </w:pPr>
            <w:r>
              <w:rPr>
                <w:b/>
                <w:color w:val="FFFFFF"/>
                <w:sz w:val="18"/>
              </w:rPr>
              <w:t>预期效果</w:t>
            </w:r>
          </w:p>
        </w:tc>
      </w:tr>
      <w:tr>
        <w:tc>
          <w:tcPr>
            <w:tcW w:type="dxa" w:w="2160"/>
          </w:tcPr>
          <w:p>
            <w:pPr>
              <w:spacing w:before="40" w:after="40"/>
            </w:pPr>
            <w:r>
              <w:rPr>
                <w:sz w:val="18"/>
              </w:rPr>
              <w:t>P0</w:t>
            </w:r>
          </w:p>
        </w:tc>
        <w:tc>
          <w:tcPr>
            <w:tcW w:type="dxa" w:w="2160"/>
          </w:tcPr>
          <w:p>
            <w:pPr>
              <w:spacing w:before="40" w:after="40"/>
            </w:pPr>
            <w:r>
              <w:rPr>
                <w:sz w:val="18"/>
              </w:rPr>
              <w:t>ML 信号评分</w:t>
            </w:r>
          </w:p>
        </w:tc>
        <w:tc>
          <w:tcPr>
            <w:tcW w:type="dxa" w:w="2160"/>
          </w:tcPr>
          <w:p>
            <w:pPr>
              <w:spacing w:before="40" w:after="40"/>
            </w:pPr>
            <w:r>
              <w:rPr>
                <w:sz w:val="18"/>
              </w:rPr>
              <w:t>收集 signal_logs 表历史数据 → LightGBM 二分类（开仓后24h是否盈利）→ 替代硬编码评分</w:t>
            </w:r>
          </w:p>
        </w:tc>
        <w:tc>
          <w:tcPr>
            <w:tcW w:type="dxa" w:w="2160"/>
          </w:tcPr>
          <w:p>
            <w:pPr>
              <w:spacing w:before="40" w:after="40"/>
            </w:pPr>
            <w:r>
              <w:rPr>
                <w:sz w:val="18"/>
              </w:rPr>
              <w:t>预期 Sharpe +0.3–0.5</w:t>
            </w:r>
          </w:p>
        </w:tc>
      </w:tr>
      <w:tr>
        <w:tc>
          <w:tcPr>
            <w:tcW w:type="dxa" w:w="2160"/>
          </w:tcPr>
          <w:p>
            <w:pPr>
              <w:spacing w:before="40" w:after="40"/>
            </w:pPr>
            <w:r>
              <w:rPr>
                <w:sz w:val="18"/>
              </w:rPr>
              <w:t>P1</w:t>
            </w:r>
          </w:p>
        </w:tc>
        <w:tc>
          <w:tcPr>
            <w:tcW w:type="dxa" w:w="2160"/>
          </w:tcPr>
          <w:p>
            <w:pPr>
              <w:spacing w:before="40" w:after="40"/>
            </w:pPr>
            <w:r>
              <w:rPr>
                <w:sz w:val="18"/>
              </w:rPr>
              <w:t>链上因子</w:t>
            </w:r>
          </w:p>
        </w:tc>
        <w:tc>
          <w:tcPr>
            <w:tcW w:type="dxa" w:w="2160"/>
          </w:tcPr>
          <w:p>
            <w:pPr>
              <w:spacing w:before="40" w:after="40"/>
            </w:pPr>
            <w:r>
              <w:rPr>
                <w:sz w:val="18"/>
              </w:rPr>
              <w:t>集成 Glassnode/Nansen API：Exchange Inflow Spike + Whale Sell 信号 → 加入评分体系</w:t>
            </w:r>
          </w:p>
        </w:tc>
        <w:tc>
          <w:tcPr>
            <w:tcW w:type="dxa" w:w="2160"/>
          </w:tcPr>
          <w:p>
            <w:pPr>
              <w:spacing w:before="40" w:after="40"/>
            </w:pPr>
            <w:r>
              <w:rPr>
                <w:sz w:val="18"/>
              </w:rPr>
              <w:t>非相关 Alpha 源，对冲 RSI 拥挤风险</w:t>
            </w:r>
          </w:p>
        </w:tc>
      </w:tr>
      <w:tr>
        <w:tc>
          <w:tcPr>
            <w:tcW w:type="dxa" w:w="2160"/>
          </w:tcPr>
          <w:p>
            <w:pPr>
              <w:spacing w:before="40" w:after="40"/>
            </w:pPr>
            <w:r>
              <w:rPr>
                <w:sz w:val="18"/>
              </w:rPr>
              <w:t>P2</w:t>
            </w:r>
          </w:p>
        </w:tc>
        <w:tc>
          <w:tcPr>
            <w:tcW w:type="dxa" w:w="2160"/>
          </w:tcPr>
          <w:p>
            <w:pPr>
              <w:spacing w:before="40" w:after="40"/>
            </w:pPr>
            <w:r>
              <w:rPr>
                <w:sz w:val="18"/>
              </w:rPr>
              <w:t>多时间框架合成</w:t>
            </w:r>
          </w:p>
        </w:tc>
        <w:tc>
          <w:tcPr>
            <w:tcW w:type="dxa" w:w="2160"/>
          </w:tcPr>
          <w:p>
            <w:pPr>
              <w:spacing w:before="40" w:after="40"/>
            </w:pPr>
            <w:r>
              <w:rPr>
                <w:sz w:val="18"/>
              </w:rPr>
              <w:t>将 1D/4H/1H RSI 做向量正交化（PCA），生成"综合超买因子"</w:t>
            </w:r>
          </w:p>
        </w:tc>
        <w:tc>
          <w:tcPr>
            <w:tcW w:type="dxa" w:w="2160"/>
          </w:tcPr>
          <w:p>
            <w:pPr>
              <w:spacing w:before="40" w:after="40"/>
            </w:pPr>
            <w:r>
              <w:rPr>
                <w:sz w:val="18"/>
              </w:rPr>
              <w:t>减少假信号 20–30%</w:t>
            </w:r>
          </w:p>
        </w:tc>
      </w:tr>
      <w:tr>
        <w:tc>
          <w:tcPr>
            <w:tcW w:type="dxa" w:w="2160"/>
          </w:tcPr>
          <w:p>
            <w:pPr>
              <w:spacing w:before="40" w:after="40"/>
            </w:pPr>
            <w:r>
              <w:rPr>
                <w:sz w:val="18"/>
              </w:rPr>
              <w:t>P3</w:t>
            </w:r>
          </w:p>
        </w:tc>
        <w:tc>
          <w:tcPr>
            <w:tcW w:type="dxa" w:w="2160"/>
          </w:tcPr>
          <w:p>
            <w:pPr>
              <w:spacing w:before="40" w:after="40"/>
            </w:pPr>
            <w:r>
              <w:rPr>
                <w:sz w:val="18"/>
              </w:rPr>
              <w:t>Regime-Aware 仓位</w:t>
            </w:r>
          </w:p>
        </w:tc>
        <w:tc>
          <w:tcPr>
            <w:tcW w:type="dxa" w:w="2160"/>
          </w:tcPr>
          <w:p>
            <w:pPr>
              <w:spacing w:before="40" w:after="40"/>
            </w:pPr>
            <w:r>
              <w:rPr>
                <w:sz w:val="18"/>
              </w:rPr>
              <w:t>HMM 检测牛/熊/震荡市 → 牛市缩减做空仓位至 25%，熊市放大至 150%</w:t>
            </w:r>
          </w:p>
        </w:tc>
        <w:tc>
          <w:tcPr>
            <w:tcW w:type="dxa" w:w="2160"/>
          </w:tcPr>
          <w:p>
            <w:pPr>
              <w:spacing w:before="40" w:after="40"/>
            </w:pPr>
            <w:r>
              <w:rPr>
                <w:sz w:val="18"/>
              </w:rPr>
              <w:t>降低系统性方向风险</w:t>
            </w:r>
          </w:p>
        </w:tc>
      </w:tr>
    </w:tbl>
    <w:p/>
    <w:p>
      <w:pPr>
        <w:pStyle w:val="Heading1"/>
      </w:pPr>
      <w:r>
        <w:t>五、最迫切的 3 条性能优化清单</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F4E79" w:val="clear"/>
          </w:tcPr>
          <w:p>
            <w:pPr>
              <w:spacing w:before="40" w:after="40"/>
              <w:jc w:val="center"/>
            </w:pPr>
            <w:r>
              <w:rPr>
                <w:b/>
                <w:color w:val="FFFFFF"/>
                <w:sz w:val="18"/>
              </w:rPr>
              <w:t>排名</w:t>
            </w:r>
          </w:p>
        </w:tc>
        <w:tc>
          <w:tcPr>
            <w:tcW w:type="dxa" w:w="1728"/>
            <w:shd w:fill="1F4E79" w:val="clear"/>
          </w:tcPr>
          <w:p>
            <w:pPr>
              <w:spacing w:before="40" w:after="40"/>
              <w:jc w:val="center"/>
            </w:pPr>
            <w:r>
              <w:rPr>
                <w:b/>
                <w:color w:val="FFFFFF"/>
                <w:sz w:val="18"/>
              </w:rPr>
              <w:t>优化项</w:t>
            </w:r>
          </w:p>
        </w:tc>
        <w:tc>
          <w:tcPr>
            <w:tcW w:type="dxa" w:w="1728"/>
            <w:shd w:fill="1F4E79" w:val="clear"/>
          </w:tcPr>
          <w:p>
            <w:pPr>
              <w:spacing w:before="40" w:after="40"/>
              <w:jc w:val="center"/>
            </w:pPr>
            <w:r>
              <w:rPr>
                <w:b/>
                <w:color w:val="FFFFFF"/>
                <w:sz w:val="18"/>
              </w:rPr>
              <w:t>投入产出比</w:t>
            </w:r>
          </w:p>
        </w:tc>
        <w:tc>
          <w:tcPr>
            <w:tcW w:type="dxa" w:w="1728"/>
            <w:shd w:fill="1F4E79" w:val="clear"/>
          </w:tcPr>
          <w:p>
            <w:pPr>
              <w:spacing w:before="40" w:after="40"/>
              <w:jc w:val="center"/>
            </w:pPr>
            <w:r>
              <w:rPr>
                <w:b/>
                <w:color w:val="FFFFFF"/>
                <w:sz w:val="18"/>
              </w:rPr>
              <w:t>实施复杂度</w:t>
            </w:r>
          </w:p>
        </w:tc>
        <w:tc>
          <w:tcPr>
            <w:tcW w:type="dxa" w:w="1728"/>
            <w:shd w:fill="1F4E79" w:val="clear"/>
          </w:tcPr>
          <w:p>
            <w:pPr>
              <w:spacing w:before="40" w:after="40"/>
              <w:jc w:val="center"/>
            </w:pPr>
            <w:r>
              <w:rPr>
                <w:b/>
                <w:color w:val="FFFFFF"/>
                <w:sz w:val="18"/>
              </w:rPr>
              <w:t>预期 Sharpe 改善</w:t>
            </w:r>
          </w:p>
        </w:tc>
      </w:tr>
      <w:tr>
        <w:tc>
          <w:tcPr>
            <w:tcW w:type="dxa" w:w="1728"/>
          </w:tcPr>
          <w:p>
            <w:pPr>
              <w:spacing w:before="40" w:after="40"/>
            </w:pPr>
            <w:r>
              <w:rPr>
                <w:sz w:val="18"/>
              </w:rPr>
              <w:t>🥇 1</w:t>
            </w:r>
          </w:p>
        </w:tc>
        <w:tc>
          <w:tcPr>
            <w:tcW w:type="dxa" w:w="1728"/>
          </w:tcPr>
          <w:p>
            <w:pPr>
              <w:spacing w:before="40" w:after="40"/>
            </w:pPr>
            <w:r>
              <w:rPr>
                <w:sz w:val="18"/>
              </w:rPr>
              <w:t>ML 信号评分替代硬编码 — 用已有 SignalLogModel 历史数据训练 LightGBM，按概率分级仓位</w:t>
            </w:r>
          </w:p>
        </w:tc>
        <w:tc>
          <w:tcPr>
            <w:tcW w:type="dxa" w:w="1728"/>
          </w:tcPr>
          <w:p>
            <w:pPr>
              <w:spacing w:before="40" w:after="40"/>
            </w:pPr>
            <w:r>
              <w:rPr>
                <w:sz w:val="18"/>
              </w:rPr>
              <w:t>⭐⭐⭐⭐⭐</w:t>
            </w:r>
          </w:p>
        </w:tc>
        <w:tc>
          <w:tcPr>
            <w:tcW w:type="dxa" w:w="1728"/>
          </w:tcPr>
          <w:p>
            <w:pPr>
              <w:spacing w:before="40" w:after="40"/>
            </w:pPr>
            <w:r>
              <w:rPr>
                <w:sz w:val="18"/>
              </w:rPr>
              <w:t>中（2–3周）</w:t>
            </w:r>
          </w:p>
        </w:tc>
        <w:tc>
          <w:tcPr>
            <w:tcW w:type="dxa" w:w="1728"/>
          </w:tcPr>
          <w:p>
            <w:pPr>
              <w:spacing w:before="40" w:after="40"/>
            </w:pPr>
            <w:r>
              <w:rPr>
                <w:sz w:val="18"/>
              </w:rPr>
              <w:t>+0.3–0.5</w:t>
            </w:r>
          </w:p>
        </w:tc>
      </w:tr>
      <w:tr>
        <w:tc>
          <w:tcPr>
            <w:tcW w:type="dxa" w:w="1728"/>
          </w:tcPr>
          <w:p>
            <w:pPr>
              <w:spacing w:before="40" w:after="40"/>
            </w:pPr>
            <w:r>
              <w:rPr>
                <w:sz w:val="18"/>
              </w:rPr>
              <w:t>🥈 2</w:t>
            </w:r>
          </w:p>
        </w:tc>
        <w:tc>
          <w:tcPr>
            <w:tcW w:type="dxa" w:w="1728"/>
          </w:tcPr>
          <w:p>
            <w:pPr>
              <w:spacing w:before="40" w:after="40"/>
            </w:pPr>
            <w:r>
              <w:rPr>
                <w:sz w:val="18"/>
              </w:rPr>
              <w:t>数据层迁移 PostgreSQL — 消除 JSON 文件锁瓶颈 + 支持 SQL 分析 + 为 ML 管道提供数据基础</w:t>
            </w:r>
          </w:p>
        </w:tc>
        <w:tc>
          <w:tcPr>
            <w:tcW w:type="dxa" w:w="1728"/>
          </w:tcPr>
          <w:p>
            <w:pPr>
              <w:spacing w:before="40" w:after="40"/>
            </w:pPr>
            <w:r>
              <w:rPr>
                <w:sz w:val="18"/>
              </w:rPr>
              <w:t>⭐⭐⭐⭐</w:t>
            </w:r>
          </w:p>
        </w:tc>
        <w:tc>
          <w:tcPr>
            <w:tcW w:type="dxa" w:w="1728"/>
          </w:tcPr>
          <w:p>
            <w:pPr>
              <w:spacing w:before="40" w:after="40"/>
            </w:pPr>
            <w:r>
              <w:rPr>
                <w:sz w:val="18"/>
              </w:rPr>
              <w:t>中（1–2周）</w:t>
            </w:r>
          </w:p>
        </w:tc>
        <w:tc>
          <w:tcPr>
            <w:tcW w:type="dxa" w:w="1728"/>
          </w:tcPr>
          <w:p>
            <w:pPr>
              <w:spacing w:before="40" w:after="40"/>
            </w:pPr>
            <w:r>
              <w:rPr>
                <w:sz w:val="18"/>
              </w:rPr>
              <w:t>间接（稳定性 +↑）</w:t>
            </w:r>
          </w:p>
        </w:tc>
      </w:tr>
      <w:tr>
        <w:tc>
          <w:tcPr>
            <w:tcW w:type="dxa" w:w="1728"/>
          </w:tcPr>
          <w:p>
            <w:pPr>
              <w:spacing w:before="40" w:after="40"/>
            </w:pPr>
            <w:r>
              <w:rPr>
                <w:sz w:val="18"/>
              </w:rPr>
              <w:t>🥉 3</w:t>
            </w:r>
          </w:p>
        </w:tc>
        <w:tc>
          <w:tcPr>
            <w:tcW w:type="dxa" w:w="1728"/>
          </w:tcPr>
          <w:p>
            <w:pPr>
              <w:spacing w:before="40" w:after="40"/>
            </w:pPr>
            <w:r>
              <w:rPr>
                <w:sz w:val="18"/>
              </w:rPr>
              <w:t>动态 ATR 止损 + Portfolio VaR — 止损按各币种波动率自适应；加 portfolio-level 尾部风险约束</w:t>
            </w:r>
          </w:p>
        </w:tc>
        <w:tc>
          <w:tcPr>
            <w:tcW w:type="dxa" w:w="1728"/>
          </w:tcPr>
          <w:p>
            <w:pPr>
              <w:spacing w:before="40" w:after="40"/>
            </w:pPr>
            <w:r>
              <w:rPr>
                <w:sz w:val="18"/>
              </w:rPr>
              <w:t>⭐⭐⭐⭐</w:t>
            </w:r>
          </w:p>
        </w:tc>
        <w:tc>
          <w:tcPr>
            <w:tcW w:type="dxa" w:w="1728"/>
          </w:tcPr>
          <w:p>
            <w:pPr>
              <w:spacing w:before="40" w:after="40"/>
            </w:pPr>
            <w:r>
              <w:rPr>
                <w:sz w:val="18"/>
              </w:rPr>
              <w:t>中（2周）</w:t>
            </w:r>
          </w:p>
        </w:tc>
        <w:tc>
          <w:tcPr>
            <w:tcW w:type="dxa" w:w="1728"/>
          </w:tcPr>
          <w:p>
            <w:pPr>
              <w:spacing w:before="40" w:after="40"/>
            </w:pPr>
            <w:r>
              <w:rPr>
                <w:sz w:val="18"/>
              </w:rPr>
              <w:t>+0.2</w:t>
            </w:r>
          </w:p>
        </w:tc>
      </w:tr>
    </w:tbl>
    <w:p/>
    <w:p>
      <w:pPr>
        <w:pStyle w:val="Heading1"/>
      </w:pPr>
      <w:r>
        <w:t>六、总结评语</w:t>
      </w:r>
    </w:p>
    <w:p>
      <w:r>
        <w:rPr>
          <w:b/>
        </w:rPr>
        <w:t>这是一套在工程完整度和运维成熟度方面远超同级别个人项目的量化系统。</w:t>
      </w:r>
      <w:r>
        <w:t xml:space="preserve"> 它的风控设计（8 层防护 + 幂等键 + In-flight Journal + 多账户隔离）堪比小型对冲基金的合规要求。然而，其 </w:t>
      </w:r>
      <w:r>
        <w:rPr>
          <w:b/>
        </w:rPr>
        <w:t>Alpha 生成能力仍停留在"技术分析指标 + 规则引擎"阶段</w:t>
      </w:r>
      <w:r>
        <w:t>，这是限制其长期竞争力的最大瓶颈。</w:t>
      </w:r>
    </w:p>
    <w:p/>
    <w:p>
      <w:pPr>
        <w:pStyle w:val="Heading2"/>
      </w:pPr>
      <w:r>
        <w:t>向顶级量化机构跨越的关键路径：</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val="clear"/>
          </w:tcPr>
          <w:p>
            <w:pPr>
              <w:spacing w:before="40" w:after="40"/>
              <w:jc w:val="center"/>
            </w:pPr>
            <w:r>
              <w:rPr>
                <w:b/>
                <w:color w:val="FFFFFF"/>
                <w:sz w:val="18"/>
              </w:rPr>
              <w:t>当前位置</w:t>
            </w:r>
          </w:p>
        </w:tc>
        <w:tc>
          <w:tcPr>
            <w:tcW w:type="dxa" w:w="2880"/>
            <w:shd w:fill="1F4E79" w:val="clear"/>
          </w:tcPr>
          <w:p>
            <w:pPr>
              <w:spacing w:before="40" w:after="40"/>
              <w:jc w:val="center"/>
            </w:pPr>
            <w:r>
              <w:rPr>
                <w:b/>
                <w:color w:val="FFFFFF"/>
                <w:sz w:val="18"/>
              </w:rPr>
              <w:t>→</w:t>
            </w:r>
          </w:p>
        </w:tc>
        <w:tc>
          <w:tcPr>
            <w:tcW w:type="dxa" w:w="2880"/>
            <w:shd w:fill="1F4E79" w:val="clear"/>
          </w:tcPr>
          <w:p>
            <w:pPr>
              <w:spacing w:before="40" w:after="40"/>
              <w:jc w:val="center"/>
            </w:pPr>
            <w:r>
              <w:rPr>
                <w:b/>
                <w:color w:val="FFFFFF"/>
                <w:sz w:val="18"/>
              </w:rPr>
              <w:t>目标位置</w:t>
            </w:r>
          </w:p>
        </w:tc>
      </w:tr>
      <w:tr>
        <w:tc>
          <w:tcPr>
            <w:tcW w:type="dxa" w:w="2880"/>
          </w:tcPr>
          <w:p>
            <w:pPr>
              <w:spacing w:before="40" w:after="40"/>
            </w:pPr>
            <w:r>
              <w:rPr>
                <w:sz w:val="18"/>
              </w:rPr>
              <w:t>RSI + 规则引擎</w:t>
            </w:r>
          </w:p>
        </w:tc>
        <w:tc>
          <w:tcPr>
            <w:tcW w:type="dxa" w:w="2880"/>
          </w:tcPr>
          <w:p>
            <w:pPr>
              <w:spacing w:before="40" w:after="40"/>
            </w:pPr>
            <w:r>
              <w:rPr>
                <w:sz w:val="18"/>
              </w:rPr>
              <w:t>→</w:t>
            </w:r>
          </w:p>
        </w:tc>
        <w:tc>
          <w:tcPr>
            <w:tcW w:type="dxa" w:w="2880"/>
          </w:tcPr>
          <w:p>
            <w:pPr>
              <w:spacing w:before="40" w:after="40"/>
            </w:pPr>
            <w:r>
              <w:rPr>
                <w:sz w:val="18"/>
              </w:rPr>
              <w:t>ML 多因子 + 链上数据</w:t>
            </w:r>
          </w:p>
        </w:tc>
      </w:tr>
      <w:tr>
        <w:tc>
          <w:tcPr>
            <w:tcW w:type="dxa" w:w="2880"/>
          </w:tcPr>
          <w:p>
            <w:pPr>
              <w:spacing w:before="40" w:after="40"/>
            </w:pPr>
            <w:r>
              <w:rPr>
                <w:sz w:val="18"/>
              </w:rPr>
              <w:t>JSON 文件存储</w:t>
            </w:r>
          </w:p>
        </w:tc>
        <w:tc>
          <w:tcPr>
            <w:tcW w:type="dxa" w:w="2880"/>
          </w:tcPr>
          <w:p>
            <w:pPr>
              <w:spacing w:before="40" w:after="40"/>
            </w:pPr>
            <w:r>
              <w:rPr>
                <w:sz w:val="18"/>
              </w:rPr>
              <w:t>→</w:t>
            </w:r>
          </w:p>
        </w:tc>
        <w:tc>
          <w:tcPr>
            <w:tcW w:type="dxa" w:w="2880"/>
          </w:tcPr>
          <w:p>
            <w:pPr>
              <w:spacing w:before="40" w:after="40"/>
            </w:pPr>
            <w:r>
              <w:rPr>
                <w:sz w:val="18"/>
              </w:rPr>
              <w:t>TimescaleDB + 流处理</w:t>
            </w:r>
          </w:p>
        </w:tc>
      </w:tr>
      <w:tr>
        <w:tc>
          <w:tcPr>
            <w:tcW w:type="dxa" w:w="2880"/>
          </w:tcPr>
          <w:p>
            <w:pPr>
              <w:spacing w:before="40" w:after="40"/>
            </w:pPr>
            <w:r>
              <w:rPr>
                <w:sz w:val="18"/>
              </w:rPr>
              <w:t>固定 5% 止损</w:t>
            </w:r>
          </w:p>
        </w:tc>
        <w:tc>
          <w:tcPr>
            <w:tcW w:type="dxa" w:w="2880"/>
          </w:tcPr>
          <w:p>
            <w:pPr>
              <w:spacing w:before="40" w:after="40"/>
            </w:pPr>
            <w:r>
              <w:rPr>
                <w:sz w:val="18"/>
              </w:rPr>
              <w:t>→</w:t>
            </w:r>
          </w:p>
        </w:tc>
        <w:tc>
          <w:tcPr>
            <w:tcW w:type="dxa" w:w="2880"/>
          </w:tcPr>
          <w:p>
            <w:pPr>
              <w:spacing w:before="40" w:after="40"/>
            </w:pPr>
            <w:r>
              <w:rPr>
                <w:sz w:val="18"/>
              </w:rPr>
              <w:t>ATR 动态 + VaR 约束</w:t>
            </w:r>
          </w:p>
        </w:tc>
      </w:tr>
      <w:tr>
        <w:tc>
          <w:tcPr>
            <w:tcW w:type="dxa" w:w="2880"/>
          </w:tcPr>
          <w:p>
            <w:pPr>
              <w:spacing w:before="40" w:after="40"/>
            </w:pPr>
            <w:r>
              <w:rPr>
                <w:sz w:val="18"/>
              </w:rPr>
              <w:t>单策略</w:t>
            </w:r>
          </w:p>
        </w:tc>
        <w:tc>
          <w:tcPr>
            <w:tcW w:type="dxa" w:w="2880"/>
          </w:tcPr>
          <w:p>
            <w:pPr>
              <w:spacing w:before="40" w:after="40"/>
            </w:pPr>
            <w:r>
              <w:rPr>
                <w:sz w:val="18"/>
              </w:rPr>
              <w:t>→</w:t>
            </w:r>
          </w:p>
        </w:tc>
        <w:tc>
          <w:tcPr>
            <w:tcW w:type="dxa" w:w="2880"/>
          </w:tcPr>
          <w:p>
            <w:pPr>
              <w:spacing w:before="40" w:after="40"/>
            </w:pPr>
            <w:r>
              <w:rPr>
                <w:sz w:val="18"/>
              </w:rPr>
              <w:t>低相关策略组合（30+）</w:t>
            </w:r>
          </w:p>
        </w:tc>
      </w:tr>
      <w:tr>
        <w:tc>
          <w:tcPr>
            <w:tcW w:type="dxa" w:w="2880"/>
          </w:tcPr>
          <w:p>
            <w:pPr>
              <w:spacing w:before="40" w:after="40"/>
            </w:pPr>
            <w:r>
              <w:rPr>
                <w:sz w:val="18"/>
              </w:rPr>
              <w:t>VPS 部署</w:t>
            </w:r>
          </w:p>
        </w:tc>
        <w:tc>
          <w:tcPr>
            <w:tcW w:type="dxa" w:w="2880"/>
          </w:tcPr>
          <w:p>
            <w:pPr>
              <w:spacing w:before="40" w:after="40"/>
            </w:pPr>
            <w:r>
              <w:rPr>
                <w:sz w:val="18"/>
              </w:rPr>
              <w:t>→</w:t>
            </w:r>
          </w:p>
        </w:tc>
        <w:tc>
          <w:tcPr>
            <w:tcW w:type="dxa" w:w="2880"/>
          </w:tcPr>
          <w:p>
            <w:pPr>
              <w:spacing w:before="40" w:after="40"/>
            </w:pPr>
            <w:r>
              <w:rPr>
                <w:sz w:val="18"/>
              </w:rPr>
              <w:t>Co-location + 专线</w:t>
            </w:r>
          </w:p>
        </w:tc>
      </w:tr>
    </w:tbl>
    <w:p/>
    <w:p>
      <w:r>
        <w:rPr>
          <w:b/>
        </w:rPr>
        <w:br/>
        <w:t>一句话总结：</w:t>
      </w:r>
      <w:r>
        <w:t>工程层已达"能打实盘"的水准，但 Alpha 层仍在"能赚小钱"的阶段。突破口在于用 ML 替代规则引擎 + 引入非相关数据源 + 构建真正的 Portfolio Risk Management。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