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通辽市一件事一次办系统</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项目名称：通辽市一件事一次办系统政务信息化运维项目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507BA597">
      <w:pPr>
        <w:pStyle w:val="18"/>
        <w:bidi w:val="0"/>
        <w:rPr>
          <w:rFonts w:hint="eastAsia"/>
          <w:lang w:val="en-US" w:eastAsia="zh-CN"/>
        </w:rPr>
      </w:pPr>
      <w:r>
        <w:rPr>
          <w:rFonts w:hint="eastAsia"/>
          <w:lang w:val="en-US" w:eastAsia="zh-CN"/>
        </w:rPr>
        <w:t>该系统负责建立健全标准统一的“一件事一次办”系统功能，推动事项关联、表单整合、系统对接和流程再造，强化跨层级、跨区域、跨部门业务联动和协同调度，实现关联审批服务统一申报、综合受理、并联审批、自动流转、统一反馈。</w:t>
      </w:r>
    </w:p>
    <w:p w14:paraId="4FE89181">
      <w:pPr>
        <w:pStyle w:val="18"/>
        <w:bidi w:val="0"/>
        <w:rPr>
          <w:rFonts w:hint="eastAsia"/>
          <w:lang w:val="en-US" w:eastAsia="zh-CN"/>
        </w:rPr>
      </w:pPr>
      <w:r>
        <w:rPr>
          <w:rFonts w:hint="eastAsia"/>
          <w:lang w:val="en-US" w:eastAsia="zh-CN"/>
        </w:rPr>
        <w:t>一件事一次办系统最早建设期间的项目名称为“一件事一次办”系统建设项目”，该系统于2022年8月立项，2022年9月23日正式上线使用；2022年10月15日正式验收，验收后进入售后服务期（2022年10月15日至2023年10月15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通辽市一件事一次办系统建设</w:t>
      </w:r>
      <w:r>
        <w:rPr>
          <w:rFonts w:hint="eastAsia" w:cs="Times New Roman"/>
          <w:lang w:val="en-US" w:eastAsia="zh-CN"/>
        </w:rPr>
        <w:t>服务项目</w:t>
      </w:r>
      <w:r>
        <w:rPr>
          <w:rFonts w:hint="eastAsia"/>
          <w:lang w:val="en-US" w:eastAsia="zh-CN"/>
        </w:rPr>
        <w:t>投资279万。</w:t>
      </w:r>
    </w:p>
    <w:p w14:paraId="7AAD8132">
      <w:pPr>
        <w:pStyle w:val="32"/>
        <w:bidi w:val="0"/>
        <w:rPr>
          <w:rFonts w:hint="default"/>
          <w:lang w:val="en-US" w:eastAsia="zh-CN"/>
        </w:rPr>
      </w:pPr>
      <w:r>
        <w:rPr>
          <w:rFonts w:hint="eastAsia"/>
          <w:lang w:val="en-US" w:eastAsia="zh-CN"/>
        </w:rPr>
        <w:t>运行情况</w:t>
      </w:r>
    </w:p>
    <w:p w14:paraId="029E2A77">
      <w:pPr>
        <w:pStyle w:val="18"/>
        <w:bidi w:val="0"/>
        <w:rPr>
          <w:rFonts w:hint="default"/>
          <w:lang w:val="en-US" w:eastAsia="zh-CN"/>
        </w:rPr>
      </w:pPr>
      <w:r>
        <w:rPr>
          <w:rFonts w:hint="eastAsia"/>
          <w:lang w:val="en-US" w:eastAsia="zh-CN"/>
        </w:rPr>
        <w:t>自系统交付以来，建成通辽市27个一件事套餐、科尔沁区96个一件事套餐、科尔沁左翼中旗99个一件事套餐、科尔沁区左翼后旗99个一件事套餐、开鲁县100个一件事套餐、库伦旗98个一件事套餐、奈曼旗95个一件事套餐、扎鲁特旗101个一件事套餐、通辽经济技术开发区79个一件事套餐、霍林郭勒108个一件事套餐，共计实现902个一件事套餐。</w:t>
      </w:r>
    </w:p>
    <w:p w14:paraId="3A6E37E0">
      <w:pPr>
        <w:pStyle w:val="31"/>
        <w:numPr>
          <w:ilvl w:val="0"/>
          <w:numId w:val="4"/>
        </w:numPr>
        <w:bidi w:val="0"/>
        <w:ind w:left="0" w:leftChars="0" w:firstLine="420" w:firstLineChars="0"/>
        <w:rPr>
          <w:rFonts w:hint="default"/>
          <w:highlight w:val="none"/>
          <w:lang w:val="en-US" w:eastAsia="zh-CN"/>
        </w:rPr>
      </w:pPr>
      <w:r>
        <w:rPr>
          <w:rFonts w:hint="eastAsia"/>
          <w:highlight w:val="none"/>
          <w:lang w:val="en-US" w:eastAsia="zh-CN"/>
        </w:rPr>
        <w:t>项目单位情况</w:t>
      </w:r>
    </w:p>
    <w:p w14:paraId="28E4B2CD">
      <w:pPr>
        <w:pStyle w:val="18"/>
        <w:bidi w:val="0"/>
        <w:rPr>
          <w:rFonts w:hint="eastAsia"/>
          <w:lang w:val="en-US" w:eastAsia="zh-CN"/>
        </w:rPr>
      </w:pPr>
      <w:r>
        <w:rPr>
          <w:rFonts w:hint="eastAsia"/>
          <w:lang w:val="en-US" w:eastAsia="zh-CN"/>
        </w:rPr>
        <w:t>通辽市政务服务中心加挂通辽市党群服务中心牌子，为市行政审批和政务服务局所属的公益一类事业单位，机构规格相当于副处级。     </w:t>
      </w:r>
    </w:p>
    <w:p w14:paraId="78696A73">
      <w:pPr>
        <w:pStyle w:val="18"/>
        <w:bidi w:val="0"/>
        <w:rPr>
          <w:rFonts w:hint="eastAsia"/>
          <w:lang w:val="en-US" w:eastAsia="zh-CN"/>
        </w:rPr>
      </w:pPr>
      <w:r>
        <w:rPr>
          <w:rFonts w:hint="eastAsia"/>
          <w:lang w:val="en-US" w:eastAsia="zh-CN"/>
        </w:rPr>
        <w:t>市政务服务中心贯彻执行国家、自治区和通辽市优化营商环境建设、行政审批、政务服务工作的政策规定和决策部署，在履行职责过程中坚持和加强党的全面领导。     </w:t>
      </w:r>
    </w:p>
    <w:p w14:paraId="3DDC4059">
      <w:pPr>
        <w:pStyle w:val="18"/>
        <w:bidi w:val="0"/>
        <w:rPr>
          <w:rFonts w:hint="eastAsia"/>
          <w:lang w:val="en-US" w:eastAsia="zh-CN"/>
        </w:rPr>
      </w:pPr>
      <w:r>
        <w:rPr>
          <w:rFonts w:hint="eastAsia"/>
          <w:lang w:val="en-US" w:eastAsia="zh-CN"/>
        </w:rPr>
        <w:t>主要职责：     </w:t>
      </w:r>
    </w:p>
    <w:p w14:paraId="001A202E">
      <w:pPr>
        <w:pStyle w:val="18"/>
        <w:bidi w:val="0"/>
        <w:rPr>
          <w:rFonts w:hint="eastAsia"/>
          <w:lang w:val="en-US" w:eastAsia="zh-CN"/>
        </w:rPr>
      </w:pPr>
      <w:r>
        <w:rPr>
          <w:rFonts w:hint="eastAsia"/>
          <w:lang w:val="en-US" w:eastAsia="zh-CN"/>
        </w:rPr>
        <w:t>1.贯彻执行国家、自治区和通辽市优化营商环境建设、行政审批、政务服务工作的政策规定和决策部署。 </w:t>
      </w:r>
    </w:p>
    <w:p w14:paraId="392E0273">
      <w:pPr>
        <w:pStyle w:val="18"/>
        <w:bidi w:val="0"/>
        <w:rPr>
          <w:rFonts w:hint="eastAsia"/>
          <w:lang w:val="en-US" w:eastAsia="zh-CN"/>
        </w:rPr>
      </w:pPr>
      <w:r>
        <w:rPr>
          <w:rFonts w:hint="eastAsia"/>
          <w:lang w:val="en-US" w:eastAsia="zh-CN"/>
        </w:rPr>
        <w:t>2.参与拟定政务服务技术标准规范，协助推进落实“最多跑一次”改革和深化行政审批制度改革等事务性工作。</w:t>
      </w:r>
    </w:p>
    <w:p w14:paraId="58F6F42A">
      <w:pPr>
        <w:pStyle w:val="18"/>
        <w:bidi w:val="0"/>
        <w:rPr>
          <w:rFonts w:hint="eastAsia"/>
          <w:lang w:val="en-US" w:eastAsia="zh-CN"/>
        </w:rPr>
      </w:pPr>
      <w:r>
        <w:rPr>
          <w:rFonts w:hint="eastAsia"/>
          <w:lang w:val="en-US" w:eastAsia="zh-CN"/>
        </w:rPr>
        <w:t>3.承担“互联网 政务服务”的组织实施和市级政务服务大厅前台综合服务工作。     </w:t>
      </w:r>
    </w:p>
    <w:p w14:paraId="3DC1DA44">
      <w:pPr>
        <w:pStyle w:val="18"/>
        <w:bidi w:val="0"/>
        <w:rPr>
          <w:rFonts w:hint="eastAsia"/>
          <w:lang w:val="en-US" w:eastAsia="zh-CN"/>
        </w:rPr>
      </w:pPr>
      <w:r>
        <w:rPr>
          <w:rFonts w:hint="eastAsia"/>
          <w:lang w:val="en-US" w:eastAsia="zh-CN"/>
        </w:rPr>
        <w:t>4.负责协调各窗口的业务工作及与进驻部门间业务衔接工作。     </w:t>
      </w:r>
    </w:p>
    <w:p w14:paraId="6E2794B4">
      <w:pPr>
        <w:pStyle w:val="18"/>
        <w:bidi w:val="0"/>
        <w:rPr>
          <w:rFonts w:hint="eastAsia"/>
          <w:lang w:val="en-US" w:eastAsia="zh-CN"/>
        </w:rPr>
      </w:pPr>
      <w:r>
        <w:rPr>
          <w:rFonts w:hint="eastAsia"/>
          <w:lang w:val="en-US" w:eastAsia="zh-CN"/>
        </w:rPr>
        <w:t>5.协助做好对进驻中心窗口工作人员的日常管理和考勤等辅助性工作。     </w:t>
      </w:r>
    </w:p>
    <w:p w14:paraId="500ADAD5">
      <w:pPr>
        <w:pStyle w:val="18"/>
        <w:bidi w:val="0"/>
        <w:rPr>
          <w:rFonts w:hint="eastAsia"/>
          <w:lang w:val="en-US" w:eastAsia="zh-CN"/>
        </w:rPr>
      </w:pPr>
      <w:r>
        <w:rPr>
          <w:rFonts w:hint="eastAsia"/>
          <w:lang w:val="en-US" w:eastAsia="zh-CN"/>
        </w:rPr>
        <w:t>6.负责政务服务业务办理的咨询、指导、代办帮办服务等工作。</w:t>
      </w:r>
    </w:p>
    <w:p w14:paraId="03F26225">
      <w:pPr>
        <w:pStyle w:val="18"/>
        <w:bidi w:val="0"/>
        <w:rPr>
          <w:rFonts w:hint="eastAsia"/>
          <w:lang w:val="en-US" w:eastAsia="zh-CN"/>
        </w:rPr>
      </w:pPr>
      <w:r>
        <w:rPr>
          <w:rFonts w:hint="eastAsia"/>
          <w:lang w:val="en-US" w:eastAsia="zh-CN"/>
        </w:rPr>
        <w:t>7.参与业务办理的踏勘、检验、专家论证和联合验收等事务性工作。     </w:t>
      </w:r>
    </w:p>
    <w:p w14:paraId="7D1B72F5">
      <w:pPr>
        <w:pStyle w:val="18"/>
        <w:bidi w:val="0"/>
        <w:rPr>
          <w:rFonts w:hint="eastAsia"/>
          <w:lang w:val="en-US" w:eastAsia="zh-CN"/>
        </w:rPr>
      </w:pPr>
      <w:r>
        <w:rPr>
          <w:rFonts w:hint="eastAsia"/>
          <w:lang w:val="en-US" w:eastAsia="zh-CN"/>
        </w:rPr>
        <w:t>8.负责全市一体化政务服务平台、“好差评”系统的建设、运行和应用管理等工作。     </w:t>
      </w:r>
    </w:p>
    <w:p w14:paraId="6C1A9D46">
      <w:pPr>
        <w:pStyle w:val="18"/>
        <w:bidi w:val="0"/>
        <w:rPr>
          <w:rFonts w:hint="eastAsia"/>
          <w:lang w:val="en-US" w:eastAsia="zh-CN"/>
        </w:rPr>
      </w:pPr>
      <w:r>
        <w:rPr>
          <w:rFonts w:hint="eastAsia"/>
          <w:lang w:val="en-US" w:eastAsia="zh-CN"/>
        </w:rPr>
        <w:t>9.承担党群服务中心日常工作。整合党建、政务资源，为党组织、党员及有需求的单位、群众提供相关服务，为党员、群众提供咨询服务，并代办为民服务事项。     </w:t>
      </w:r>
    </w:p>
    <w:p w14:paraId="547B42F0">
      <w:pPr>
        <w:pStyle w:val="18"/>
        <w:bidi w:val="0"/>
        <w:rPr>
          <w:rFonts w:hint="eastAsia"/>
          <w:lang w:val="en-US" w:eastAsia="zh-CN"/>
        </w:rPr>
      </w:pPr>
      <w:r>
        <w:rPr>
          <w:rFonts w:hint="eastAsia"/>
          <w:lang w:val="en-US" w:eastAsia="zh-CN"/>
        </w:rPr>
        <w:t>10.完成市委、市政府和市行政审批政务服务与数据管理局交办的其他工作。     </w:t>
      </w:r>
    </w:p>
    <w:p w14:paraId="4B89E056">
      <w:pPr>
        <w:pStyle w:val="18"/>
        <w:bidi w:val="0"/>
        <w:rPr>
          <w:rFonts w:hint="eastAsia"/>
          <w:lang w:val="en-US" w:eastAsia="zh-CN"/>
        </w:rPr>
      </w:pPr>
      <w:r>
        <w:rPr>
          <w:rFonts w:hint="eastAsia"/>
          <w:lang w:val="en-US" w:eastAsia="zh-CN"/>
        </w:rPr>
        <w:t>机构设置：     </w:t>
      </w:r>
    </w:p>
    <w:p w14:paraId="2C41C62A">
      <w:pPr>
        <w:pStyle w:val="18"/>
        <w:bidi w:val="0"/>
        <w:rPr>
          <w:rFonts w:hint="eastAsia"/>
          <w:lang w:val="en-US" w:eastAsia="zh-CN"/>
        </w:rPr>
      </w:pPr>
      <w:r>
        <w:rPr>
          <w:rFonts w:hint="eastAsia"/>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0074614E">
      <w:pPr>
        <w:pStyle w:val="18"/>
        <w:bidi w:val="0"/>
        <w:rPr>
          <w:rFonts w:hint="eastAsia"/>
          <w:lang w:val="en-US" w:eastAsia="zh-CN"/>
        </w:rPr>
      </w:pPr>
      <w:r>
        <w:rPr>
          <w:rFonts w:hint="eastAsia"/>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286EABA0">
      <w:pPr>
        <w:pStyle w:val="18"/>
        <w:bidi w:val="0"/>
        <w:rPr>
          <w:rFonts w:hint="eastAsia"/>
          <w:lang w:val="en-US" w:eastAsia="zh-CN"/>
        </w:rPr>
      </w:pPr>
      <w:r>
        <w:rPr>
          <w:rFonts w:hint="eastAsia"/>
          <w:lang w:val="en-US" w:eastAsia="zh-CN"/>
        </w:rPr>
        <w:t>3.企业服务科。围绕企业投资项目从立项至竣工验收申报审批的全流程，为投资者提供咨询、指导、协调、代办等服务。     </w:t>
      </w:r>
    </w:p>
    <w:p w14:paraId="107C9CE7">
      <w:pPr>
        <w:pStyle w:val="18"/>
        <w:bidi w:val="0"/>
        <w:rPr>
          <w:rFonts w:hint="eastAsia"/>
          <w:lang w:val="en-US" w:eastAsia="zh-CN"/>
        </w:rPr>
      </w:pPr>
      <w:r>
        <w:rPr>
          <w:rFonts w:hint="eastAsia"/>
          <w:lang w:val="en-US" w:eastAsia="zh-CN"/>
        </w:rPr>
        <w:t>4.便民服务科。负责为办事群众提供政务服务咨询、指导、协调、代办、帮办等服务。负责24小时自助服务管理工作。     </w:t>
      </w:r>
    </w:p>
    <w:p w14:paraId="1541159D">
      <w:pPr>
        <w:pStyle w:val="18"/>
        <w:bidi w:val="0"/>
        <w:rPr>
          <w:rFonts w:hint="eastAsia"/>
          <w:lang w:val="en-US" w:eastAsia="zh-CN"/>
        </w:rPr>
      </w:pPr>
      <w:r>
        <w:rPr>
          <w:rFonts w:hint="eastAsia"/>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457C2DC4">
      <w:pPr>
        <w:pStyle w:val="18"/>
        <w:bidi w:val="0"/>
        <w:rPr>
          <w:rFonts w:hint="eastAsia"/>
          <w:lang w:val="en-US" w:eastAsia="zh-CN"/>
        </w:rPr>
      </w:pPr>
      <w:r>
        <w:rPr>
          <w:rFonts w:hint="eastAsia"/>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20A0A433">
      <w:pPr>
        <w:pStyle w:val="18"/>
        <w:bidi w:val="0"/>
        <w:rPr>
          <w:rFonts w:hint="eastAsia"/>
          <w:lang w:val="en-US" w:eastAsia="zh-CN"/>
        </w:rPr>
      </w:pPr>
      <w:r>
        <w:rPr>
          <w:rFonts w:hint="eastAsia"/>
          <w:lang w:val="en-US" w:eastAsia="zh-CN"/>
        </w:rPr>
        <w:t>7.人事科。承担中心机构编制、人事管理、教育培训及中心人员日常考核及年度实绩考核等工作；负责中心退休人员的管理服务工作。     </w:t>
      </w:r>
    </w:p>
    <w:p w14:paraId="7D245D17">
      <w:pPr>
        <w:pStyle w:val="18"/>
        <w:bidi w:val="0"/>
        <w:rPr>
          <w:rFonts w:hint="eastAsia"/>
          <w:lang w:val="en-US" w:eastAsia="zh-CN"/>
        </w:rPr>
      </w:pPr>
      <w:r>
        <w:rPr>
          <w:rFonts w:hint="eastAsia"/>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511F468C">
      <w:pPr>
        <w:pStyle w:val="18"/>
        <w:bidi w:val="0"/>
        <w:rPr>
          <w:rFonts w:hint="eastAsia"/>
          <w:lang w:val="en-US" w:eastAsia="zh-CN"/>
        </w:rPr>
      </w:pPr>
      <w:r>
        <w:rPr>
          <w:rFonts w:hint="eastAsia"/>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4806E653">
      <w:pPr>
        <w:pStyle w:val="18"/>
        <w:bidi w:val="0"/>
        <w:rPr>
          <w:rFonts w:hint="eastAsia"/>
          <w:lang w:val="en-US" w:eastAsia="zh-CN"/>
        </w:rPr>
      </w:pPr>
      <w:r>
        <w:rPr>
          <w:rFonts w:hint="eastAsia"/>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4AC95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655" w:type="dxa"/>
            <w:vAlign w:val="center"/>
          </w:tcPr>
          <w:p w14:paraId="2E5F760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6716515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268BFB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6925C8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4C9ECC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68D0BE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67808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655" w:type="dxa"/>
            <w:shd w:val="clear" w:color="auto" w:fill="auto"/>
            <w:vAlign w:val="center"/>
          </w:tcPr>
          <w:p w14:paraId="5F52AD1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（一）</w:t>
            </w:r>
          </w:p>
        </w:tc>
        <w:tc>
          <w:tcPr>
            <w:tcW w:w="1750" w:type="dxa"/>
            <w:shd w:val="clear" w:color="auto" w:fill="auto"/>
            <w:vAlign w:val="center"/>
          </w:tcPr>
          <w:p w14:paraId="764EBE8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服务器</w:t>
            </w:r>
          </w:p>
        </w:tc>
        <w:tc>
          <w:tcPr>
            <w:tcW w:w="1760" w:type="dxa"/>
            <w:shd w:val="clear" w:color="auto" w:fill="auto"/>
            <w:vAlign w:val="center"/>
          </w:tcPr>
          <w:p w14:paraId="5CFD4C3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2810" w:type="dxa"/>
            <w:shd w:val="clear" w:color="auto" w:fill="auto"/>
            <w:vAlign w:val="center"/>
          </w:tcPr>
          <w:p w14:paraId="1D8906A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7DD7A10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2C4C00C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2D3E8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shd w:val="clear" w:color="auto" w:fill="auto"/>
            <w:vAlign w:val="center"/>
          </w:tcPr>
          <w:p w14:paraId="44D24AD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085ED65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10.21.245.44</w:t>
            </w:r>
          </w:p>
        </w:tc>
        <w:tc>
          <w:tcPr>
            <w:tcW w:w="1760" w:type="dxa"/>
            <w:shd w:val="clear" w:color="auto" w:fill="auto"/>
            <w:vAlign w:val="center"/>
          </w:tcPr>
          <w:p w14:paraId="4CE7A0A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3EF4EB1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r>
              <w:rPr>
                <w:rFonts w:hint="eastAsia" w:ascii="仿宋" w:hAnsi="仿宋" w:eastAsia="仿宋" w:cs="仿宋"/>
                <w:color w:val="auto"/>
                <w:spacing w:val="0"/>
                <w:position w:val="0"/>
                <w:sz w:val="21"/>
                <w:szCs w:val="21"/>
                <w:highlight w:val="none"/>
                <w:lang w:val="en-US" w:eastAsia="zh-CN"/>
              </w:rPr>
              <w:t>16核/64G/1TB</w:t>
            </w:r>
          </w:p>
        </w:tc>
        <w:tc>
          <w:tcPr>
            <w:tcW w:w="694" w:type="dxa"/>
            <w:shd w:val="clear" w:color="auto" w:fill="auto"/>
            <w:vAlign w:val="center"/>
          </w:tcPr>
          <w:p w14:paraId="0476C20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66F39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r>
              <w:rPr>
                <w:rFonts w:hint="eastAsia" w:ascii="仿宋" w:hAnsi="仿宋" w:eastAsia="仿宋" w:cs="仿宋"/>
                <w:color w:val="auto"/>
                <w:spacing w:val="0"/>
                <w:position w:val="0"/>
                <w:sz w:val="21"/>
                <w:szCs w:val="21"/>
                <w:highlight w:val="none"/>
                <w:lang w:val="en-US" w:eastAsia="zh-CN"/>
              </w:rPr>
              <w:t>正常运行</w:t>
            </w:r>
          </w:p>
        </w:tc>
      </w:tr>
      <w:tr w14:paraId="193F5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shd w:val="clear" w:color="auto" w:fill="auto"/>
            <w:vAlign w:val="center"/>
          </w:tcPr>
          <w:p w14:paraId="1829B2A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（二）</w:t>
            </w:r>
          </w:p>
        </w:tc>
        <w:tc>
          <w:tcPr>
            <w:tcW w:w="1750" w:type="dxa"/>
            <w:shd w:val="clear" w:color="auto" w:fill="auto"/>
            <w:vAlign w:val="center"/>
          </w:tcPr>
          <w:p w14:paraId="5CAF43F0">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数据库</w:t>
            </w:r>
          </w:p>
        </w:tc>
        <w:tc>
          <w:tcPr>
            <w:tcW w:w="1760" w:type="dxa"/>
            <w:shd w:val="clear" w:color="auto" w:fill="auto"/>
            <w:vAlign w:val="center"/>
          </w:tcPr>
          <w:p w14:paraId="3F20F454">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p>
        </w:tc>
        <w:tc>
          <w:tcPr>
            <w:tcW w:w="2810" w:type="dxa"/>
            <w:shd w:val="clear" w:color="auto" w:fill="auto"/>
            <w:vAlign w:val="center"/>
          </w:tcPr>
          <w:p w14:paraId="28FA4CD4">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04B63C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3C869C6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4E5CF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shd w:val="clear" w:color="auto" w:fill="auto"/>
            <w:vAlign w:val="center"/>
          </w:tcPr>
          <w:p w14:paraId="5F347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4C59EC42">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10.21.245.231</w:t>
            </w:r>
          </w:p>
        </w:tc>
        <w:tc>
          <w:tcPr>
            <w:tcW w:w="1760" w:type="dxa"/>
            <w:shd w:val="clear" w:color="auto" w:fill="auto"/>
            <w:vAlign w:val="center"/>
          </w:tcPr>
          <w:p w14:paraId="00CC2180">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Windows Server 2012 R2 Standard</w:t>
            </w:r>
          </w:p>
        </w:tc>
        <w:tc>
          <w:tcPr>
            <w:tcW w:w="2810" w:type="dxa"/>
            <w:shd w:val="clear" w:color="auto" w:fill="auto"/>
            <w:vAlign w:val="center"/>
          </w:tcPr>
          <w:p w14:paraId="38E14AE9">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32核/64G/2TB</w:t>
            </w:r>
          </w:p>
        </w:tc>
        <w:tc>
          <w:tcPr>
            <w:tcW w:w="694" w:type="dxa"/>
            <w:shd w:val="clear" w:color="auto" w:fill="auto"/>
            <w:vAlign w:val="center"/>
          </w:tcPr>
          <w:p w14:paraId="73890C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6D0FFA1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r w14:paraId="30395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412D8EA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（三）</w:t>
            </w:r>
          </w:p>
        </w:tc>
        <w:tc>
          <w:tcPr>
            <w:tcW w:w="1750" w:type="dxa"/>
            <w:vAlign w:val="center"/>
          </w:tcPr>
          <w:p w14:paraId="5BE15C7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47AF5235">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327DF0A">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117FE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001A60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605EF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655" w:type="dxa"/>
            <w:vAlign w:val="center"/>
          </w:tcPr>
          <w:p w14:paraId="1D0A71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7F678C7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一件事一次办系统</w:t>
            </w:r>
          </w:p>
        </w:tc>
        <w:tc>
          <w:tcPr>
            <w:tcW w:w="1760" w:type="dxa"/>
            <w:vAlign w:val="center"/>
          </w:tcPr>
          <w:p w14:paraId="6D68CD09">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B5130CC">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负责建立健全标准统一的“一件事一次办”系统功能，推动事项关联、表单整合、系统对接和流程再造，强化跨层级、跨区域、跨部门业务联动和协同调度，实现关联审批服务统一申报、综合受理、并联审批、自动流转、统一反馈</w:t>
            </w:r>
          </w:p>
        </w:tc>
        <w:tc>
          <w:tcPr>
            <w:tcW w:w="694" w:type="dxa"/>
            <w:shd w:val="clear" w:color="auto" w:fill="auto"/>
            <w:vAlign w:val="center"/>
          </w:tcPr>
          <w:p w14:paraId="5601B53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D3E927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运维范围：对通辽市一件事一次办系统提供软件系统运维服务、安全运维等，保障系统的正常运行。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一件事一次办系统</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105GB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18"/>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18"/>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18"/>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18"/>
        <w:bidi w:val="0"/>
        <w:rPr>
          <w:rFonts w:hint="eastAsia"/>
          <w:lang w:val="en-US" w:eastAsia="zh-CN"/>
        </w:rPr>
      </w:pPr>
      <w:r>
        <w:rPr>
          <w:rFonts w:hint="default"/>
          <w:lang w:val="en-US" w:eastAsia="zh-CN"/>
        </w:rPr>
        <w:t>结合目前项目实际情况</w:t>
      </w:r>
      <w:r>
        <w:rPr>
          <w:rFonts w:hint="eastAsia"/>
          <w:lang w:val="en-US" w:eastAsia="zh-CN"/>
        </w:rPr>
        <w:t>，一件事一次办系统运维服务工作，共安排技术支持2名，其中驻场人员1名、远程技术支持人员1名</w:t>
      </w:r>
      <w:r>
        <w:rPr>
          <w:rFonts w:hint="default"/>
          <w:lang w:val="en-US" w:eastAsia="zh-CN"/>
        </w:rPr>
        <w:t>，具体岗位需求及分工如下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0D7A0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4B65D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6E5D9">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AC7B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E3F0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BBB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DEC11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2BCCF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F55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4563870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09717B3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678EE91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12A7BA5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0C781F3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0574050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01F21CE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19AA4F9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38A712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70CC65C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48404ED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4769E5A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0193E7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2904C4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07E9FE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5C59B91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291DC42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1021E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58D09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AEC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843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D6E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A36F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13121FA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659151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784BF02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64E94A9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8D43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none"/>
          <w:lang w:val="en-US" w:eastAsia="zh-CN"/>
        </w:rPr>
      </w:pPr>
      <w:r>
        <w:rPr>
          <w:rFonts w:hint="eastAsia"/>
          <w:highlight w:val="none"/>
          <w:lang w:val="en-US" w:eastAsia="zh-CN"/>
        </w:rPr>
        <w:t>运维周期</w:t>
      </w:r>
    </w:p>
    <w:p w14:paraId="7B278A42">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bookmarkStart w:id="0" w:name="_GoBack"/>
      <w:bookmarkEnd w:id="0"/>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0" w:firstLineChars="200"/>
        <w:textAlignment w:val="auto"/>
        <w:rPr>
          <w:rFonts w:hint="eastAsia"/>
          <w:b/>
          <w:bCs/>
          <w:lang w:val="en-US" w:eastAsia="zh-CN"/>
        </w:rPr>
      </w:pPr>
      <w:r>
        <w:rPr>
          <w:rFonts w:hint="eastAsia"/>
          <w:b/>
          <w:bCs/>
          <w:lang w:val="en-US" w:eastAsia="zh-CN"/>
        </w:rPr>
        <w:t>数据库</w:t>
      </w:r>
    </w:p>
    <w:p w14:paraId="5A4242F0">
      <w:pPr>
        <w:pStyle w:val="18"/>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18"/>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0" w:firstLineChars="200"/>
        <w:textAlignment w:val="auto"/>
        <w:rPr>
          <w:rFonts w:hint="eastAsia"/>
          <w:b/>
          <w:bCs/>
          <w:lang w:val="en-US" w:eastAsia="zh-CN"/>
        </w:rPr>
      </w:pPr>
      <w:r>
        <w:rPr>
          <w:rFonts w:hint="eastAsia"/>
          <w:b/>
          <w:bCs/>
          <w:lang w:val="en-US" w:eastAsia="zh-CN"/>
        </w:rPr>
        <w:t>中间件</w:t>
      </w:r>
    </w:p>
    <w:p w14:paraId="4501886A">
      <w:pPr>
        <w:pStyle w:val="18"/>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 ，辅助开发进行配置，保留配置文档。模块 配置与更新，配合第三方配置.java的版本及更新工作。操作系统模块配置与更新，配合第三方配置操作系统到可用的版本及更新。配合反馈第三方解决服务错误日志中的问题。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18"/>
        <w:bidi w:val="0"/>
        <w:rPr>
          <w:rFonts w:hint="eastAsia"/>
          <w:lang w:val="en-US" w:eastAsia="zh-CN"/>
        </w:rPr>
      </w:pPr>
      <w:r>
        <w:rPr>
          <w:rFonts w:hint="eastAsia"/>
          <w:lang w:val="en-US" w:eastAsia="zh-CN"/>
        </w:rPr>
        <w:t>一件事一次办系统负责建立健全标准统一的“一件事一次办”系统功能，推动事项关联、表单整合、系统对接和流程再造，强化跨层级、跨区域、跨部门业务联动和协同调度，实现关联审批服务统一申报、综合受理、并联审批、自动流转、统一反馈。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通辽市一件事一次办系统</w:t>
      </w:r>
      <w:r>
        <w:rPr>
          <w:rFonts w:hint="default"/>
          <w:lang w:val="en-US" w:eastAsia="zh-CN"/>
        </w:rPr>
        <w:t>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18"/>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18"/>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18"/>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18"/>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18"/>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18"/>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18"/>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18"/>
        <w:bidi w:val="0"/>
        <w:rPr>
          <w:rFonts w:hint="eastAsia"/>
          <w:lang w:val="en-US" w:eastAsia="zh-CN"/>
        </w:rPr>
      </w:pPr>
      <w:r>
        <w:rPr>
          <w:rFonts w:hint="eastAsia"/>
          <w:lang w:val="en-US" w:eastAsia="zh-CN"/>
        </w:rPr>
        <w:t>在服务期内一件事一次办系统</w:t>
      </w:r>
      <w:r>
        <w:rPr>
          <w:rFonts w:hint="default"/>
          <w:lang w:val="en-US" w:eastAsia="zh-CN"/>
        </w:rPr>
        <w:t>与</w:t>
      </w:r>
      <w:r>
        <w:rPr>
          <w:rFonts w:hint="eastAsia"/>
          <w:lang w:val="en-US" w:eastAsia="zh-CN"/>
        </w:rPr>
        <w:t>取号叫号系统，共安排1名人员驻场提供服务，做好运维保障工作。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4705E2E">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完成用户提出的有关取号叫号的临时工作安排。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18"/>
        <w:bidi w:val="0"/>
        <w:rPr>
          <w:rFonts w:hint="eastAsia"/>
          <w:lang w:val="en-US" w:eastAsia="zh-CN"/>
        </w:rPr>
      </w:pPr>
      <w:r>
        <w:rPr>
          <w:rFonts w:hint="eastAsia"/>
          <w:lang w:val="en-US" w:eastAsia="zh-CN"/>
        </w:rPr>
        <w:t>为确保通辽市一件事一次办系统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18"/>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18"/>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18"/>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18"/>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18"/>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18"/>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18"/>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18"/>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18"/>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18"/>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18"/>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18"/>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18"/>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18"/>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18"/>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18"/>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18"/>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18"/>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18"/>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BF99243">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6B33976B">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2"/>
        <w:gridCol w:w="2224"/>
        <w:gridCol w:w="1124"/>
      </w:tblGrid>
      <w:tr w14:paraId="27951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674" w:type="pct"/>
            <w:vAlign w:val="center"/>
          </w:tcPr>
          <w:p w14:paraId="7DAAC9E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2317" w:type="pct"/>
            <w:vAlign w:val="center"/>
          </w:tcPr>
          <w:p w14:paraId="3A31D10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334" w:type="pct"/>
            <w:vAlign w:val="center"/>
          </w:tcPr>
          <w:p w14:paraId="535CDD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674" w:type="pct"/>
            <w:vAlign w:val="center"/>
          </w:tcPr>
          <w:p w14:paraId="177B67C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D09B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674" w:type="pct"/>
            <w:vAlign w:val="center"/>
          </w:tcPr>
          <w:p w14:paraId="3FB1824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2317" w:type="pct"/>
            <w:vAlign w:val="center"/>
          </w:tcPr>
          <w:p w14:paraId="49EBF6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1334" w:type="pct"/>
            <w:vAlign w:val="center"/>
          </w:tcPr>
          <w:p w14:paraId="2D9CE34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180000</w:t>
            </w:r>
          </w:p>
        </w:tc>
        <w:tc>
          <w:tcPr>
            <w:tcW w:w="674" w:type="pct"/>
            <w:vAlign w:val="center"/>
          </w:tcPr>
          <w:p w14:paraId="40E21AF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B348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674" w:type="pct"/>
            <w:vAlign w:val="center"/>
          </w:tcPr>
          <w:p w14:paraId="7A683E8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2317" w:type="pct"/>
            <w:shd w:val="clear" w:color="auto" w:fill="auto"/>
            <w:vAlign w:val="center"/>
          </w:tcPr>
          <w:p w14:paraId="3F7F9FC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1334" w:type="pct"/>
            <w:vAlign w:val="center"/>
          </w:tcPr>
          <w:p w14:paraId="7CCA612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120000</w:t>
            </w:r>
          </w:p>
        </w:tc>
        <w:tc>
          <w:tcPr>
            <w:tcW w:w="674" w:type="pct"/>
            <w:vAlign w:val="center"/>
          </w:tcPr>
          <w:p w14:paraId="2BF8896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5BA1F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674" w:type="pct"/>
            <w:vAlign w:val="center"/>
          </w:tcPr>
          <w:p w14:paraId="255DB3F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2317" w:type="pct"/>
            <w:shd w:val="clear" w:color="auto" w:fill="auto"/>
            <w:vAlign w:val="center"/>
          </w:tcPr>
          <w:p w14:paraId="5C646EC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1334" w:type="pct"/>
            <w:vAlign w:val="center"/>
          </w:tcPr>
          <w:p w14:paraId="3355DE8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674" w:type="pct"/>
            <w:vAlign w:val="center"/>
          </w:tcPr>
          <w:p w14:paraId="2E5FD5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53996A5C">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340"/>
        <w:gridCol w:w="397"/>
        <w:gridCol w:w="446"/>
        <w:gridCol w:w="579"/>
        <w:gridCol w:w="721"/>
        <w:gridCol w:w="830"/>
        <w:gridCol w:w="851"/>
      </w:tblGrid>
      <w:tr w14:paraId="6A38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164" w:hRule="atLeast"/>
        </w:trPr>
        <w:tc>
          <w:tcPr>
            <w:tcW w:w="489" w:type="dxa"/>
            <w:shd w:val="clear" w:color="auto" w:fill="auto"/>
            <w:vAlign w:val="center"/>
          </w:tcPr>
          <w:p w14:paraId="1BA6B59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6C9B7C19">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340" w:type="dxa"/>
            <w:shd w:val="clear" w:color="auto" w:fill="auto"/>
            <w:vAlign w:val="center"/>
          </w:tcPr>
          <w:p w14:paraId="471310A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397" w:type="dxa"/>
            <w:shd w:val="clear" w:color="auto" w:fill="auto"/>
            <w:vAlign w:val="center"/>
          </w:tcPr>
          <w:p w14:paraId="6571E6B0">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446" w:type="dxa"/>
            <w:shd w:val="clear" w:color="auto" w:fill="auto"/>
            <w:vAlign w:val="center"/>
          </w:tcPr>
          <w:p w14:paraId="76F700E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37E4DBA">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0B0A041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24A31F8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4DE82A3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1844F802">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0344807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7D40C6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8995A5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CC76E2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42F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89" w:type="dxa"/>
            <w:shd w:val="clear" w:color="auto" w:fill="auto"/>
            <w:vAlign w:val="center"/>
          </w:tcPr>
          <w:p w14:paraId="1ECD79C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340" w:type="dxa"/>
            <w:shd w:val="clear" w:color="auto" w:fill="auto"/>
            <w:vAlign w:val="center"/>
          </w:tcPr>
          <w:p w14:paraId="6BD03F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421F17D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4B9799C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BEFF79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351806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724AFB6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179E092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466B840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058E9FE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5AE364BE">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6A59004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4FC91F1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6CECAAE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397" w:type="dxa"/>
            <w:shd w:val="clear" w:color="auto" w:fill="auto"/>
            <w:vAlign w:val="center"/>
          </w:tcPr>
          <w:p w14:paraId="3231D48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446" w:type="dxa"/>
            <w:shd w:val="clear" w:color="auto" w:fill="auto"/>
            <w:vAlign w:val="center"/>
          </w:tcPr>
          <w:p w14:paraId="0471691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579" w:type="dxa"/>
            <w:shd w:val="clear" w:color="auto" w:fill="auto"/>
            <w:vAlign w:val="center"/>
          </w:tcPr>
          <w:p w14:paraId="12A485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2591A9A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830" w:type="dxa"/>
            <w:shd w:val="clear" w:color="auto" w:fill="auto"/>
            <w:vAlign w:val="center"/>
          </w:tcPr>
          <w:p w14:paraId="5A25D0A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5D185F5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120000</w:t>
            </w:r>
          </w:p>
        </w:tc>
      </w:tr>
      <w:tr w14:paraId="6C8D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4" w:hRule="atLeast"/>
        </w:trPr>
        <w:tc>
          <w:tcPr>
            <w:tcW w:w="4840" w:type="dxa"/>
            <w:gridSpan w:val="4"/>
            <w:shd w:val="clear" w:color="auto" w:fill="auto"/>
            <w:vAlign w:val="center"/>
          </w:tcPr>
          <w:p w14:paraId="1B40E62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合计</w:t>
            </w:r>
          </w:p>
        </w:tc>
        <w:tc>
          <w:tcPr>
            <w:tcW w:w="446" w:type="dxa"/>
            <w:shd w:val="clear" w:color="auto" w:fill="auto"/>
            <w:vAlign w:val="center"/>
          </w:tcPr>
          <w:p w14:paraId="696D52F7">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w:t>
            </w:r>
          </w:p>
        </w:tc>
        <w:tc>
          <w:tcPr>
            <w:tcW w:w="579" w:type="dxa"/>
            <w:shd w:val="clear" w:color="auto" w:fill="auto"/>
            <w:vAlign w:val="center"/>
          </w:tcPr>
          <w:p w14:paraId="192DEA5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w:t>
            </w:r>
          </w:p>
        </w:tc>
        <w:tc>
          <w:tcPr>
            <w:tcW w:w="721" w:type="dxa"/>
            <w:shd w:val="clear" w:color="auto" w:fill="auto"/>
            <w:vAlign w:val="center"/>
          </w:tcPr>
          <w:p w14:paraId="0248150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w:t>
            </w:r>
          </w:p>
        </w:tc>
        <w:tc>
          <w:tcPr>
            <w:tcW w:w="830" w:type="dxa"/>
            <w:shd w:val="clear" w:color="auto" w:fill="auto"/>
            <w:vAlign w:val="center"/>
          </w:tcPr>
          <w:p w14:paraId="1C1739F5">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10000</w:t>
            </w:r>
          </w:p>
        </w:tc>
        <w:tc>
          <w:tcPr>
            <w:tcW w:w="851" w:type="dxa"/>
            <w:shd w:val="clear" w:color="auto" w:fill="auto"/>
            <w:vAlign w:val="center"/>
          </w:tcPr>
          <w:p w14:paraId="0A539332">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120000</w:t>
            </w:r>
          </w:p>
        </w:tc>
      </w:tr>
    </w:tbl>
    <w:p w14:paraId="476026EE">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50DE9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jc w:val="center"/>
        </w:trPr>
        <w:tc>
          <w:tcPr>
            <w:tcW w:w="474" w:type="dxa"/>
            <w:vAlign w:val="center"/>
          </w:tcPr>
          <w:p w14:paraId="125308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2EBF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578CAC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2E6B2C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61FE3C5E">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6BCBB681">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6324B71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60E1F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461701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13F02A9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6DF414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7ECA07B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436281A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33FE6C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1FE3DDC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4B58392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4E714B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609AF1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E6089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09AE9B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46E83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474" w:type="dxa"/>
            <w:vAlign w:val="center"/>
          </w:tcPr>
          <w:p w14:paraId="64DACED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72B54E1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7D7A256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683BA07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45CF648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5A3FEAD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5D3F847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3E0F160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项</w:t>
            </w:r>
          </w:p>
        </w:tc>
        <w:tc>
          <w:tcPr>
            <w:tcW w:w="553" w:type="dxa"/>
            <w:vAlign w:val="center"/>
          </w:tcPr>
          <w:p w14:paraId="2F947BD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765709C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2035492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50C61A6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60352C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36307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3753" w:type="dxa"/>
            <w:gridSpan w:val="4"/>
            <w:vAlign w:val="center"/>
          </w:tcPr>
          <w:p w14:paraId="3B2C08A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011C3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1BBFDF7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BE5ED8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54D600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3C62EB1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884"/>
        <w:gridCol w:w="890"/>
        <w:gridCol w:w="1332"/>
        <w:gridCol w:w="3700"/>
        <w:gridCol w:w="1620"/>
      </w:tblGrid>
      <w:tr w14:paraId="75593EDF">
        <w:tblPrEx>
          <w:tblCellMar>
            <w:top w:w="0" w:type="dxa"/>
            <w:left w:w="108" w:type="dxa"/>
            <w:bottom w:w="0" w:type="dxa"/>
            <w:right w:w="108" w:type="dxa"/>
          </w:tblCellMar>
        </w:tblPrEx>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通辽市一件事一次办系统运维服务项目</w:t>
            </w:r>
            <w:r>
              <w:rPr>
                <w:rFonts w:hint="eastAsia" w:ascii="仿宋" w:hAnsi="仿宋" w:eastAsia="仿宋" w:cs="仿宋"/>
                <w:b/>
                <w:bCs/>
                <w:color w:val="auto"/>
                <w:kern w:val="0"/>
                <w:sz w:val="28"/>
                <w:szCs w:val="28"/>
                <w:highlight w:val="none"/>
                <w:lang w:bidi="ar"/>
              </w:rPr>
              <w:t>绩效目标表</w:t>
            </w:r>
          </w:p>
        </w:tc>
      </w:tr>
      <w:tr w14:paraId="2C500B6F">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通辽市一件事一次办系统运维服务项目</w:t>
            </w:r>
          </w:p>
        </w:tc>
      </w:tr>
      <w:tr w14:paraId="6901A91B">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18</w:t>
            </w:r>
          </w:p>
        </w:tc>
      </w:tr>
      <w:tr w14:paraId="4C0C66AF">
        <w:tblPrEx>
          <w:tblCellMar>
            <w:top w:w="0" w:type="dxa"/>
            <w:left w:w="108" w:type="dxa"/>
            <w:bottom w:w="0" w:type="dxa"/>
            <w:right w:w="108" w:type="dxa"/>
          </w:tblCellMar>
        </w:tblPrEx>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一件事一次办系统</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保障系统各项功能正常使用。</w:t>
            </w:r>
          </w:p>
        </w:tc>
      </w:tr>
      <w:tr w14:paraId="17D7CCAC">
        <w:tblPrEx>
          <w:tblCellMar>
            <w:top w:w="0" w:type="dxa"/>
            <w:left w:w="108" w:type="dxa"/>
            <w:bottom w:w="0" w:type="dxa"/>
            <w:right w:w="108" w:type="dxa"/>
          </w:tblCellMar>
        </w:tblPrEx>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≤18万元</w:t>
            </w:r>
          </w:p>
        </w:tc>
      </w:tr>
      <w:tr w14:paraId="7DED2035">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blPrEx>
          <w:tblCellMar>
            <w:top w:w="0" w:type="dxa"/>
            <w:left w:w="108" w:type="dxa"/>
            <w:bottom w:w="0" w:type="dxa"/>
            <w:right w:w="108" w:type="dxa"/>
          </w:tblCellMar>
        </w:tblPrEx>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Heiti SC Medium">
    <w:altName w:val="宋体"/>
    <w:panose1 w:val="02000000000000000000"/>
    <w:charset w:val="86"/>
    <w:family w:val="auto"/>
    <w:pitch w:val="default"/>
    <w:sig w:usb0="00000000" w:usb1="00000000" w:usb2="00000000" w:usb3="00000000" w:csb0="203E0000" w:csb1="00000000"/>
  </w:font>
  <w:font w:name="方正小标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2000000000000000000"/>
    <w:charset w:val="86"/>
    <w:family w:val="auto"/>
    <w:pitch w:val="default"/>
    <w:sig w:usb0="00000000" w:usb1="00000000" w:usb2="00082016" w:usb3="00000000" w:csb0="00040001" w:csb1="00000000"/>
  </w:font>
  <w:font w:name="方正黑体_GBK">
    <w:altName w:val="微软雅黑"/>
    <w:panose1 w:val="03000509000000000000"/>
    <w:charset w:val="86"/>
    <w:family w:val="script"/>
    <w:pitch w:val="default"/>
    <w:sig w:usb0="00000000" w:usb1="00000000" w:usb2="00000010" w:usb3="00000000" w:csb0="00040000" w:csb1="00000000"/>
  </w:font>
  <w:font w:name="方正楷体_GBK">
    <w:altName w:val="微软雅黑"/>
    <w:panose1 w:val="03000509000000000000"/>
    <w:charset w:val="86"/>
    <w:family w:val="script"/>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AD0F5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5AD0F5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1DCF6071"/>
    <w:rsid w:val="1EEF5424"/>
    <w:rsid w:val="1F6B24C9"/>
    <w:rsid w:val="1FFB1B3C"/>
    <w:rsid w:val="2EEBA6DD"/>
    <w:rsid w:val="2EEF0B69"/>
    <w:rsid w:val="2F5FD9F8"/>
    <w:rsid w:val="2F6D1EE8"/>
    <w:rsid w:val="2F8FAA33"/>
    <w:rsid w:val="2FDF1AEA"/>
    <w:rsid w:val="2FEB3C4E"/>
    <w:rsid w:val="317F278B"/>
    <w:rsid w:val="37DBAEA2"/>
    <w:rsid w:val="39D74A9F"/>
    <w:rsid w:val="39FF1BE0"/>
    <w:rsid w:val="3DDFCA43"/>
    <w:rsid w:val="3F3F3485"/>
    <w:rsid w:val="3F513360"/>
    <w:rsid w:val="3FDBC600"/>
    <w:rsid w:val="3FDFF602"/>
    <w:rsid w:val="3FE6D72A"/>
    <w:rsid w:val="3FF4F7F5"/>
    <w:rsid w:val="3FF70739"/>
    <w:rsid w:val="4F5C5F90"/>
    <w:rsid w:val="4FC37ECB"/>
    <w:rsid w:val="526ABF39"/>
    <w:rsid w:val="53B75456"/>
    <w:rsid w:val="56FF14E7"/>
    <w:rsid w:val="599FF20D"/>
    <w:rsid w:val="5ADF3549"/>
    <w:rsid w:val="5BBFC087"/>
    <w:rsid w:val="5BFD2D0E"/>
    <w:rsid w:val="5BFF3B74"/>
    <w:rsid w:val="5EED5BED"/>
    <w:rsid w:val="5EEEE242"/>
    <w:rsid w:val="5FF96E20"/>
    <w:rsid w:val="5FFCE2DA"/>
    <w:rsid w:val="651C7536"/>
    <w:rsid w:val="697C1260"/>
    <w:rsid w:val="6A652329"/>
    <w:rsid w:val="6BD38BAD"/>
    <w:rsid w:val="6BDF9CC7"/>
    <w:rsid w:val="6E7D2695"/>
    <w:rsid w:val="6EB315F0"/>
    <w:rsid w:val="6EE725E1"/>
    <w:rsid w:val="6EF7495C"/>
    <w:rsid w:val="6EFBBAC3"/>
    <w:rsid w:val="6F5F1DC4"/>
    <w:rsid w:val="6FB63DB1"/>
    <w:rsid w:val="736E9B7A"/>
    <w:rsid w:val="73974E48"/>
    <w:rsid w:val="74B93032"/>
    <w:rsid w:val="75FF2320"/>
    <w:rsid w:val="77B99260"/>
    <w:rsid w:val="77BE85C7"/>
    <w:rsid w:val="77CD1EDD"/>
    <w:rsid w:val="77FAA393"/>
    <w:rsid w:val="77FE9356"/>
    <w:rsid w:val="789C2ADC"/>
    <w:rsid w:val="7997674A"/>
    <w:rsid w:val="79F54A08"/>
    <w:rsid w:val="7AAD4230"/>
    <w:rsid w:val="7AE732B2"/>
    <w:rsid w:val="7AFA863A"/>
    <w:rsid w:val="7BE74982"/>
    <w:rsid w:val="7BEDEFF7"/>
    <w:rsid w:val="7C2FDB85"/>
    <w:rsid w:val="7CFBB729"/>
    <w:rsid w:val="7DD6A50E"/>
    <w:rsid w:val="7EEE552A"/>
    <w:rsid w:val="7EFB886F"/>
    <w:rsid w:val="7F7742F6"/>
    <w:rsid w:val="7FB7F212"/>
    <w:rsid w:val="7FDDE81E"/>
    <w:rsid w:val="7FE7112E"/>
    <w:rsid w:val="7FF97B85"/>
    <w:rsid w:val="7FFFB170"/>
    <w:rsid w:val="7FFFF04F"/>
    <w:rsid w:val="8F7F38EA"/>
    <w:rsid w:val="95FDCA74"/>
    <w:rsid w:val="97748F72"/>
    <w:rsid w:val="9B764B0A"/>
    <w:rsid w:val="9D2F7929"/>
    <w:rsid w:val="9FDF807D"/>
    <w:rsid w:val="AFFF30C0"/>
    <w:rsid w:val="BB1D90B6"/>
    <w:rsid w:val="BBFF2B25"/>
    <w:rsid w:val="BBFF7A0F"/>
    <w:rsid w:val="BFEF36E8"/>
    <w:rsid w:val="CAEEBCEA"/>
    <w:rsid w:val="CC75A36B"/>
    <w:rsid w:val="CDEE7A6A"/>
    <w:rsid w:val="CF7DDF90"/>
    <w:rsid w:val="CFD96492"/>
    <w:rsid w:val="D2F56F69"/>
    <w:rsid w:val="D735FB94"/>
    <w:rsid w:val="D7CB2E1A"/>
    <w:rsid w:val="D7FDD526"/>
    <w:rsid w:val="DAED79E9"/>
    <w:rsid w:val="E63665E6"/>
    <w:rsid w:val="E76C0CAF"/>
    <w:rsid w:val="E9CDAFD7"/>
    <w:rsid w:val="EBFE988F"/>
    <w:rsid w:val="EE6FB674"/>
    <w:rsid w:val="EF5F1009"/>
    <w:rsid w:val="EF7F0E97"/>
    <w:rsid w:val="EFB7244B"/>
    <w:rsid w:val="EFDE3552"/>
    <w:rsid w:val="F167BA00"/>
    <w:rsid w:val="F1FF93E0"/>
    <w:rsid w:val="F3E1CDB8"/>
    <w:rsid w:val="F3FF7DAC"/>
    <w:rsid w:val="F4BFFAD9"/>
    <w:rsid w:val="F511F84E"/>
    <w:rsid w:val="F52FEB66"/>
    <w:rsid w:val="F5FB8C31"/>
    <w:rsid w:val="F653526E"/>
    <w:rsid w:val="F72FD379"/>
    <w:rsid w:val="F76DF8BB"/>
    <w:rsid w:val="F773E32C"/>
    <w:rsid w:val="F7A4D438"/>
    <w:rsid w:val="F7FBE876"/>
    <w:rsid w:val="F9BC6C99"/>
    <w:rsid w:val="FAC7FEE6"/>
    <w:rsid w:val="FAE18226"/>
    <w:rsid w:val="FBBE7230"/>
    <w:rsid w:val="FBDD0FD6"/>
    <w:rsid w:val="FBDF8D84"/>
    <w:rsid w:val="FBF75838"/>
    <w:rsid w:val="FBFB6570"/>
    <w:rsid w:val="FD7ED0AA"/>
    <w:rsid w:val="FDDDE693"/>
    <w:rsid w:val="FDEB9D9D"/>
    <w:rsid w:val="FDFD07AF"/>
    <w:rsid w:val="FEBFAD6D"/>
    <w:rsid w:val="FEDF65E5"/>
    <w:rsid w:val="FEF744AE"/>
    <w:rsid w:val="FEFF7156"/>
    <w:rsid w:val="FF5689D7"/>
    <w:rsid w:val="FF799A3E"/>
    <w:rsid w:val="FF9CE961"/>
    <w:rsid w:val="FFDF793A"/>
    <w:rsid w:val="FFDF9A3E"/>
    <w:rsid w:val="FFF76079"/>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iPriority w:val="0"/>
    <w:rPr>
      <w:rFonts w:ascii="Times New Roman" w:hAnsi="Times New Roman" w:eastAsia="宋体"/>
      <w:b/>
      <w:sz w:val="32"/>
    </w:rPr>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qFormat/>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qFormat/>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qFormat/>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qFormat/>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qFormat/>
    <w:uiPriority w:val="0"/>
    <w:rPr>
      <w:rFonts w:hint="eastAsia" w:ascii="Times New Roman" w:hAnsi="Times New Roman" w:eastAsia="宋体" w:cs="Times New Roman"/>
      <w:sz w:val="24"/>
      <w:szCs w:val="22"/>
      <w:lang w:eastAsia="zh-Hans"/>
    </w:rPr>
  </w:style>
  <w:style w:type="paragraph" w:customStyle="1" w:styleId="27">
    <w:name w:val="宋体小四标准"/>
    <w:basedOn w:val="1"/>
    <w:qFormat/>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qFormat/>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qFormat/>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qFormat/>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qFormat/>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qFormat/>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qFormat/>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8428</Words>
  <Characters>8749</Characters>
  <Lines>0</Lines>
  <Paragraphs>0</Paragraphs>
  <TotalTime>0</TotalTime>
  <ScaleCrop>false</ScaleCrop>
  <LinksUpToDate>false</LinksUpToDate>
  <CharactersWithSpaces>8793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2025-08-14T09:18:00Z</dcterms:created>
  <dc:creator>刘欣悦 </dc:creator>
  <cp:lastModifiedBy>强丶强</cp:lastModifiedBy>
  <dcterms:modified xsi:type="dcterms:W3CDTF">2025-08-22T02:20:54Z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94FA60150494108C73019F6857C1322B_43</vt:lpwstr>
  </property>
  <property fmtid="{D5CDD505-2E9C-101B-9397-08002B2CF9AE}" pid="4" name="KSOTemplateDocerSaveRecord">
    <vt:lpwstr>eyJoZGlkIjoiYTc2ZGZiNzZiNDVlOGViOWVmM2JhOTY0NGJkNjUyYzgiLCJ1c2VySWQiOiIyNTYyNjc5NTUifQ==</vt:lpwstr>
  </property>
</Properties>
</file>