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135DF">
      <w:pPr>
        <w:pStyle w:val="28"/>
        <w:bidi w:val="0"/>
        <w:rPr>
          <w:rFonts w:hint="eastAsia"/>
        </w:rPr>
      </w:pPr>
      <w:r>
        <w:rPr>
          <w:rFonts w:hint="eastAsia"/>
          <w:lang w:val="en-US" w:eastAsia="zh-CN"/>
        </w:rPr>
        <w:t>通辽市专家评审（勘验）管理系统</w:t>
      </w:r>
      <w:r>
        <w:rPr>
          <w:rFonts w:hint="eastAsia"/>
        </w:rPr>
        <w:t>政务信息化运维项目预算支出方案</w:t>
      </w:r>
    </w:p>
    <w:p w14:paraId="30BE18B2">
      <w:pPr>
        <w:pStyle w:val="24"/>
        <w:bidi w:val="0"/>
        <w:rPr>
          <w:rFonts w:hint="eastAsia"/>
        </w:rPr>
      </w:pPr>
    </w:p>
    <w:p w14:paraId="190780FF">
      <w:pPr>
        <w:pStyle w:val="30"/>
        <w:numPr>
          <w:ilvl w:val="0"/>
          <w:numId w:val="3"/>
        </w:numPr>
        <w:bidi w:val="0"/>
        <w:ind w:left="0" w:leftChars="0" w:firstLine="420" w:firstLineChars="0"/>
        <w:rPr>
          <w:rFonts w:hint="eastAsia"/>
          <w:lang w:val="en-US" w:eastAsia="zh-CN"/>
        </w:rPr>
      </w:pPr>
      <w:r>
        <w:rPr>
          <w:rFonts w:hint="eastAsia"/>
          <w:lang w:val="en-US" w:eastAsia="zh-CN"/>
        </w:rPr>
        <w:t>基本情况</w:t>
      </w:r>
    </w:p>
    <w:p w14:paraId="5D3397D1">
      <w:pPr>
        <w:pStyle w:val="31"/>
        <w:numPr>
          <w:ilvl w:val="0"/>
          <w:numId w:val="4"/>
        </w:numPr>
        <w:bidi w:val="0"/>
        <w:ind w:left="0" w:leftChars="0" w:firstLine="420" w:firstLineChars="0"/>
        <w:rPr>
          <w:rFonts w:hint="default"/>
          <w:lang w:val="en-US" w:eastAsia="zh-CN"/>
        </w:rPr>
      </w:pPr>
      <w:r>
        <w:rPr>
          <w:rFonts w:hint="eastAsia"/>
          <w:lang w:val="en-US" w:eastAsia="zh-CN"/>
        </w:rPr>
        <w:t>项目基本情况</w:t>
      </w:r>
    </w:p>
    <w:p w14:paraId="7BD06EAD">
      <w:pPr>
        <w:pStyle w:val="18"/>
        <w:bidi w:val="0"/>
        <w:rPr>
          <w:rFonts w:hint="eastAsia"/>
          <w:lang w:val="en-US" w:eastAsia="zh-CN"/>
        </w:rPr>
      </w:pPr>
      <w:r>
        <w:rPr>
          <w:rFonts w:hint="eastAsia"/>
          <w:lang w:val="en-US" w:eastAsia="zh-CN"/>
        </w:rPr>
        <w:t>项目名称：通辽市专家评审（勘验）管理系统政务信息化运维项目</w:t>
      </w:r>
    </w:p>
    <w:p w14:paraId="5B8EDA67">
      <w:pPr>
        <w:pStyle w:val="29"/>
        <w:numPr>
          <w:ilvl w:val="0"/>
          <w:numId w:val="2"/>
        </w:numPr>
        <w:bidi w:val="0"/>
        <w:outlineLvl w:val="2"/>
        <w:rPr>
          <w:rFonts w:hint="eastAsia"/>
          <w:b/>
          <w:bCs/>
          <w:lang w:val="en-US" w:eastAsia="zh-CN"/>
        </w:rPr>
      </w:pPr>
      <w:r>
        <w:rPr>
          <w:rFonts w:hint="eastAsia"/>
          <w:b/>
          <w:bCs/>
          <w:lang w:val="en-US" w:eastAsia="zh-CN"/>
        </w:rPr>
        <w:t>系统建设情况</w:t>
      </w:r>
    </w:p>
    <w:p w14:paraId="1F71CEA0">
      <w:pPr>
        <w:pStyle w:val="18"/>
        <w:bidi w:val="0"/>
        <w:rPr>
          <w:rFonts w:hint="eastAsia"/>
          <w:lang w:val="en-US" w:eastAsia="zh-CN"/>
        </w:rPr>
      </w:pPr>
      <w:r>
        <w:rPr>
          <w:rFonts w:hint="eastAsia"/>
          <w:lang w:val="en-US" w:eastAsia="zh-CN"/>
        </w:rPr>
        <w:t>该系统系统提供专家管理及自动抽取功能。抽中专家可通过移动端上传评审结果及文件材料。通过多种措施确保抽取专家的公平性，提高了工作效率，进一步建立起公众信任、廉洁高效的政府。</w:t>
      </w:r>
    </w:p>
    <w:p w14:paraId="24396373">
      <w:pPr>
        <w:pStyle w:val="18"/>
        <w:bidi w:val="0"/>
        <w:rPr>
          <w:rFonts w:hint="eastAsia"/>
          <w:lang w:val="en-US" w:eastAsia="zh-CN"/>
        </w:rPr>
      </w:pPr>
      <w:r>
        <w:rPr>
          <w:rFonts w:hint="eastAsia"/>
          <w:lang w:val="en-US" w:eastAsia="zh-CN"/>
        </w:rPr>
        <w:t>通辽市专家评审（勘验）管理系统最早建设期间的项目名称为“勘验专家服务系统建设项目”，该系统于2022年8月立项，2022年9月30日正式上线使用；2022年10月22日正式验收，验收后进入质保期（2022年10月22日至2023年10月22日）。</w:t>
      </w:r>
    </w:p>
    <w:p w14:paraId="42CEA70F">
      <w:pPr>
        <w:pStyle w:val="32"/>
        <w:bidi w:val="0"/>
        <w:rPr>
          <w:rFonts w:hint="eastAsia"/>
          <w:lang w:val="en-US" w:eastAsia="zh-CN"/>
        </w:rPr>
      </w:pPr>
      <w:r>
        <w:rPr>
          <w:rFonts w:hint="eastAsia"/>
          <w:lang w:val="en-US" w:eastAsia="zh-CN"/>
        </w:rPr>
        <w:t>投资规模</w:t>
      </w:r>
    </w:p>
    <w:p w14:paraId="24BB3B66">
      <w:pPr>
        <w:pStyle w:val="18"/>
        <w:bidi w:val="0"/>
        <w:rPr>
          <w:rFonts w:hint="default"/>
          <w:lang w:val="en-US" w:eastAsia="zh-CN"/>
        </w:rPr>
      </w:pPr>
      <w:r>
        <w:rPr>
          <w:rFonts w:hint="eastAsia"/>
          <w:lang w:val="en-US" w:eastAsia="zh-CN"/>
        </w:rPr>
        <w:t>通辽市专家评审（勘验）管理系统建设</w:t>
      </w:r>
      <w:r>
        <w:rPr>
          <w:rFonts w:hint="eastAsia" w:cs="Times New Roman"/>
          <w:lang w:val="en-US" w:eastAsia="zh-CN"/>
        </w:rPr>
        <w:t>服务项目</w:t>
      </w:r>
      <w:r>
        <w:rPr>
          <w:rFonts w:hint="eastAsia"/>
          <w:lang w:val="en-US" w:eastAsia="zh-CN"/>
        </w:rPr>
        <w:t>投资74.8万。</w:t>
      </w:r>
    </w:p>
    <w:p w14:paraId="7AAD8132">
      <w:pPr>
        <w:pStyle w:val="32"/>
        <w:bidi w:val="0"/>
        <w:rPr>
          <w:rFonts w:hint="default"/>
          <w:lang w:val="en-US" w:eastAsia="zh-CN"/>
        </w:rPr>
      </w:pPr>
      <w:r>
        <w:rPr>
          <w:rFonts w:hint="eastAsia"/>
          <w:lang w:val="en-US" w:eastAsia="zh-CN"/>
        </w:rPr>
        <w:t>运行情况</w:t>
      </w:r>
    </w:p>
    <w:p w14:paraId="029E2A77">
      <w:pPr>
        <w:pStyle w:val="18"/>
        <w:bidi w:val="0"/>
        <w:rPr>
          <w:rFonts w:hint="default"/>
          <w:lang w:val="en-US" w:eastAsia="zh-CN"/>
        </w:rPr>
      </w:pPr>
      <w:r>
        <w:rPr>
          <w:rFonts w:hint="eastAsia"/>
          <w:lang w:val="en-US" w:eastAsia="zh-CN"/>
        </w:rPr>
        <w:t>自系统交付以来，系统完成39个专业分类设置，88个单位信息维护，维护135名专家基础信息及专业信息，累计完成10次勘验专家抽取工作。</w:t>
      </w:r>
    </w:p>
    <w:p w14:paraId="3A6E37E0">
      <w:pPr>
        <w:pStyle w:val="31"/>
        <w:numPr>
          <w:ilvl w:val="0"/>
          <w:numId w:val="4"/>
        </w:numPr>
        <w:bidi w:val="0"/>
        <w:ind w:left="0" w:leftChars="0" w:firstLine="420" w:firstLineChars="0"/>
        <w:rPr>
          <w:rFonts w:hint="default"/>
          <w:highlight w:val="none"/>
          <w:lang w:val="en-US" w:eastAsia="zh-CN"/>
        </w:rPr>
      </w:pPr>
      <w:r>
        <w:rPr>
          <w:rFonts w:hint="eastAsia"/>
          <w:highlight w:val="none"/>
          <w:lang w:val="en-US" w:eastAsia="zh-CN"/>
        </w:rPr>
        <w:t>项目单位情况</w:t>
      </w:r>
    </w:p>
    <w:p w14:paraId="28E4B2CD">
      <w:pPr>
        <w:pStyle w:val="18"/>
        <w:bidi w:val="0"/>
        <w:rPr>
          <w:rFonts w:hint="eastAsia"/>
          <w:lang w:val="en-US" w:eastAsia="zh-CN"/>
        </w:rPr>
      </w:pPr>
      <w:r>
        <w:rPr>
          <w:rFonts w:hint="eastAsia"/>
          <w:lang w:val="en-US" w:eastAsia="zh-CN"/>
        </w:rPr>
        <w:t>通辽市政务服务中心加挂通辽市党群服务中心牌子，为市行政审批和政务服务局所属的公益一类事业单位，机构规格相当于副处级。     </w:t>
      </w:r>
    </w:p>
    <w:p w14:paraId="78696A73">
      <w:pPr>
        <w:pStyle w:val="18"/>
        <w:bidi w:val="0"/>
        <w:rPr>
          <w:rFonts w:hint="eastAsia"/>
          <w:lang w:val="en-US" w:eastAsia="zh-CN"/>
        </w:rPr>
      </w:pPr>
      <w:r>
        <w:rPr>
          <w:rFonts w:hint="eastAsia"/>
          <w:lang w:val="en-US" w:eastAsia="zh-CN"/>
        </w:rPr>
        <w:t>市政务服务中心贯彻执行国家、自治区和通辽市优化营商环境建设、行政审批、政务服务工作的政策规定和决策部署，在履行职责过程中坚持和加强党的全面领导。     </w:t>
      </w:r>
    </w:p>
    <w:p w14:paraId="3DDC4059">
      <w:pPr>
        <w:pStyle w:val="18"/>
        <w:bidi w:val="0"/>
        <w:rPr>
          <w:rFonts w:hint="eastAsia"/>
          <w:lang w:val="en-US" w:eastAsia="zh-CN"/>
        </w:rPr>
      </w:pPr>
      <w:r>
        <w:rPr>
          <w:rFonts w:hint="eastAsia"/>
          <w:lang w:val="en-US" w:eastAsia="zh-CN"/>
        </w:rPr>
        <w:t>主要职责：     </w:t>
      </w:r>
    </w:p>
    <w:p w14:paraId="001A202E">
      <w:pPr>
        <w:pStyle w:val="18"/>
        <w:bidi w:val="0"/>
        <w:rPr>
          <w:rFonts w:hint="eastAsia"/>
          <w:lang w:val="en-US" w:eastAsia="zh-CN"/>
        </w:rPr>
      </w:pPr>
      <w:r>
        <w:rPr>
          <w:rFonts w:hint="eastAsia"/>
          <w:lang w:val="en-US" w:eastAsia="zh-CN"/>
        </w:rPr>
        <w:t>1.贯彻执行国家、自治区和通辽市优化营商环境建设、行政审批、政务服务工作的政策规定和决策部署。 </w:t>
      </w:r>
    </w:p>
    <w:p w14:paraId="392E0273">
      <w:pPr>
        <w:pStyle w:val="18"/>
        <w:bidi w:val="0"/>
        <w:rPr>
          <w:rFonts w:hint="eastAsia"/>
          <w:lang w:val="en-US" w:eastAsia="zh-CN"/>
        </w:rPr>
      </w:pPr>
      <w:r>
        <w:rPr>
          <w:rFonts w:hint="eastAsia"/>
          <w:lang w:val="en-US" w:eastAsia="zh-CN"/>
        </w:rPr>
        <w:t>2.参与拟定政务服务技术标准规范，协助推进落实“最多跑一次”改革和深化行政审批制度改革等事务性工作。</w:t>
      </w:r>
    </w:p>
    <w:p w14:paraId="58F6F42A">
      <w:pPr>
        <w:pStyle w:val="18"/>
        <w:bidi w:val="0"/>
        <w:rPr>
          <w:rFonts w:hint="eastAsia"/>
          <w:lang w:val="en-US" w:eastAsia="zh-CN"/>
        </w:rPr>
      </w:pPr>
      <w:r>
        <w:rPr>
          <w:rFonts w:hint="eastAsia"/>
          <w:lang w:val="en-US" w:eastAsia="zh-CN"/>
        </w:rPr>
        <w:t>3.承担“互联网 政务服务”的组织实施和市级政务服务大厅前台综合服务工作。     </w:t>
      </w:r>
    </w:p>
    <w:p w14:paraId="3DC1DA44">
      <w:pPr>
        <w:pStyle w:val="18"/>
        <w:bidi w:val="0"/>
        <w:rPr>
          <w:rFonts w:hint="eastAsia"/>
          <w:lang w:val="en-US" w:eastAsia="zh-CN"/>
        </w:rPr>
      </w:pPr>
      <w:r>
        <w:rPr>
          <w:rFonts w:hint="eastAsia"/>
          <w:lang w:val="en-US" w:eastAsia="zh-CN"/>
        </w:rPr>
        <w:t>4.负责协调各窗口的业务工作及与进驻部门间业务衔接工作。     </w:t>
      </w:r>
    </w:p>
    <w:p w14:paraId="6E2794B4">
      <w:pPr>
        <w:pStyle w:val="18"/>
        <w:bidi w:val="0"/>
        <w:rPr>
          <w:rFonts w:hint="eastAsia"/>
          <w:lang w:val="en-US" w:eastAsia="zh-CN"/>
        </w:rPr>
      </w:pPr>
      <w:r>
        <w:rPr>
          <w:rFonts w:hint="eastAsia"/>
          <w:lang w:val="en-US" w:eastAsia="zh-CN"/>
        </w:rPr>
        <w:t>5.协助做好对进驻中心窗口工作人员的日常管理和考勤等辅助性工作。     </w:t>
      </w:r>
    </w:p>
    <w:p w14:paraId="500ADAD5">
      <w:pPr>
        <w:pStyle w:val="18"/>
        <w:bidi w:val="0"/>
        <w:rPr>
          <w:rFonts w:hint="eastAsia"/>
          <w:lang w:val="en-US" w:eastAsia="zh-CN"/>
        </w:rPr>
      </w:pPr>
      <w:r>
        <w:rPr>
          <w:rFonts w:hint="eastAsia"/>
          <w:lang w:val="en-US" w:eastAsia="zh-CN"/>
        </w:rPr>
        <w:t>6.负责政务服务业务办理的咨询、指导、代办帮办服务等工作。</w:t>
      </w:r>
    </w:p>
    <w:p w14:paraId="03F26225">
      <w:pPr>
        <w:pStyle w:val="18"/>
        <w:bidi w:val="0"/>
        <w:rPr>
          <w:rFonts w:hint="eastAsia"/>
          <w:lang w:val="en-US" w:eastAsia="zh-CN"/>
        </w:rPr>
      </w:pPr>
      <w:r>
        <w:rPr>
          <w:rFonts w:hint="eastAsia"/>
          <w:lang w:val="en-US" w:eastAsia="zh-CN"/>
        </w:rPr>
        <w:t>7.参与业务办理的踏勘、检验、专家论证和联合验收等事务性工作。     </w:t>
      </w:r>
    </w:p>
    <w:p w14:paraId="7D1B72F5">
      <w:pPr>
        <w:pStyle w:val="18"/>
        <w:bidi w:val="0"/>
        <w:rPr>
          <w:rFonts w:hint="eastAsia"/>
          <w:lang w:val="en-US" w:eastAsia="zh-CN"/>
        </w:rPr>
      </w:pPr>
      <w:r>
        <w:rPr>
          <w:rFonts w:hint="eastAsia"/>
          <w:lang w:val="en-US" w:eastAsia="zh-CN"/>
        </w:rPr>
        <w:t>8.负责全市一体化政务服务平台、“好差评”系统的建设、运行和应用管理等工作。     </w:t>
      </w:r>
    </w:p>
    <w:p w14:paraId="6C1A9D46">
      <w:pPr>
        <w:pStyle w:val="18"/>
        <w:bidi w:val="0"/>
        <w:rPr>
          <w:rFonts w:hint="eastAsia"/>
          <w:lang w:val="en-US" w:eastAsia="zh-CN"/>
        </w:rPr>
      </w:pPr>
      <w:r>
        <w:rPr>
          <w:rFonts w:hint="eastAsia"/>
          <w:lang w:val="en-US" w:eastAsia="zh-CN"/>
        </w:rPr>
        <w:t>9.承担党群服务中心日常工作。整合党建、政务资源，为党组织、党员及有需求的单位、群众提供相关服务，为党员、群众提供咨询服务，并代办为民服务事项。     </w:t>
      </w:r>
    </w:p>
    <w:p w14:paraId="547B42F0">
      <w:pPr>
        <w:pStyle w:val="18"/>
        <w:bidi w:val="0"/>
        <w:rPr>
          <w:rFonts w:hint="eastAsia"/>
          <w:lang w:val="en-US" w:eastAsia="zh-CN"/>
        </w:rPr>
      </w:pPr>
      <w:r>
        <w:rPr>
          <w:rFonts w:hint="eastAsia"/>
          <w:lang w:val="en-US" w:eastAsia="zh-CN"/>
        </w:rPr>
        <w:t>10.完成市委、市政府和市行政审批政务服务与数据管理局交办的其他工作。     </w:t>
      </w:r>
    </w:p>
    <w:p w14:paraId="4B89E056">
      <w:pPr>
        <w:pStyle w:val="18"/>
        <w:bidi w:val="0"/>
        <w:rPr>
          <w:rFonts w:hint="eastAsia"/>
          <w:lang w:val="en-US" w:eastAsia="zh-CN"/>
        </w:rPr>
      </w:pPr>
      <w:r>
        <w:rPr>
          <w:rFonts w:hint="eastAsia"/>
          <w:lang w:val="en-US" w:eastAsia="zh-CN"/>
        </w:rPr>
        <w:t>机构设置：     </w:t>
      </w:r>
    </w:p>
    <w:p w14:paraId="2C41C62A">
      <w:pPr>
        <w:pStyle w:val="18"/>
        <w:bidi w:val="0"/>
        <w:rPr>
          <w:rFonts w:hint="eastAsia"/>
          <w:lang w:val="en-US" w:eastAsia="zh-CN"/>
        </w:rPr>
      </w:pPr>
      <w:r>
        <w:rPr>
          <w:rFonts w:hint="eastAsia"/>
          <w:lang w:val="en-US" w:eastAsia="zh-CN"/>
        </w:rPr>
        <w:t>1.综合科。负责中心政务和日常工作；承担文件处理、信息、安全及会务等工作。负责中心财务、国有资产管理、办公用品购置及物业管理等后勤保障工作；负责行政审批业务档案的收集、整理、归档工作；负责推进数字化档案和数字化档案查询系统建设等工作；负责档案资料调阅、查阅等工作。</w:t>
      </w:r>
    </w:p>
    <w:p w14:paraId="0074614E">
      <w:pPr>
        <w:pStyle w:val="18"/>
        <w:bidi w:val="0"/>
        <w:rPr>
          <w:rFonts w:hint="eastAsia"/>
          <w:lang w:val="en-US" w:eastAsia="zh-CN"/>
        </w:rPr>
      </w:pPr>
      <w:r>
        <w:rPr>
          <w:rFonts w:hint="eastAsia"/>
          <w:lang w:val="en-US" w:eastAsia="zh-CN"/>
        </w:rPr>
        <w:t>2.党群服务科。承担党群服务中心日常工作；负责整合党建、政务资源，为党组织、党员及有需求的单位、群众提供相关服务；负责中心的党群、纪检、组织人事工作以及派驻中心窗口人员的党群服务工作。     </w:t>
      </w:r>
    </w:p>
    <w:p w14:paraId="286EABA0">
      <w:pPr>
        <w:pStyle w:val="18"/>
        <w:bidi w:val="0"/>
        <w:rPr>
          <w:rFonts w:hint="eastAsia"/>
          <w:lang w:val="en-US" w:eastAsia="zh-CN"/>
        </w:rPr>
      </w:pPr>
      <w:r>
        <w:rPr>
          <w:rFonts w:hint="eastAsia"/>
          <w:lang w:val="en-US" w:eastAsia="zh-CN"/>
        </w:rPr>
        <w:t>3.企业服务科。围绕企业投资项目从立项至竣工验收申报审批的全流程，为投资者提供咨询、指导、协调、代办等服务。     </w:t>
      </w:r>
    </w:p>
    <w:p w14:paraId="107C9CE7">
      <w:pPr>
        <w:pStyle w:val="18"/>
        <w:bidi w:val="0"/>
        <w:rPr>
          <w:rFonts w:hint="eastAsia"/>
          <w:lang w:val="en-US" w:eastAsia="zh-CN"/>
        </w:rPr>
      </w:pPr>
      <w:r>
        <w:rPr>
          <w:rFonts w:hint="eastAsia"/>
          <w:lang w:val="en-US" w:eastAsia="zh-CN"/>
        </w:rPr>
        <w:t>4.便民服务科。负责为办事群众提供政务服务咨询、指导、协调、代办、帮办等服务。负责24小时自助服务管理工作。     </w:t>
      </w:r>
    </w:p>
    <w:p w14:paraId="1541159D">
      <w:pPr>
        <w:pStyle w:val="18"/>
        <w:bidi w:val="0"/>
        <w:rPr>
          <w:rFonts w:hint="eastAsia"/>
          <w:lang w:val="en-US" w:eastAsia="zh-CN"/>
        </w:rPr>
      </w:pPr>
      <w:r>
        <w:rPr>
          <w:rFonts w:hint="eastAsia"/>
          <w:lang w:val="en-US" w:eastAsia="zh-CN"/>
        </w:rPr>
        <w:t>5.勘验服务科。负责为行政审批提供技术支持，参与行政审批、公共服务事项的现场踏勘、专家评审、技术论证、社会听证、验收等事务性工作；承担与各业务关联科室、有关部门的业务衔接、沟通、协调等辅助性工作。     </w:t>
      </w:r>
    </w:p>
    <w:p w14:paraId="457C2DC4">
      <w:pPr>
        <w:pStyle w:val="18"/>
        <w:bidi w:val="0"/>
        <w:rPr>
          <w:rFonts w:hint="eastAsia"/>
          <w:lang w:val="en-US" w:eastAsia="zh-CN"/>
        </w:rPr>
      </w:pPr>
      <w:r>
        <w:rPr>
          <w:rFonts w:hint="eastAsia"/>
          <w:lang w:val="en-US" w:eastAsia="zh-CN"/>
        </w:rPr>
        <w:t>6.网络信息科。负责全市一体化政务服务平台的建设、维护、管理、安全等工作，统计、分析全市一体化政务服务平台数据；负责市政务服务网的日常运行维护和技术服务工作；负责“好差评”“蒙速办”的推广、应用等工作；承担窗口及其工作人员网络应用的业务指导、培训等工作。</w:t>
      </w:r>
    </w:p>
    <w:p w14:paraId="20A0A433">
      <w:pPr>
        <w:pStyle w:val="18"/>
        <w:bidi w:val="0"/>
        <w:rPr>
          <w:rFonts w:hint="eastAsia"/>
          <w:lang w:val="en-US" w:eastAsia="zh-CN"/>
        </w:rPr>
      </w:pPr>
      <w:r>
        <w:rPr>
          <w:rFonts w:hint="eastAsia"/>
          <w:lang w:val="en-US" w:eastAsia="zh-CN"/>
        </w:rPr>
        <w:t>7.人事科。承担中心机构编制、人事管理、教育培训及中心人员日常考核及年度实绩考核等工作；负责中心退休人员的管理服务工作。     </w:t>
      </w:r>
    </w:p>
    <w:p w14:paraId="7D245D17">
      <w:pPr>
        <w:pStyle w:val="18"/>
        <w:bidi w:val="0"/>
        <w:rPr>
          <w:rFonts w:hint="eastAsia"/>
          <w:lang w:val="en-US" w:eastAsia="zh-CN"/>
        </w:rPr>
      </w:pPr>
      <w:r>
        <w:rPr>
          <w:rFonts w:hint="eastAsia"/>
          <w:lang w:val="en-US" w:eastAsia="zh-CN"/>
        </w:rPr>
        <w:t>8.营商环境服务科。收集梳理汇总各地各部门优化营商环境难点、堵点问题，协调推进问题整改落实；负责梳理汇总来信来访问题线索，按相关程序转办；协同相关部门对优化营商环境工作情况开展调研，提出优化意见建议；配合相关部门对各地各部门优化营商环境工作开展督查督导；配合相关部门开展国家和自治区对我市营商环境评估迎评工作；负责市营商办的沟通联络、简报编印、资料管理等；向各地各部门推介营商环境先进经验做法，梳理工作中的难点和重大问题，提出建议。     </w:t>
      </w:r>
    </w:p>
    <w:p w14:paraId="511F468C">
      <w:pPr>
        <w:pStyle w:val="18"/>
        <w:bidi w:val="0"/>
        <w:rPr>
          <w:rFonts w:hint="eastAsia"/>
          <w:lang w:val="en-US" w:eastAsia="zh-CN"/>
        </w:rPr>
      </w:pPr>
      <w:r>
        <w:rPr>
          <w:rFonts w:hint="eastAsia"/>
          <w:lang w:val="en-US" w:eastAsia="zh-CN"/>
        </w:rPr>
        <w:t>9.政务服务科。承担营商环境各项政务服务指标落实工作；参与拟定政务服务技术标准规范；协助推进“最多跑一次”改革工作；承担“互联网＋政务服务”的组织实施和市级政务服务大厅前台综合服务工作；开展全市四级政务服务体系及市本级政务服务大厅标准化建设工作；承担各旗县市区政务服务质量评估工作。     </w:t>
      </w:r>
    </w:p>
    <w:p w14:paraId="4806E653">
      <w:pPr>
        <w:pStyle w:val="18"/>
        <w:bidi w:val="0"/>
        <w:rPr>
          <w:rFonts w:hint="eastAsia"/>
          <w:lang w:val="en-US" w:eastAsia="zh-CN"/>
        </w:rPr>
      </w:pPr>
      <w:r>
        <w:rPr>
          <w:rFonts w:hint="eastAsia"/>
          <w:lang w:val="en-US" w:eastAsia="zh-CN"/>
        </w:rPr>
        <w:t xml:space="preserve">10.宣教科。承担“通辽市政务服务”公众号及“通辽市行政审批和政务服务局”官网等媒介信息发布工作；承担重要文件、综合性报告的起草工作；承担与各级媒体接治及开展业务信息宣传工作。 </w:t>
      </w:r>
    </w:p>
    <w:p w14:paraId="560725AF">
      <w:pPr>
        <w:pStyle w:val="31"/>
        <w:numPr>
          <w:ilvl w:val="0"/>
          <w:numId w:val="4"/>
        </w:numPr>
        <w:bidi w:val="0"/>
        <w:ind w:left="0" w:leftChars="0" w:firstLine="420" w:firstLineChars="0"/>
        <w:rPr>
          <w:rFonts w:hint="eastAsia"/>
          <w:highlight w:val="yellow"/>
          <w:lang w:val="en-US" w:eastAsia="zh-CN"/>
        </w:rPr>
      </w:pPr>
      <w:r>
        <w:rPr>
          <w:rFonts w:hint="eastAsia"/>
          <w:highlight w:val="yellow"/>
          <w:lang w:val="en-US" w:eastAsia="zh-CN"/>
        </w:rPr>
        <w:t>项目总预算及资金来源</w:t>
      </w:r>
    </w:p>
    <w:p w14:paraId="6E5D2BBB">
      <w:pPr>
        <w:pStyle w:val="30"/>
        <w:numPr>
          <w:ilvl w:val="0"/>
          <w:numId w:val="3"/>
        </w:numPr>
        <w:bidi w:val="0"/>
        <w:ind w:left="0" w:leftChars="0" w:firstLine="420" w:firstLineChars="0"/>
        <w:rPr>
          <w:rFonts w:hint="eastAsia"/>
          <w:lang w:val="en-US" w:eastAsia="zh-CN"/>
        </w:rPr>
      </w:pPr>
      <w:r>
        <w:rPr>
          <w:rFonts w:hint="eastAsia"/>
          <w:lang w:val="en-US" w:eastAsia="zh-CN"/>
        </w:rPr>
        <w:t>需求分析</w:t>
      </w:r>
    </w:p>
    <w:p w14:paraId="5EAA106F">
      <w:pPr>
        <w:pStyle w:val="31"/>
        <w:numPr>
          <w:ilvl w:val="0"/>
          <w:numId w:val="5"/>
        </w:numPr>
        <w:bidi w:val="0"/>
        <w:ind w:left="0" w:leftChars="0" w:firstLine="420" w:firstLineChars="0"/>
        <w:rPr>
          <w:rFonts w:hint="eastAsia"/>
          <w:lang w:val="en-US" w:eastAsia="zh-CN"/>
        </w:rPr>
      </w:pPr>
      <w:r>
        <w:rPr>
          <w:rFonts w:hint="eastAsia"/>
          <w:lang w:val="en-US" w:eastAsia="zh-CN"/>
        </w:rPr>
        <w:t>信息化资源现状</w:t>
      </w:r>
    </w:p>
    <w:tbl>
      <w:tblPr>
        <w:tblStyle w:val="34"/>
        <w:tblW w:w="88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55"/>
        <w:gridCol w:w="1750"/>
        <w:gridCol w:w="1760"/>
        <w:gridCol w:w="2810"/>
        <w:gridCol w:w="694"/>
        <w:gridCol w:w="1203"/>
      </w:tblGrid>
      <w:tr w14:paraId="4AC9586C">
        <w:trPr>
          <w:trHeight w:val="734" w:hRule="atLeast"/>
        </w:trPr>
        <w:tc>
          <w:tcPr>
            <w:tcW w:w="655" w:type="dxa"/>
            <w:vAlign w:val="center"/>
          </w:tcPr>
          <w:p w14:paraId="2E5F760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序号</w:t>
            </w:r>
          </w:p>
        </w:tc>
        <w:tc>
          <w:tcPr>
            <w:tcW w:w="1750" w:type="dxa"/>
            <w:vAlign w:val="center"/>
          </w:tcPr>
          <w:p w14:paraId="6716515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类别及名称</w:t>
            </w:r>
          </w:p>
        </w:tc>
        <w:tc>
          <w:tcPr>
            <w:tcW w:w="1760" w:type="dxa"/>
            <w:vAlign w:val="center"/>
          </w:tcPr>
          <w:p w14:paraId="268BFB7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规格型号</w:t>
            </w:r>
          </w:p>
        </w:tc>
        <w:tc>
          <w:tcPr>
            <w:tcW w:w="2810" w:type="dxa"/>
            <w:vAlign w:val="center"/>
          </w:tcPr>
          <w:p w14:paraId="6925C8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主要配置参数</w:t>
            </w:r>
          </w:p>
        </w:tc>
        <w:tc>
          <w:tcPr>
            <w:tcW w:w="694" w:type="dxa"/>
            <w:vAlign w:val="center"/>
          </w:tcPr>
          <w:p w14:paraId="4C9ECC5D">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数量</w:t>
            </w:r>
          </w:p>
        </w:tc>
        <w:tc>
          <w:tcPr>
            <w:tcW w:w="1203" w:type="dxa"/>
            <w:vAlign w:val="center"/>
          </w:tcPr>
          <w:p w14:paraId="68D0BE1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rPr>
              <w:t>运行状况</w:t>
            </w:r>
          </w:p>
        </w:tc>
      </w:tr>
      <w:tr w14:paraId="6780860D">
        <w:trPr>
          <w:trHeight w:val="329" w:hRule="atLeast"/>
        </w:trPr>
        <w:tc>
          <w:tcPr>
            <w:tcW w:w="655" w:type="dxa"/>
            <w:vAlign w:val="center"/>
          </w:tcPr>
          <w:p w14:paraId="5F52AD1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1750" w:type="dxa"/>
            <w:vAlign w:val="center"/>
          </w:tcPr>
          <w:p w14:paraId="764EBE8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软件系统</w:t>
            </w:r>
          </w:p>
        </w:tc>
        <w:tc>
          <w:tcPr>
            <w:tcW w:w="1760" w:type="dxa"/>
            <w:vAlign w:val="center"/>
          </w:tcPr>
          <w:p w14:paraId="5CFD4C37">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2810" w:type="dxa"/>
            <w:vAlign w:val="center"/>
          </w:tcPr>
          <w:p w14:paraId="1D8906A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694" w:type="dxa"/>
            <w:vAlign w:val="center"/>
          </w:tcPr>
          <w:p w14:paraId="7DD7A10D">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c>
          <w:tcPr>
            <w:tcW w:w="1203" w:type="dxa"/>
            <w:vAlign w:val="center"/>
          </w:tcPr>
          <w:p w14:paraId="2C4C00C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r w14:paraId="2D3E8D22">
        <w:trPr>
          <w:trHeight w:val="330" w:hRule="atLeast"/>
        </w:trPr>
        <w:tc>
          <w:tcPr>
            <w:tcW w:w="655" w:type="dxa"/>
            <w:shd w:val="clear" w:color="auto" w:fill="auto"/>
            <w:vAlign w:val="center"/>
          </w:tcPr>
          <w:p w14:paraId="44D24AD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（一）</w:t>
            </w:r>
          </w:p>
        </w:tc>
        <w:tc>
          <w:tcPr>
            <w:tcW w:w="1750" w:type="dxa"/>
            <w:shd w:val="clear" w:color="auto" w:fill="auto"/>
            <w:vAlign w:val="center"/>
          </w:tcPr>
          <w:p w14:paraId="085ED65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服务器</w:t>
            </w:r>
          </w:p>
        </w:tc>
        <w:tc>
          <w:tcPr>
            <w:tcW w:w="1760" w:type="dxa"/>
            <w:shd w:val="clear" w:color="auto" w:fill="auto"/>
            <w:vAlign w:val="center"/>
          </w:tcPr>
          <w:p w14:paraId="4CE7A0A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2810" w:type="dxa"/>
            <w:shd w:val="clear" w:color="auto" w:fill="auto"/>
            <w:vAlign w:val="center"/>
          </w:tcPr>
          <w:p w14:paraId="3EF4EB1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en-US" w:bidi="ar-SA"/>
              </w:rPr>
            </w:pPr>
          </w:p>
        </w:tc>
        <w:tc>
          <w:tcPr>
            <w:tcW w:w="694" w:type="dxa"/>
            <w:shd w:val="clear" w:color="auto" w:fill="auto"/>
            <w:vAlign w:val="center"/>
          </w:tcPr>
          <w:p w14:paraId="0476C20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366F39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193F5482">
        <w:trPr>
          <w:trHeight w:val="330" w:hRule="atLeast"/>
        </w:trPr>
        <w:tc>
          <w:tcPr>
            <w:tcW w:w="655" w:type="dxa"/>
            <w:shd w:val="clear" w:color="auto" w:fill="auto"/>
            <w:vAlign w:val="center"/>
          </w:tcPr>
          <w:p w14:paraId="1829B2AA">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5CAF43F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10.21.245.47</w:t>
            </w:r>
          </w:p>
        </w:tc>
        <w:tc>
          <w:tcPr>
            <w:tcW w:w="1760" w:type="dxa"/>
            <w:shd w:val="clear" w:color="auto" w:fill="auto"/>
            <w:vAlign w:val="center"/>
          </w:tcPr>
          <w:p w14:paraId="3F20F45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rPr>
              <w:t>Windows Server 2012 R2 Standard</w:t>
            </w:r>
          </w:p>
        </w:tc>
        <w:tc>
          <w:tcPr>
            <w:tcW w:w="2810" w:type="dxa"/>
            <w:shd w:val="clear" w:color="auto" w:fill="auto"/>
            <w:vAlign w:val="center"/>
          </w:tcPr>
          <w:p w14:paraId="28FA4CD4">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rPr>
              <w:t>32核/128G/1TB</w:t>
            </w:r>
          </w:p>
        </w:tc>
        <w:tc>
          <w:tcPr>
            <w:tcW w:w="694" w:type="dxa"/>
            <w:shd w:val="clear" w:color="auto" w:fill="auto"/>
            <w:vAlign w:val="center"/>
          </w:tcPr>
          <w:p w14:paraId="04B63C0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w:t>
            </w:r>
          </w:p>
        </w:tc>
        <w:tc>
          <w:tcPr>
            <w:tcW w:w="1203" w:type="dxa"/>
            <w:shd w:val="clear" w:color="auto" w:fill="auto"/>
            <w:vAlign w:val="center"/>
          </w:tcPr>
          <w:p w14:paraId="3C869C6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正常运行</w:t>
            </w:r>
          </w:p>
        </w:tc>
      </w:tr>
      <w:tr w14:paraId="4E5CF421">
        <w:trPr>
          <w:trHeight w:val="330" w:hRule="atLeast"/>
        </w:trPr>
        <w:tc>
          <w:tcPr>
            <w:tcW w:w="655" w:type="dxa"/>
            <w:shd w:val="clear" w:color="auto" w:fill="auto"/>
            <w:vAlign w:val="center"/>
          </w:tcPr>
          <w:p w14:paraId="5F3477D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（二）</w:t>
            </w:r>
          </w:p>
        </w:tc>
        <w:tc>
          <w:tcPr>
            <w:tcW w:w="1750" w:type="dxa"/>
            <w:shd w:val="clear" w:color="auto" w:fill="auto"/>
            <w:vAlign w:val="center"/>
          </w:tcPr>
          <w:p w14:paraId="4C59EC42">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数据库</w:t>
            </w:r>
          </w:p>
        </w:tc>
        <w:tc>
          <w:tcPr>
            <w:tcW w:w="1760" w:type="dxa"/>
            <w:shd w:val="clear" w:color="auto" w:fill="auto"/>
            <w:vAlign w:val="center"/>
          </w:tcPr>
          <w:p w14:paraId="00CC2180">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p>
        </w:tc>
        <w:tc>
          <w:tcPr>
            <w:tcW w:w="2810" w:type="dxa"/>
            <w:shd w:val="clear" w:color="auto" w:fill="auto"/>
            <w:vAlign w:val="center"/>
          </w:tcPr>
          <w:p w14:paraId="38E14AE9">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p>
        </w:tc>
        <w:tc>
          <w:tcPr>
            <w:tcW w:w="694" w:type="dxa"/>
            <w:shd w:val="clear" w:color="auto" w:fill="auto"/>
            <w:vAlign w:val="center"/>
          </w:tcPr>
          <w:p w14:paraId="73890C1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203" w:type="dxa"/>
            <w:shd w:val="clear" w:color="auto" w:fill="auto"/>
            <w:vAlign w:val="center"/>
          </w:tcPr>
          <w:p w14:paraId="6D0FFA1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r>
      <w:tr w14:paraId="3F75B1D3">
        <w:trPr>
          <w:trHeight w:val="330" w:hRule="atLeast"/>
        </w:trPr>
        <w:tc>
          <w:tcPr>
            <w:tcW w:w="655" w:type="dxa"/>
            <w:shd w:val="clear" w:color="auto" w:fill="auto"/>
            <w:vAlign w:val="center"/>
          </w:tcPr>
          <w:p w14:paraId="6ABDC60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p>
        </w:tc>
        <w:tc>
          <w:tcPr>
            <w:tcW w:w="1750" w:type="dxa"/>
            <w:shd w:val="clear" w:color="auto" w:fill="auto"/>
            <w:vAlign w:val="center"/>
          </w:tcPr>
          <w:p w14:paraId="7B06547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10.21.245.47</w:t>
            </w:r>
          </w:p>
        </w:tc>
        <w:tc>
          <w:tcPr>
            <w:tcW w:w="1760" w:type="dxa"/>
            <w:shd w:val="clear" w:color="auto" w:fill="auto"/>
            <w:vAlign w:val="center"/>
          </w:tcPr>
          <w:p w14:paraId="0940383E">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Windows Server 2012 R2 Standard</w:t>
            </w:r>
          </w:p>
        </w:tc>
        <w:tc>
          <w:tcPr>
            <w:tcW w:w="2810" w:type="dxa"/>
            <w:shd w:val="clear" w:color="auto" w:fill="auto"/>
            <w:vAlign w:val="center"/>
          </w:tcPr>
          <w:p w14:paraId="6343E643">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32核/128G/1TB</w:t>
            </w:r>
          </w:p>
        </w:tc>
        <w:tc>
          <w:tcPr>
            <w:tcW w:w="694" w:type="dxa"/>
            <w:shd w:val="clear" w:color="auto" w:fill="auto"/>
            <w:vAlign w:val="center"/>
          </w:tcPr>
          <w:p w14:paraId="12755E5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15DEBD1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正常运行</w:t>
            </w:r>
          </w:p>
        </w:tc>
      </w:tr>
      <w:tr w14:paraId="30395989">
        <w:trPr>
          <w:trHeight w:val="330" w:hRule="atLeast"/>
        </w:trPr>
        <w:tc>
          <w:tcPr>
            <w:tcW w:w="655" w:type="dxa"/>
            <w:vAlign w:val="center"/>
          </w:tcPr>
          <w:p w14:paraId="412D8EAB">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（三）</w:t>
            </w:r>
          </w:p>
        </w:tc>
        <w:tc>
          <w:tcPr>
            <w:tcW w:w="1750" w:type="dxa"/>
            <w:vAlign w:val="center"/>
          </w:tcPr>
          <w:p w14:paraId="5BE15C7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定制软件系统</w:t>
            </w:r>
          </w:p>
        </w:tc>
        <w:tc>
          <w:tcPr>
            <w:tcW w:w="1760" w:type="dxa"/>
            <w:vAlign w:val="center"/>
          </w:tcPr>
          <w:p w14:paraId="47AF5235">
            <w:pPr>
              <w:keepNext w:val="0"/>
              <w:keepLines w:val="0"/>
              <w:pageBreakBefore w:val="0"/>
              <w:widowControl/>
              <w:suppressLineNumbers w:val="0"/>
              <w:kinsoku/>
              <w:wordWrap w:val="0"/>
              <w:overflowPunct/>
              <w:topLinePunct w:val="0"/>
              <w:bidi w:val="0"/>
              <w:jc w:val="center"/>
              <w:textAlignment w:val="bottom"/>
              <w:rPr>
                <w:rFonts w:hint="eastAsia" w:ascii="仿宋" w:hAnsi="仿宋" w:eastAsia="仿宋" w:cs="仿宋"/>
                <w:color w:val="auto"/>
                <w:spacing w:val="0"/>
                <w:position w:val="0"/>
                <w:sz w:val="21"/>
                <w:szCs w:val="21"/>
                <w:highlight w:val="none"/>
                <w:lang w:val="en-US" w:eastAsia="zh-CN"/>
              </w:rPr>
            </w:pPr>
          </w:p>
        </w:tc>
        <w:tc>
          <w:tcPr>
            <w:tcW w:w="2810" w:type="dxa"/>
            <w:vAlign w:val="center"/>
          </w:tcPr>
          <w:p w14:paraId="0327DF0A">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color w:val="auto"/>
                <w:spacing w:val="0"/>
                <w:position w:val="0"/>
                <w:sz w:val="21"/>
                <w:szCs w:val="21"/>
                <w:highlight w:val="none"/>
                <w:lang w:val="en-US" w:eastAsia="zh-CN"/>
              </w:rPr>
            </w:pPr>
          </w:p>
        </w:tc>
        <w:tc>
          <w:tcPr>
            <w:tcW w:w="694" w:type="dxa"/>
            <w:shd w:val="clear" w:color="auto" w:fill="auto"/>
            <w:vAlign w:val="center"/>
          </w:tcPr>
          <w:p w14:paraId="6117FED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c>
          <w:tcPr>
            <w:tcW w:w="1203" w:type="dxa"/>
            <w:shd w:val="clear" w:color="auto" w:fill="auto"/>
            <w:vAlign w:val="center"/>
          </w:tcPr>
          <w:p w14:paraId="001A608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snapToGrid w:val="0"/>
                <w:color w:val="auto"/>
                <w:spacing w:val="0"/>
                <w:kern w:val="0"/>
                <w:position w:val="0"/>
                <w:sz w:val="21"/>
                <w:szCs w:val="21"/>
                <w:highlight w:val="none"/>
                <w:lang w:val="en-US" w:eastAsia="zh-CN" w:bidi="ar-SA"/>
              </w:rPr>
            </w:pPr>
          </w:p>
        </w:tc>
      </w:tr>
      <w:tr w14:paraId="605EF0B3">
        <w:trPr>
          <w:trHeight w:val="330" w:hRule="atLeast"/>
        </w:trPr>
        <w:tc>
          <w:tcPr>
            <w:tcW w:w="655" w:type="dxa"/>
            <w:vAlign w:val="center"/>
          </w:tcPr>
          <w:p w14:paraId="1D0A71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val="en-US" w:eastAsia="zh-CN"/>
              </w:rPr>
            </w:pPr>
          </w:p>
        </w:tc>
        <w:tc>
          <w:tcPr>
            <w:tcW w:w="1750" w:type="dxa"/>
            <w:vAlign w:val="center"/>
          </w:tcPr>
          <w:p w14:paraId="7F678C75">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专家评审（勘验）管理系统</w:t>
            </w:r>
          </w:p>
        </w:tc>
        <w:tc>
          <w:tcPr>
            <w:tcW w:w="1760" w:type="dxa"/>
            <w:vAlign w:val="center"/>
          </w:tcPr>
          <w:p w14:paraId="6D68CD09">
            <w:pPr>
              <w:keepNext w:val="0"/>
              <w:keepLines w:val="0"/>
              <w:pageBreakBefore w:val="0"/>
              <w:widowControl/>
              <w:suppressLineNumbers w:val="0"/>
              <w:kinsoku/>
              <w:wordWrap w:val="0"/>
              <w:overflowPunct/>
              <w:topLinePunct w:val="0"/>
              <w:bidi w:val="0"/>
              <w:jc w:val="center"/>
              <w:textAlignment w:val="bottom"/>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w:t>
            </w:r>
          </w:p>
        </w:tc>
        <w:tc>
          <w:tcPr>
            <w:tcW w:w="2810" w:type="dxa"/>
            <w:vAlign w:val="center"/>
          </w:tcPr>
          <w:p w14:paraId="6B5130CC">
            <w:pPr>
              <w:keepNext w:val="0"/>
              <w:keepLines w:val="0"/>
              <w:pageBreakBefore w:val="0"/>
              <w:widowControl/>
              <w:suppressLineNumbers w:val="0"/>
              <w:kinsoku/>
              <w:wordWrap w:val="0"/>
              <w:overflowPunct/>
              <w:topLinePunct w:val="0"/>
              <w:bidi w:val="0"/>
              <w:jc w:val="both"/>
              <w:textAlignment w:val="center"/>
              <w:rPr>
                <w:rFonts w:hint="eastAsia"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用于承载通辽市已建设的180个市本级特色应用。</w:t>
            </w:r>
          </w:p>
        </w:tc>
        <w:tc>
          <w:tcPr>
            <w:tcW w:w="694" w:type="dxa"/>
            <w:shd w:val="clear" w:color="auto" w:fill="auto"/>
            <w:vAlign w:val="center"/>
          </w:tcPr>
          <w:p w14:paraId="5601B53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1</w:t>
            </w:r>
          </w:p>
        </w:tc>
        <w:tc>
          <w:tcPr>
            <w:tcW w:w="1203" w:type="dxa"/>
            <w:shd w:val="clear" w:color="auto" w:fill="auto"/>
            <w:vAlign w:val="center"/>
          </w:tcPr>
          <w:p w14:paraId="2D3E927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snapToGrid w:val="0"/>
                <w:color w:val="auto"/>
                <w:spacing w:val="0"/>
                <w:kern w:val="0"/>
                <w:position w:val="0"/>
                <w:sz w:val="21"/>
                <w:szCs w:val="21"/>
                <w:highlight w:val="none"/>
                <w:lang w:val="en-US" w:eastAsia="zh-CN" w:bidi="ar-SA"/>
              </w:rPr>
            </w:pPr>
            <w:r>
              <w:rPr>
                <w:rFonts w:hint="eastAsia" w:ascii="仿宋" w:hAnsi="仿宋" w:eastAsia="仿宋" w:cs="仿宋"/>
                <w:snapToGrid w:val="0"/>
                <w:color w:val="auto"/>
                <w:spacing w:val="0"/>
                <w:kern w:val="0"/>
                <w:position w:val="0"/>
                <w:sz w:val="21"/>
                <w:szCs w:val="21"/>
                <w:highlight w:val="none"/>
                <w:lang w:val="en-US" w:eastAsia="zh-CN" w:bidi="ar-SA"/>
              </w:rPr>
              <w:t>正常运行</w:t>
            </w:r>
          </w:p>
        </w:tc>
      </w:tr>
    </w:tbl>
    <w:p w14:paraId="27C8DF8B">
      <w:pPr>
        <w:pStyle w:val="31"/>
        <w:numPr>
          <w:ilvl w:val="0"/>
          <w:numId w:val="5"/>
        </w:numPr>
        <w:bidi w:val="0"/>
        <w:ind w:left="0" w:leftChars="0" w:firstLine="420" w:firstLineChars="0"/>
        <w:rPr>
          <w:rFonts w:hint="eastAsia"/>
          <w:lang w:val="en-US" w:eastAsia="zh-CN"/>
        </w:rPr>
      </w:pPr>
      <w:r>
        <w:rPr>
          <w:rFonts w:hint="eastAsia"/>
          <w:lang w:val="en-US" w:eastAsia="zh-CN"/>
        </w:rPr>
        <w:t>需求分析</w:t>
      </w:r>
    </w:p>
    <w:p w14:paraId="0FD8B832">
      <w:pPr>
        <w:pStyle w:val="32"/>
        <w:numPr>
          <w:ilvl w:val="0"/>
          <w:numId w:val="6"/>
        </w:numPr>
        <w:bidi w:val="0"/>
        <w:rPr>
          <w:rFonts w:hint="eastAsia"/>
          <w:lang w:val="en-US" w:eastAsia="zh-CN"/>
        </w:rPr>
      </w:pPr>
      <w:r>
        <w:rPr>
          <w:rFonts w:hint="eastAsia"/>
          <w:lang w:val="en-US" w:eastAsia="zh-CN"/>
        </w:rPr>
        <w:t>运维范围及规模</w:t>
      </w:r>
    </w:p>
    <w:p w14:paraId="711E7594">
      <w:pPr>
        <w:pStyle w:val="18"/>
        <w:bidi w:val="0"/>
        <w:rPr>
          <w:rFonts w:hint="eastAsia"/>
          <w:lang w:val="en-US" w:eastAsia="zh-CN"/>
        </w:rPr>
      </w:pPr>
      <w:r>
        <w:rPr>
          <w:rFonts w:hint="eastAsia"/>
          <w:lang w:val="en-US" w:eastAsia="zh-CN"/>
        </w:rPr>
        <w:t>运维范围：对通辽市专家评审（勘验）管理系统提供软件系统运维服务、安全运维等，保障系统的正常运行。</w:t>
      </w:r>
    </w:p>
    <w:p w14:paraId="3ED8DA35">
      <w:pPr>
        <w:pStyle w:val="18"/>
        <w:bidi w:val="0"/>
        <w:rPr>
          <w:rFonts w:hint="default"/>
          <w:lang w:val="en-US" w:eastAsia="zh-CN"/>
        </w:rPr>
      </w:pPr>
      <w:r>
        <w:rPr>
          <w:rFonts w:hint="eastAsia"/>
          <w:lang w:val="en-US" w:eastAsia="zh-CN"/>
        </w:rPr>
        <w:t>规模：</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7"/>
        <w:gridCol w:w="2834"/>
        <w:gridCol w:w="1806"/>
        <w:gridCol w:w="1291"/>
        <w:gridCol w:w="1033"/>
        <w:gridCol w:w="778"/>
      </w:tblGrid>
      <w:tr w14:paraId="4537DC0C">
        <w:trPr>
          <w:trHeight w:val="730" w:hRule="atLeast"/>
        </w:trPr>
        <w:tc>
          <w:tcPr>
            <w:tcW w:w="456" w:type="pct"/>
            <w:vAlign w:val="center"/>
          </w:tcPr>
          <w:p w14:paraId="483BFA4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序号</w:t>
            </w:r>
          </w:p>
        </w:tc>
        <w:tc>
          <w:tcPr>
            <w:tcW w:w="1662" w:type="pct"/>
            <w:vAlign w:val="center"/>
          </w:tcPr>
          <w:p w14:paraId="2E7061E2">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系统名称</w:t>
            </w:r>
          </w:p>
        </w:tc>
        <w:tc>
          <w:tcPr>
            <w:tcW w:w="1059" w:type="pct"/>
            <w:vAlign w:val="center"/>
          </w:tcPr>
          <w:p w14:paraId="5CCB8316">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应用层级</w:t>
            </w:r>
          </w:p>
        </w:tc>
        <w:tc>
          <w:tcPr>
            <w:tcW w:w="757" w:type="pct"/>
            <w:vAlign w:val="center"/>
          </w:tcPr>
          <w:p w14:paraId="75EF0DC9">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数据类型</w:t>
            </w:r>
          </w:p>
        </w:tc>
        <w:tc>
          <w:tcPr>
            <w:tcW w:w="606" w:type="pct"/>
            <w:vAlign w:val="center"/>
          </w:tcPr>
          <w:p w14:paraId="7D3CF8C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数据量</w:t>
            </w:r>
          </w:p>
        </w:tc>
        <w:tc>
          <w:tcPr>
            <w:tcW w:w="456" w:type="pct"/>
            <w:vAlign w:val="center"/>
          </w:tcPr>
          <w:p w14:paraId="01C13098">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备注</w:t>
            </w:r>
          </w:p>
        </w:tc>
      </w:tr>
      <w:tr w14:paraId="6B4369C0">
        <w:tc>
          <w:tcPr>
            <w:tcW w:w="456" w:type="pct"/>
            <w:vAlign w:val="center"/>
          </w:tcPr>
          <w:p w14:paraId="3477C90B">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1</w:t>
            </w:r>
          </w:p>
        </w:tc>
        <w:tc>
          <w:tcPr>
            <w:tcW w:w="1662" w:type="pct"/>
            <w:vAlign w:val="center"/>
          </w:tcPr>
          <w:p w14:paraId="6D96C2D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专家评审（勘验）管理系统</w:t>
            </w:r>
          </w:p>
        </w:tc>
        <w:tc>
          <w:tcPr>
            <w:tcW w:w="1059" w:type="pct"/>
            <w:vAlign w:val="center"/>
          </w:tcPr>
          <w:p w14:paraId="269F58BE">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default"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通辽市市本级</w:t>
            </w:r>
          </w:p>
        </w:tc>
        <w:tc>
          <w:tcPr>
            <w:tcW w:w="757" w:type="pct"/>
            <w:vAlign w:val="center"/>
          </w:tcPr>
          <w:p w14:paraId="1D121E3D">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事项数据</w:t>
            </w:r>
          </w:p>
        </w:tc>
        <w:tc>
          <w:tcPr>
            <w:tcW w:w="606" w:type="pct"/>
            <w:vAlign w:val="center"/>
          </w:tcPr>
          <w:p w14:paraId="368D37B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78GB</w:t>
            </w:r>
          </w:p>
        </w:tc>
        <w:tc>
          <w:tcPr>
            <w:tcW w:w="456" w:type="pct"/>
            <w:vAlign w:val="center"/>
          </w:tcPr>
          <w:p w14:paraId="409B391F">
            <w:pPr>
              <w:keepNext w:val="0"/>
              <w:keepLines w:val="0"/>
              <w:pageBreakBefore w:val="0"/>
              <w:widowControl/>
              <w:kinsoku/>
              <w:wordWrap w:val="0"/>
              <w:overflowPunct/>
              <w:topLinePunct w:val="0"/>
              <w:autoSpaceDE w:val="0"/>
              <w:autoSpaceDN w:val="0"/>
              <w:bidi w:val="0"/>
              <w:adjustRightInd w:val="0"/>
              <w:snapToGrid w:val="0"/>
              <w:spacing w:line="360" w:lineRule="auto"/>
              <w:ind w:right="0" w:rightChars="0"/>
              <w:jc w:val="center"/>
              <w:textAlignment w:val="baseline"/>
              <w:outlineLvl w:val="9"/>
              <w:rPr>
                <w:rFonts w:hint="eastAsia" w:ascii="仿宋" w:hAnsi="仿宋" w:eastAsia="仿宋" w:cs="仿宋"/>
                <w:color w:val="auto"/>
                <w:sz w:val="21"/>
                <w:szCs w:val="21"/>
                <w:highlight w:val="none"/>
                <w:lang w:val="en-US" w:eastAsia="zh-CN"/>
              </w:rPr>
            </w:pPr>
            <w:r>
              <w:rPr>
                <w:rFonts w:hint="eastAsia" w:ascii="仿宋" w:hAnsi="仿宋" w:eastAsia="仿宋" w:cs="仿宋"/>
                <w:color w:val="auto"/>
                <w:sz w:val="21"/>
                <w:szCs w:val="21"/>
                <w:highlight w:val="none"/>
                <w:lang w:val="en-US" w:eastAsia="zh-CN"/>
              </w:rPr>
              <w:t>无</w:t>
            </w:r>
          </w:p>
        </w:tc>
      </w:tr>
    </w:tbl>
    <w:p w14:paraId="0918D05A">
      <w:pPr>
        <w:pStyle w:val="32"/>
        <w:numPr>
          <w:ilvl w:val="0"/>
          <w:numId w:val="6"/>
        </w:numPr>
        <w:bidi w:val="0"/>
        <w:rPr>
          <w:rFonts w:hint="eastAsia"/>
          <w:lang w:val="en-US" w:eastAsia="zh-CN"/>
        </w:rPr>
      </w:pPr>
      <w:r>
        <w:rPr>
          <w:rFonts w:hint="eastAsia"/>
          <w:lang w:val="en-US" w:eastAsia="zh-CN"/>
        </w:rPr>
        <w:t>运维模式</w:t>
      </w:r>
    </w:p>
    <w:p w14:paraId="1D102893">
      <w:pPr>
        <w:pStyle w:val="18"/>
        <w:bidi w:val="0"/>
        <w:rPr>
          <w:rFonts w:hint="eastAsia"/>
          <w:lang w:val="en-US" w:eastAsia="zh-CN"/>
        </w:rPr>
      </w:pPr>
      <w:r>
        <w:rPr>
          <w:rFonts w:hint="eastAsia"/>
          <w:lang w:val="en-US" w:eastAsia="zh-CN"/>
        </w:rPr>
        <w:t>完全外包</w:t>
      </w:r>
    </w:p>
    <w:p w14:paraId="1FCA9E91">
      <w:pPr>
        <w:pStyle w:val="32"/>
        <w:numPr>
          <w:ilvl w:val="0"/>
          <w:numId w:val="6"/>
        </w:numPr>
        <w:bidi w:val="0"/>
        <w:rPr>
          <w:rFonts w:hint="eastAsia"/>
          <w:lang w:val="en-US" w:eastAsia="zh-CN"/>
        </w:rPr>
      </w:pPr>
      <w:r>
        <w:rPr>
          <w:rFonts w:hint="eastAsia"/>
          <w:lang w:val="en-US" w:eastAsia="zh-CN"/>
        </w:rPr>
        <w:t>运维属性</w:t>
      </w:r>
    </w:p>
    <w:p w14:paraId="15E6D0AE">
      <w:pPr>
        <w:pStyle w:val="18"/>
        <w:bidi w:val="0"/>
        <w:rPr>
          <w:rFonts w:hint="eastAsia"/>
          <w:lang w:val="en-US" w:eastAsia="zh-CN"/>
        </w:rPr>
      </w:pPr>
      <w:r>
        <w:rPr>
          <w:rFonts w:hint="eastAsia"/>
          <w:lang w:val="en-US" w:eastAsia="zh-CN"/>
        </w:rPr>
        <w:t>延续运维项目</w:t>
      </w:r>
    </w:p>
    <w:p w14:paraId="6648CA7B">
      <w:pPr>
        <w:pStyle w:val="32"/>
        <w:numPr>
          <w:ilvl w:val="0"/>
          <w:numId w:val="6"/>
        </w:numPr>
        <w:bidi w:val="0"/>
        <w:rPr>
          <w:rFonts w:hint="eastAsia"/>
          <w:lang w:val="en-US" w:eastAsia="zh-CN"/>
        </w:rPr>
      </w:pPr>
      <w:r>
        <w:rPr>
          <w:rFonts w:hint="eastAsia"/>
          <w:lang w:val="en-US" w:eastAsia="zh-CN"/>
        </w:rPr>
        <w:t>服务级别</w:t>
      </w:r>
    </w:p>
    <w:p w14:paraId="6F653822">
      <w:pPr>
        <w:pStyle w:val="18"/>
        <w:bidi w:val="0"/>
        <w:rPr>
          <w:rFonts w:hint="default"/>
          <w:lang w:val="en-US" w:eastAsia="zh-CN"/>
        </w:rPr>
      </w:pPr>
      <w:r>
        <w:rPr>
          <w:rFonts w:hint="default"/>
          <w:lang w:val="en-US" w:eastAsia="zh-CN"/>
        </w:rPr>
        <w:t>驻场人员提供5*8小时现场办公服务，7*24小时电话响应服务，法定节假日7*24小时电话值班服务。</w:t>
      </w:r>
    </w:p>
    <w:p w14:paraId="6C9A11BE">
      <w:pPr>
        <w:pStyle w:val="18"/>
        <w:bidi w:val="0"/>
        <w:rPr>
          <w:rFonts w:hint="default"/>
          <w:lang w:val="en-US" w:eastAsia="zh-CN"/>
        </w:rPr>
      </w:pPr>
      <w:r>
        <w:rPr>
          <w:rFonts w:hint="default"/>
          <w:lang w:val="en-US" w:eastAsia="zh-CN"/>
        </w:rPr>
        <w:t>接收服务请求和咨询：在5*8 小时工作时间内设置由专人值守的热线电话，接听内部的服务请求，并记录服务台事件处理结果。</w:t>
      </w:r>
    </w:p>
    <w:p w14:paraId="18E0332D">
      <w:pPr>
        <w:pStyle w:val="18"/>
        <w:bidi w:val="0"/>
        <w:rPr>
          <w:rFonts w:hint="eastAsia"/>
          <w:lang w:val="en-US" w:eastAsia="zh-CN"/>
        </w:rPr>
      </w:pPr>
      <w:r>
        <w:rPr>
          <w:rFonts w:hint="default"/>
          <w:lang w:val="en-US" w:eastAsia="zh-CN"/>
        </w:rPr>
        <w:t>在非工作时间设置有专人7*24 小时接听的移动电话热线，用于解决内部的技术问题以及接听7*24 小时机房监控人员的机房突发情况汇报</w:t>
      </w:r>
      <w:r>
        <w:rPr>
          <w:rFonts w:hint="eastAsia"/>
          <w:lang w:val="en-US" w:eastAsia="zh-CN"/>
        </w:rPr>
        <w:t>。</w:t>
      </w:r>
    </w:p>
    <w:p w14:paraId="34A5ECC9">
      <w:pPr>
        <w:pStyle w:val="32"/>
        <w:numPr>
          <w:ilvl w:val="0"/>
          <w:numId w:val="6"/>
        </w:numPr>
        <w:bidi w:val="0"/>
        <w:rPr>
          <w:rFonts w:hint="eastAsia"/>
          <w:lang w:val="en-US" w:eastAsia="zh-CN"/>
        </w:rPr>
      </w:pPr>
      <w:r>
        <w:rPr>
          <w:rFonts w:hint="eastAsia"/>
          <w:lang w:val="en-US" w:eastAsia="zh-CN"/>
        </w:rPr>
        <w:t>故障风险</w:t>
      </w:r>
    </w:p>
    <w:p w14:paraId="122B1E05">
      <w:pPr>
        <w:pStyle w:val="18"/>
        <w:bidi w:val="0"/>
        <w:rPr>
          <w:rFonts w:hint="eastAsia"/>
          <w:lang w:val="en-US" w:eastAsia="zh-CN"/>
        </w:rPr>
      </w:pPr>
      <w:r>
        <w:rPr>
          <w:rFonts w:hint="eastAsia"/>
          <w:lang w:val="en-US" w:eastAsia="zh-CN"/>
        </w:rPr>
        <w:t>故障较少</w:t>
      </w:r>
    </w:p>
    <w:p w14:paraId="5B3E4FA5">
      <w:pPr>
        <w:pStyle w:val="32"/>
        <w:numPr>
          <w:ilvl w:val="0"/>
          <w:numId w:val="6"/>
        </w:numPr>
        <w:bidi w:val="0"/>
        <w:rPr>
          <w:rFonts w:hint="eastAsia"/>
          <w:lang w:val="en-US" w:eastAsia="zh-CN"/>
        </w:rPr>
      </w:pPr>
      <w:r>
        <w:rPr>
          <w:rFonts w:hint="eastAsia"/>
          <w:lang w:val="en-US" w:eastAsia="zh-CN"/>
        </w:rPr>
        <w:t>响应程度</w:t>
      </w:r>
    </w:p>
    <w:p w14:paraId="685A2737">
      <w:pPr>
        <w:pStyle w:val="18"/>
        <w:bidi w:val="0"/>
        <w:rPr>
          <w:rFonts w:hint="eastAsia"/>
          <w:lang w:val="en-US" w:eastAsia="zh-CN"/>
        </w:rPr>
      </w:pPr>
      <w:r>
        <w:rPr>
          <w:rFonts w:hint="eastAsia"/>
          <w:lang w:val="en-US" w:eastAsia="zh-CN"/>
        </w:rPr>
        <w:t>响应形式为现场，响应程度及故障解决时间如下：</w:t>
      </w:r>
    </w:p>
    <w:tbl>
      <w:tblPr>
        <w:tblStyle w:val="7"/>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330"/>
        <w:gridCol w:w="2807"/>
        <w:gridCol w:w="1199"/>
      </w:tblGrid>
      <w:tr w14:paraId="0551E5AB">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6573A0">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故障级别</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A8FB98">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响应时间</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87C286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故障解决时间</w:t>
            </w:r>
          </w:p>
        </w:tc>
      </w:tr>
      <w:tr w14:paraId="0B48B125">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34132">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I级：属于紧急问题；其具体现象为：系统崩溃导致业务停止、数据丢失。</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92C9D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15分钟内提交故障处理方案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87DB5F">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3小时以内</w:t>
            </w:r>
          </w:p>
        </w:tc>
      </w:tr>
      <w:tr w14:paraId="1007C1FC">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689FA">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Ⅱ级：属于严重问题；其具体现象为：出现部分部件失效、系统性能下降但能正常运行，不影响正常业务运作。</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49061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30分钟内提交故障处理方案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5465FB">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6小时以内</w:t>
            </w:r>
          </w:p>
        </w:tc>
      </w:tr>
      <w:tr w14:paraId="7556E3B1">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897FCC">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Ⅲ级：属于较严重问题；其具体现象为：出现系统报错或警告，但业务系统能继续运行且性能不受影响。</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43012">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C57F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12小时以内</w:t>
            </w:r>
          </w:p>
        </w:tc>
      </w:tr>
      <w:tr w14:paraId="7424DAC5">
        <w:trPr>
          <w:trHeight w:val="964" w:hRule="atLeast"/>
        </w:trPr>
        <w:tc>
          <w:tcPr>
            <w:tcW w:w="259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9A68DF">
            <w:pPr>
              <w:pageBreakBefore w:val="0"/>
              <w:widowControl/>
              <w:kinsoku/>
              <w:wordWrap w:val="0"/>
              <w:overflowPunct/>
              <w:topLinePunct w:val="0"/>
              <w:bidi w:val="0"/>
              <w:jc w:val="both"/>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Ⅳ级：属于普通问题；其具体现象为：系统技术功能、安装或配置咨询，或其他显然不影响业务的预约服务。</w:t>
            </w:r>
          </w:p>
        </w:tc>
        <w:tc>
          <w:tcPr>
            <w:tcW w:w="168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203A3F5">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2小时内提交故障处理方案</w:t>
            </w:r>
          </w:p>
        </w:tc>
        <w:tc>
          <w:tcPr>
            <w:tcW w:w="71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1EF1409">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24小时以内</w:t>
            </w:r>
          </w:p>
        </w:tc>
      </w:tr>
    </w:tbl>
    <w:p w14:paraId="5F1FBC30">
      <w:pPr>
        <w:pStyle w:val="32"/>
        <w:numPr>
          <w:ilvl w:val="0"/>
          <w:numId w:val="6"/>
        </w:numPr>
        <w:bidi w:val="0"/>
        <w:rPr>
          <w:rFonts w:hint="default"/>
          <w:lang w:val="en-US" w:eastAsia="zh-CN"/>
        </w:rPr>
      </w:pPr>
      <w:r>
        <w:rPr>
          <w:rFonts w:hint="eastAsia"/>
          <w:lang w:val="en-US" w:eastAsia="zh-CN"/>
        </w:rPr>
        <w:t>服务人员配置</w:t>
      </w:r>
    </w:p>
    <w:p w14:paraId="1A20F2B5">
      <w:pPr>
        <w:pStyle w:val="18"/>
        <w:bidi w:val="0"/>
        <w:rPr>
          <w:rFonts w:hint="eastAsia"/>
          <w:lang w:val="en-US" w:eastAsia="zh-CN"/>
        </w:rPr>
      </w:pPr>
      <w:r>
        <w:rPr>
          <w:rFonts w:hint="default"/>
          <w:lang w:val="en-US" w:eastAsia="zh-CN"/>
        </w:rPr>
        <w:t>结合目前项目实际情况</w:t>
      </w:r>
      <w:r>
        <w:rPr>
          <w:rFonts w:hint="eastAsia"/>
          <w:lang w:val="en-US" w:eastAsia="zh-CN"/>
        </w:rPr>
        <w:t>及通辽市其他并行运维项目情况</w:t>
      </w:r>
      <w:r>
        <w:rPr>
          <w:rFonts w:hint="default"/>
          <w:lang w:val="en-US" w:eastAsia="zh-CN"/>
        </w:rPr>
        <w:t>，</w:t>
      </w:r>
      <w:r>
        <w:rPr>
          <w:rFonts w:hint="eastAsia"/>
          <w:lang w:val="en-US" w:eastAsia="zh-CN"/>
        </w:rPr>
        <w:t>专家评审（勘验）管理系统与取号叫号系统，共安排技术支持3名，其中驻场人员1名、远程技术支持人员2名</w:t>
      </w:r>
      <w:r>
        <w:rPr>
          <w:rFonts w:hint="default"/>
          <w:lang w:val="en-US" w:eastAsia="zh-CN"/>
        </w:rPr>
        <w:t>，具体岗位需求及分工如下</w:t>
      </w:r>
      <w:r>
        <w:rPr>
          <w:rFonts w:hint="eastAsia"/>
          <w:lang w:val="en-US" w:eastAsia="zh-CN"/>
        </w:rPr>
        <w:t>:</w:t>
      </w:r>
    </w:p>
    <w:tbl>
      <w:tblPr>
        <w:tblStyle w:val="7"/>
        <w:tblW w:w="0" w:type="auto"/>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1896"/>
        <w:gridCol w:w="426"/>
        <w:gridCol w:w="1410"/>
        <w:gridCol w:w="3850"/>
        <w:gridCol w:w="426"/>
      </w:tblGrid>
      <w:tr w14:paraId="0D7A0DBB">
        <w:trPr>
          <w:trHeight w:val="7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84B65D4">
            <w:pPr>
              <w:pageBreakBefore w:val="0"/>
              <w:widowControl/>
              <w:kinsoku/>
              <w:wordWrap w:val="0"/>
              <w:overflowPunct/>
              <w:topLinePunct w:val="0"/>
              <w:bidi w:val="0"/>
              <w:jc w:val="center"/>
              <w:rPr>
                <w:rFonts w:hint="eastAsia"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326E5D9">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岗位角色</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5EFAC7B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人数</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0E3F01">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负责工作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9ABBB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具体工作内容</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08DEC116">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是否驻场</w:t>
            </w:r>
          </w:p>
        </w:tc>
      </w:tr>
      <w:tr w14:paraId="2BCCF4F6">
        <w:trPr>
          <w:trHeight w:val="6155" w:hRule="atLeast"/>
        </w:trPr>
        <w:tc>
          <w:tcPr>
            <w:tcW w:w="4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9F55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895" w:type="dxa"/>
            <w:tcBorders>
              <w:top w:val="single" w:color="000000" w:sz="4" w:space="0"/>
              <w:left w:val="single" w:color="000000" w:sz="4" w:space="0"/>
              <w:right w:val="single" w:color="000000" w:sz="4" w:space="0"/>
            </w:tcBorders>
            <w:shd w:val="clear" w:color="auto" w:fill="auto"/>
            <w:vAlign w:val="center"/>
          </w:tcPr>
          <w:p w14:paraId="45638700">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驻场人员</w:t>
            </w:r>
          </w:p>
        </w:tc>
        <w:tc>
          <w:tcPr>
            <w:tcW w:w="426" w:type="dxa"/>
            <w:tcBorders>
              <w:top w:val="single" w:color="000000" w:sz="4" w:space="0"/>
              <w:left w:val="single" w:color="000000" w:sz="4" w:space="0"/>
              <w:right w:val="single" w:color="000000" w:sz="4" w:space="0"/>
            </w:tcBorders>
            <w:shd w:val="clear" w:color="auto" w:fill="auto"/>
            <w:vAlign w:val="center"/>
          </w:tcPr>
          <w:p w14:paraId="09717B3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p>
        </w:tc>
        <w:tc>
          <w:tcPr>
            <w:tcW w:w="1410" w:type="dxa"/>
            <w:tcBorders>
              <w:top w:val="single" w:color="000000" w:sz="4" w:space="0"/>
              <w:left w:val="single" w:color="000000" w:sz="4" w:space="0"/>
              <w:right w:val="single" w:color="000000" w:sz="4" w:space="0"/>
            </w:tcBorders>
            <w:shd w:val="clear" w:color="auto" w:fill="auto"/>
            <w:vAlign w:val="center"/>
          </w:tcPr>
          <w:p w14:paraId="678EE91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本项目的及管理</w:t>
            </w:r>
            <w:r>
              <w:rPr>
                <w:rFonts w:hint="eastAsia" w:ascii="仿宋" w:hAnsi="仿宋" w:eastAsia="仿宋" w:cs="仿宋"/>
                <w:sz w:val="21"/>
                <w:szCs w:val="21"/>
                <w:highlight w:val="none"/>
                <w:lang w:val="en-US" w:eastAsia="zh-CN"/>
              </w:rPr>
              <w:t>、</w:t>
            </w:r>
            <w:r>
              <w:rPr>
                <w:rFonts w:hint="default" w:ascii="仿宋" w:hAnsi="仿宋" w:eastAsia="仿宋" w:cs="仿宋"/>
                <w:sz w:val="21"/>
                <w:szCs w:val="21"/>
                <w:highlight w:val="none"/>
                <w:lang w:val="en-US" w:eastAsia="zh-CN"/>
              </w:rPr>
              <w:t>技术支持、培训、需求沟通、分析及交付等工作</w:t>
            </w:r>
          </w:p>
        </w:tc>
        <w:tc>
          <w:tcPr>
            <w:tcW w:w="3851" w:type="dxa"/>
            <w:tcBorders>
              <w:top w:val="single" w:color="000000" w:sz="4" w:space="0"/>
              <w:left w:val="single" w:color="000000" w:sz="4" w:space="0"/>
              <w:right w:val="single" w:color="000000" w:sz="4" w:space="0"/>
            </w:tcBorders>
            <w:shd w:val="clear" w:color="auto" w:fill="auto"/>
            <w:vAlign w:val="center"/>
          </w:tcPr>
          <w:p w14:paraId="12A7BA5B">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1、项目各类方案编写。</w:t>
            </w:r>
          </w:p>
          <w:p w14:paraId="0C781F3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2、编写项目总结报告。</w:t>
            </w:r>
          </w:p>
          <w:p w14:paraId="05740506">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3</w:t>
            </w:r>
            <w:r>
              <w:rPr>
                <w:rFonts w:hint="default" w:ascii="仿宋" w:hAnsi="仿宋" w:eastAsia="仿宋" w:cs="仿宋"/>
                <w:sz w:val="21"/>
                <w:szCs w:val="21"/>
                <w:highlight w:val="none"/>
                <w:lang w:val="en-US" w:eastAsia="zh-CN"/>
              </w:rPr>
              <w:t>、制定项目工作计划</w:t>
            </w:r>
            <w:r>
              <w:rPr>
                <w:rFonts w:hint="eastAsia" w:ascii="仿宋" w:hAnsi="仿宋" w:eastAsia="仿宋" w:cs="仿宋"/>
                <w:sz w:val="21"/>
                <w:szCs w:val="21"/>
                <w:highlight w:val="none"/>
                <w:lang w:val="en-US" w:eastAsia="zh-CN"/>
              </w:rPr>
              <w:t>，协调进度</w:t>
            </w:r>
          </w:p>
          <w:p w14:paraId="01F21CE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4</w:t>
            </w:r>
            <w:r>
              <w:rPr>
                <w:rFonts w:hint="default" w:ascii="仿宋" w:hAnsi="仿宋" w:eastAsia="仿宋" w:cs="仿宋"/>
                <w:sz w:val="21"/>
                <w:szCs w:val="21"/>
                <w:highlight w:val="none"/>
                <w:lang w:val="en-US" w:eastAsia="zh-CN"/>
              </w:rPr>
              <w:t>、制定项目管理制度、工作规范、工作流程。</w:t>
            </w:r>
          </w:p>
          <w:p w14:paraId="19AA4F9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5、编制</w:t>
            </w:r>
            <w:r>
              <w:rPr>
                <w:rFonts w:hint="default" w:ascii="仿宋" w:hAnsi="仿宋" w:eastAsia="仿宋" w:cs="仿宋"/>
                <w:sz w:val="21"/>
                <w:szCs w:val="21"/>
                <w:highlight w:val="none"/>
                <w:lang w:val="en-US" w:eastAsia="zh-CN"/>
              </w:rPr>
              <w:t>各类运维资料、文档和运维记录，并对有不足的方面进行完善改进。</w:t>
            </w:r>
          </w:p>
          <w:p w14:paraId="338A712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6</w:t>
            </w:r>
            <w:r>
              <w:rPr>
                <w:rFonts w:hint="default" w:ascii="仿宋" w:hAnsi="仿宋" w:eastAsia="仿宋" w:cs="仿宋"/>
                <w:sz w:val="21"/>
                <w:szCs w:val="21"/>
                <w:highlight w:val="none"/>
                <w:lang w:val="en-US" w:eastAsia="zh-CN"/>
              </w:rPr>
              <w:t>、项目风险识别与风险管理。</w:t>
            </w:r>
          </w:p>
          <w:p w14:paraId="70CC65C5">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7</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负责各业务系统的部署及优化更新；</w:t>
            </w:r>
          </w:p>
          <w:p w14:paraId="48404ED2">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8</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定时备份程序、数据库，并对备份文件进行还原测试，确保备份数据的完整性和可用性；</w:t>
            </w:r>
          </w:p>
          <w:p w14:paraId="4769E5AF">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9</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配合网络安全及数据安全管理部门开展安全监测、排查、评估、整改等工作；</w:t>
            </w:r>
          </w:p>
          <w:p w14:paraId="00193E7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10</w:t>
            </w:r>
            <w:r>
              <w:rPr>
                <w:rFonts w:hint="default" w:ascii="仿宋" w:hAnsi="仿宋" w:eastAsia="仿宋" w:cs="仿宋"/>
                <w:sz w:val="21"/>
                <w:szCs w:val="21"/>
                <w:highlight w:val="none"/>
                <w:lang w:val="en-US" w:eastAsia="zh-CN"/>
              </w:rPr>
              <w:t>、</w:t>
            </w:r>
            <w:r>
              <w:rPr>
                <w:rFonts w:hint="eastAsia" w:ascii="仿宋" w:hAnsi="仿宋" w:eastAsia="仿宋" w:cs="仿宋"/>
                <w:sz w:val="21"/>
                <w:szCs w:val="21"/>
                <w:highlight w:val="none"/>
                <w:lang w:val="en-US" w:eastAsia="zh-CN"/>
              </w:rPr>
              <w:t>对重要功能服务和数据库运行情况进行监控，构建自动监控告警；</w:t>
            </w:r>
          </w:p>
          <w:p w14:paraId="42904C4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11</w:t>
            </w:r>
            <w:r>
              <w:rPr>
                <w:rFonts w:hint="default" w:ascii="仿宋" w:hAnsi="仿宋" w:eastAsia="仿宋" w:cs="仿宋"/>
                <w:sz w:val="21"/>
                <w:szCs w:val="21"/>
                <w:highlight w:val="none"/>
                <w:lang w:val="en-US" w:eastAsia="zh-CN"/>
              </w:rPr>
              <w:t>、负责各业务系统的培训以及用户问题解答；</w:t>
            </w:r>
          </w:p>
          <w:p w14:paraId="07E9FE8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12</w:t>
            </w:r>
            <w:r>
              <w:rPr>
                <w:rFonts w:hint="default" w:ascii="仿宋" w:hAnsi="仿宋" w:eastAsia="仿宋" w:cs="仿宋"/>
                <w:sz w:val="21"/>
                <w:szCs w:val="21"/>
                <w:highlight w:val="none"/>
                <w:lang w:val="en-US" w:eastAsia="zh-CN"/>
              </w:rPr>
              <w:t>、负责与用户沟通系统需求，并进行分析编制并提交需求变更申请；</w:t>
            </w:r>
          </w:p>
          <w:p w14:paraId="5C59B91D">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13</w:t>
            </w:r>
            <w:r>
              <w:rPr>
                <w:rFonts w:hint="default" w:ascii="仿宋" w:hAnsi="仿宋" w:eastAsia="仿宋" w:cs="仿宋"/>
                <w:sz w:val="21"/>
                <w:szCs w:val="21"/>
                <w:highlight w:val="none"/>
                <w:lang w:val="en-US" w:eastAsia="zh-CN"/>
              </w:rPr>
              <w:t>、协助编制整理技术管理及数据上报等相关文档</w:t>
            </w:r>
            <w:r>
              <w:rPr>
                <w:rFonts w:hint="eastAsia" w:ascii="仿宋" w:hAnsi="仿宋" w:eastAsia="仿宋" w:cs="仿宋"/>
                <w:sz w:val="21"/>
                <w:szCs w:val="21"/>
                <w:highlight w:val="none"/>
                <w:lang w:val="en-US" w:eastAsia="zh-CN"/>
              </w:rPr>
              <w:t>。</w:t>
            </w:r>
          </w:p>
        </w:tc>
        <w:tc>
          <w:tcPr>
            <w:tcW w:w="426" w:type="dxa"/>
            <w:tcBorders>
              <w:top w:val="single" w:color="000000" w:sz="4" w:space="0"/>
              <w:left w:val="single" w:color="000000" w:sz="4" w:space="0"/>
              <w:right w:val="single" w:color="000000" w:sz="4" w:space="0"/>
            </w:tcBorders>
            <w:shd w:val="clear" w:color="auto" w:fill="auto"/>
            <w:vAlign w:val="center"/>
          </w:tcPr>
          <w:p w14:paraId="291DC42F">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是</w:t>
            </w:r>
          </w:p>
        </w:tc>
      </w:tr>
      <w:tr w14:paraId="1021E2D0">
        <w:trPr>
          <w:trHeight w:val="7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4458D093">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324FAEC4">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公司技术支持人员</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2843A02">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eastAsia" w:ascii="仿宋" w:hAnsi="仿宋" w:eastAsia="仿宋" w:cs="仿宋"/>
                <w:sz w:val="21"/>
                <w:szCs w:val="21"/>
                <w:highlight w:val="none"/>
                <w:lang w:val="en-US" w:eastAsia="zh-CN"/>
              </w:rPr>
              <w:t>2</w:t>
            </w:r>
          </w:p>
        </w:tc>
        <w:tc>
          <w:tcPr>
            <w:tcW w:w="14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21D6E7">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本项目需求开发、代码安全漏洞整改、业务系统优化等工作</w:t>
            </w:r>
          </w:p>
        </w:tc>
        <w:tc>
          <w:tcPr>
            <w:tcW w:w="385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6A36F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13121FA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1659151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784BF02E">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64E94A98">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5、提供远程技术支持。</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center"/>
          </w:tcPr>
          <w:p w14:paraId="11B8D43E">
            <w:pPr>
              <w:pageBreakBefore w:val="0"/>
              <w:widowControl/>
              <w:kinsoku/>
              <w:wordWrap w:val="0"/>
              <w:overflowPunct/>
              <w:topLinePunct w:val="0"/>
              <w:bidi w:val="0"/>
              <w:jc w:val="center"/>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否</w:t>
            </w:r>
          </w:p>
        </w:tc>
      </w:tr>
    </w:tbl>
    <w:p w14:paraId="1592059F">
      <w:pPr>
        <w:pStyle w:val="32"/>
        <w:bidi w:val="0"/>
        <w:rPr>
          <w:rFonts w:hint="default"/>
          <w:highlight w:val="yellow"/>
          <w:lang w:val="en-US" w:eastAsia="zh-CN"/>
        </w:rPr>
      </w:pPr>
      <w:r>
        <w:rPr>
          <w:rFonts w:hint="eastAsia"/>
          <w:highlight w:val="yellow"/>
          <w:lang w:val="en-US" w:eastAsia="zh-CN"/>
        </w:rPr>
        <w:t>运维周期</w:t>
      </w:r>
    </w:p>
    <w:p w14:paraId="702EC860">
      <w:pPr>
        <w:pStyle w:val="18"/>
        <w:bidi w:val="0"/>
        <w:rPr>
          <w:rFonts w:hint="default"/>
          <w:highlight w:val="yellow"/>
          <w:lang w:val="en-US" w:eastAsia="zh-CN"/>
        </w:rPr>
      </w:pPr>
      <w:r>
        <w:rPr>
          <w:rFonts w:hint="default"/>
          <w:highlight w:val="yellow"/>
          <w:lang w:val="en-US" w:eastAsia="zh-CN"/>
        </w:rPr>
        <w:t>该项目运维期限为</w:t>
      </w:r>
      <w:r>
        <w:rPr>
          <w:rFonts w:hint="eastAsia"/>
          <w:highlight w:val="yellow"/>
          <w:lang w:val="en-US" w:eastAsia="zh-CN"/>
        </w:rPr>
        <w:t>2025年</w:t>
      </w:r>
      <w:r>
        <w:rPr>
          <w:rFonts w:hint="default"/>
          <w:highlight w:val="yellow"/>
          <w:lang w:val="en-US" w:eastAsia="zh-CN"/>
        </w:rPr>
        <w:t>年</w:t>
      </w:r>
      <w:r>
        <w:rPr>
          <w:rFonts w:hint="eastAsia"/>
          <w:highlight w:val="yellow"/>
          <w:lang w:val="en-US" w:eastAsia="zh-CN"/>
        </w:rPr>
        <w:t>1</w:t>
      </w:r>
      <w:r>
        <w:rPr>
          <w:rFonts w:hint="default"/>
          <w:highlight w:val="yellow"/>
          <w:lang w:val="en-US" w:eastAsia="zh-CN"/>
        </w:rPr>
        <w:t>月</w:t>
      </w:r>
      <w:r>
        <w:rPr>
          <w:rFonts w:hint="eastAsia"/>
          <w:highlight w:val="yellow"/>
          <w:lang w:val="en-US" w:eastAsia="zh-CN"/>
        </w:rPr>
        <w:t>1日</w:t>
      </w:r>
      <w:r>
        <w:rPr>
          <w:rFonts w:hint="default"/>
          <w:highlight w:val="yellow"/>
          <w:lang w:val="en-US" w:eastAsia="zh-CN"/>
        </w:rPr>
        <w:t>至</w:t>
      </w:r>
      <w:r>
        <w:rPr>
          <w:rFonts w:hint="eastAsia"/>
          <w:highlight w:val="yellow"/>
          <w:lang w:val="en-US" w:eastAsia="zh-CN"/>
        </w:rPr>
        <w:t>2025</w:t>
      </w:r>
      <w:r>
        <w:rPr>
          <w:rFonts w:hint="default"/>
          <w:highlight w:val="yellow"/>
          <w:lang w:val="en-US" w:eastAsia="zh-CN"/>
        </w:rPr>
        <w:t>年</w:t>
      </w:r>
      <w:r>
        <w:rPr>
          <w:rFonts w:hint="eastAsia"/>
          <w:highlight w:val="yellow"/>
          <w:lang w:val="en-US" w:eastAsia="zh-CN"/>
        </w:rPr>
        <w:t>12</w:t>
      </w:r>
      <w:r>
        <w:rPr>
          <w:rFonts w:hint="default"/>
          <w:highlight w:val="yellow"/>
          <w:lang w:val="en-US" w:eastAsia="zh-CN"/>
        </w:rPr>
        <w:t>月</w:t>
      </w:r>
      <w:r>
        <w:rPr>
          <w:rFonts w:hint="eastAsia"/>
          <w:highlight w:val="yellow"/>
          <w:lang w:val="en-US" w:eastAsia="zh-CN"/>
        </w:rPr>
        <w:t>31日</w:t>
      </w:r>
      <w:r>
        <w:rPr>
          <w:rFonts w:hint="default"/>
          <w:highlight w:val="yellow"/>
          <w:lang w:val="en-US" w:eastAsia="zh-CN"/>
        </w:rPr>
        <w:t>，服务合同以一年为一个周期进行签订</w:t>
      </w:r>
      <w:r>
        <w:rPr>
          <w:rFonts w:hint="eastAsia"/>
          <w:highlight w:val="yellow"/>
          <w:lang w:val="en-US" w:eastAsia="zh-CN"/>
        </w:rPr>
        <w:t>。</w:t>
      </w:r>
    </w:p>
    <w:p w14:paraId="4E755F09">
      <w:pPr>
        <w:pStyle w:val="30"/>
        <w:numPr>
          <w:ilvl w:val="0"/>
          <w:numId w:val="3"/>
        </w:numPr>
        <w:bidi w:val="0"/>
        <w:ind w:left="0" w:leftChars="0" w:firstLine="420" w:firstLineChars="0"/>
        <w:rPr>
          <w:rFonts w:hint="eastAsia"/>
          <w:lang w:val="en-US" w:eastAsia="zh-CN"/>
        </w:rPr>
      </w:pPr>
      <w:r>
        <w:rPr>
          <w:rFonts w:hint="eastAsia"/>
          <w:lang w:val="en-US" w:eastAsia="zh-CN"/>
        </w:rPr>
        <w:t>运维内容及要求</w:t>
      </w:r>
    </w:p>
    <w:p w14:paraId="724F3752">
      <w:pPr>
        <w:pStyle w:val="31"/>
        <w:numPr>
          <w:ilvl w:val="0"/>
          <w:numId w:val="7"/>
        </w:numPr>
        <w:bidi w:val="0"/>
        <w:ind w:left="0" w:leftChars="0" w:firstLine="420" w:firstLineChars="0"/>
        <w:rPr>
          <w:rFonts w:hint="eastAsia"/>
          <w:lang w:val="en-US" w:eastAsia="zh-CN"/>
        </w:rPr>
      </w:pPr>
      <w:r>
        <w:rPr>
          <w:rFonts w:hint="eastAsia"/>
          <w:lang w:val="en-US" w:eastAsia="zh-CN"/>
        </w:rPr>
        <w:t>软件系统运维</w:t>
      </w:r>
    </w:p>
    <w:p w14:paraId="3D3A1C3E">
      <w:pPr>
        <w:pStyle w:val="32"/>
        <w:numPr>
          <w:ilvl w:val="0"/>
          <w:numId w:val="8"/>
        </w:numPr>
        <w:bidi w:val="0"/>
        <w:rPr>
          <w:rFonts w:hint="eastAsia"/>
          <w:lang w:val="en-US" w:eastAsia="zh-CN"/>
        </w:rPr>
      </w:pPr>
      <w:r>
        <w:rPr>
          <w:rFonts w:hint="eastAsia"/>
          <w:lang w:val="en-US" w:eastAsia="zh-CN"/>
        </w:rPr>
        <w:t>产品软件</w:t>
      </w:r>
    </w:p>
    <w:p w14:paraId="7541111A">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3" w:firstLineChars="200"/>
        <w:textAlignment w:val="auto"/>
        <w:rPr>
          <w:rFonts w:hint="eastAsia"/>
          <w:b/>
          <w:bCs/>
          <w:lang w:val="en-US" w:eastAsia="zh-CN"/>
        </w:rPr>
      </w:pPr>
      <w:r>
        <w:rPr>
          <w:rFonts w:hint="eastAsia"/>
          <w:b/>
          <w:bCs/>
          <w:lang w:val="en-US" w:eastAsia="zh-CN"/>
        </w:rPr>
        <w:t>数据库</w:t>
      </w:r>
    </w:p>
    <w:p w14:paraId="5A4242F0">
      <w:pPr>
        <w:pStyle w:val="18"/>
        <w:bidi w:val="0"/>
        <w:rPr>
          <w:rFonts w:hint="eastAsia"/>
          <w:lang w:val="en-US" w:eastAsia="zh-CN"/>
        </w:rPr>
      </w:pPr>
      <w:r>
        <w:rPr>
          <w:rFonts w:hint="eastAsia"/>
          <w:lang w:val="en-US" w:eastAsia="zh-CN"/>
        </w:rPr>
        <w:t>运维团队将对数据进行日常维护，在数据库性能监控的检查列表包括：资源使用情况、运行情况、数据库进程状态、数据库连接状态、数据库进程使用资源、数据库的表空间（数据表空间、索引空间、临时表空间等等）使用情况、数据库日志空间、回滚段使用情况、数据库锁的数量、死锁的发生、死锁资源、数据库碎片的数量、磁盘I/O、 数据库运行日志、数据库用户登录情况、监控结果应做登记管理</w:t>
      </w:r>
    </w:p>
    <w:p w14:paraId="42ED40FC">
      <w:pPr>
        <w:pStyle w:val="18"/>
        <w:bidi w:val="0"/>
        <w:rPr>
          <w:rFonts w:hint="eastAsia"/>
          <w:lang w:val="en-US" w:eastAsia="zh-CN"/>
        </w:rPr>
      </w:pPr>
      <w:r>
        <w:rPr>
          <w:rFonts w:hint="eastAsia"/>
          <w:lang w:val="en-US" w:eastAsia="zh-CN"/>
        </w:rPr>
        <w:t>运维团队将如实记录系统日常运行状况及异常情况，填写日常运行情况记录表。除此之外，数据库的运维工作还包含一些其他工作， 包含以下内容：</w:t>
      </w:r>
    </w:p>
    <w:p w14:paraId="2A697587">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数据库备份与恢复。</w:t>
      </w:r>
    </w:p>
    <w:p w14:paraId="16E8180B">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做好备份计划工程师定时完成，因备份占用内存较大，在访问量大的情况下进行。当出现数据问题时，说明数据情况后恢复。</w:t>
      </w:r>
    </w:p>
    <w:p w14:paraId="2442974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访问性能优化及数据库同步。</w:t>
      </w:r>
    </w:p>
    <w:p w14:paraId="5EA4AB1F">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服务器管理人员记录详细的设置；数据库如需要同步，明确 同步时间或实时同步等方式。</w:t>
      </w:r>
    </w:p>
    <w:p w14:paraId="18EABA54">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数据库日志和表空间，定期进行整理，问题解决。</w:t>
      </w:r>
    </w:p>
    <w:p w14:paraId="0FD0CC8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定期备份数据库，包括全量备份和增量备份，以确保数据的安全性和完整性。</w:t>
      </w:r>
    </w:p>
    <w:p w14:paraId="29AD8743">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定期进行数据库的性能优化，包括索引优化、查询优化、存储 过程优化等，以提高数据库的性能和响应速度。</w:t>
      </w:r>
    </w:p>
    <w:p w14:paraId="6EF5C0CC">
      <w:pPr>
        <w:pStyle w:val="29"/>
        <w:keepNext w:val="0"/>
        <w:keepLines w:val="0"/>
        <w:pageBreakBefore w:val="0"/>
        <w:widowControl w:val="0"/>
        <w:numPr>
          <w:ilvl w:val="0"/>
          <w:numId w:val="10"/>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定期监控数据库的运行状态，包括空间使用情况、连接数、查询性能等，以及时发现并解决潜在问题。</w:t>
      </w:r>
    </w:p>
    <w:p w14:paraId="783E92BC">
      <w:pPr>
        <w:pStyle w:val="29"/>
        <w:keepNext w:val="0"/>
        <w:keepLines w:val="0"/>
        <w:pageBreakBefore w:val="0"/>
        <w:widowControl w:val="0"/>
        <w:numPr>
          <w:ilvl w:val="0"/>
          <w:numId w:val="9"/>
        </w:numPr>
        <w:kinsoku/>
        <w:wordWrap/>
        <w:overflowPunct/>
        <w:topLinePunct w:val="0"/>
        <w:autoSpaceDE/>
        <w:autoSpaceDN/>
        <w:bidi w:val="0"/>
        <w:adjustRightInd/>
        <w:snapToGrid/>
        <w:ind w:left="0" w:leftChars="0" w:firstLine="643" w:firstLineChars="200"/>
        <w:textAlignment w:val="auto"/>
        <w:rPr>
          <w:rFonts w:hint="eastAsia"/>
          <w:b/>
          <w:bCs/>
          <w:lang w:val="en-US" w:eastAsia="zh-CN"/>
        </w:rPr>
      </w:pPr>
      <w:r>
        <w:rPr>
          <w:rFonts w:hint="eastAsia"/>
          <w:b/>
          <w:bCs/>
          <w:lang w:val="en-US" w:eastAsia="zh-CN"/>
        </w:rPr>
        <w:t>中间件</w:t>
      </w:r>
    </w:p>
    <w:p w14:paraId="4501886A">
      <w:pPr>
        <w:pStyle w:val="18"/>
        <w:bidi w:val="0"/>
        <w:rPr>
          <w:rFonts w:hint="eastAsia"/>
          <w:lang w:val="en-US" w:eastAsia="zh-CN"/>
        </w:rPr>
      </w:pPr>
      <w:r>
        <w:rPr>
          <w:rFonts w:hint="eastAsia"/>
          <w:lang w:val="en-US" w:eastAsia="zh-CN"/>
        </w:rPr>
        <w:t>运维团队针对中间件的运维工作，内容如下：</w:t>
      </w:r>
    </w:p>
    <w:p w14:paraId="1AC6F8AB">
      <w:pPr>
        <w:pStyle w:val="18"/>
        <w:numPr>
          <w:ilvl w:val="0"/>
          <w:numId w:val="11"/>
        </w:numPr>
        <w:bidi w:val="0"/>
        <w:ind w:left="0" w:leftChars="0" w:firstLine="640" w:firstLineChars="200"/>
        <w:rPr>
          <w:rFonts w:hint="eastAsia"/>
          <w:lang w:val="en-US" w:eastAsia="zh-CN"/>
        </w:rPr>
      </w:pPr>
      <w:r>
        <w:rPr>
          <w:rFonts w:hint="eastAsia"/>
          <w:lang w:val="en-US" w:eastAsia="zh-CN"/>
        </w:rPr>
        <w:t>Apache Tomcat ，辅助开发进行配置，保留配置文档。模块 配置与更新，配合第三方配置.java的版本及更新工作。操作系统模块配置与更新，配合第三方配置操作系统到可用的版本及更新。配合反馈第三方解决服务错误日志中的问题。</w:t>
      </w:r>
    </w:p>
    <w:p w14:paraId="48D2FCEA">
      <w:pPr>
        <w:pStyle w:val="29"/>
        <w:numPr>
          <w:ilvl w:val="0"/>
          <w:numId w:val="11"/>
        </w:numPr>
        <w:bidi w:val="0"/>
        <w:ind w:left="0" w:leftChars="0" w:firstLine="640" w:firstLineChars="200"/>
        <w:rPr>
          <w:rFonts w:hint="eastAsia"/>
          <w:lang w:val="en-US" w:eastAsia="zh-CN"/>
        </w:rPr>
      </w:pPr>
      <w:r>
        <w:rPr>
          <w:rFonts w:hint="eastAsia"/>
          <w:lang w:val="en-US" w:eastAsia="zh-CN"/>
        </w:rPr>
        <w:t>新软件安装，收集安装光盘、安装合同（可复印学习）、使用说明书、授权书（Liscense）。纸质版文件扫描后入库，电子版文件进入配置库。</w:t>
      </w:r>
    </w:p>
    <w:p w14:paraId="0A0E33AC">
      <w:pPr>
        <w:pStyle w:val="32"/>
        <w:numPr>
          <w:ilvl w:val="0"/>
          <w:numId w:val="8"/>
        </w:numPr>
        <w:bidi w:val="0"/>
        <w:rPr>
          <w:rFonts w:hint="eastAsia"/>
          <w:lang w:val="en-US" w:eastAsia="zh-CN"/>
        </w:rPr>
      </w:pPr>
      <w:r>
        <w:rPr>
          <w:rFonts w:hint="eastAsia"/>
          <w:lang w:val="en-US" w:eastAsia="zh-CN"/>
        </w:rPr>
        <w:t>定制软件系统</w:t>
      </w:r>
    </w:p>
    <w:p w14:paraId="26B03C51">
      <w:pPr>
        <w:pStyle w:val="18"/>
        <w:bidi w:val="0"/>
        <w:rPr>
          <w:rFonts w:hint="eastAsia"/>
          <w:lang w:val="en-US" w:eastAsia="zh-CN"/>
        </w:rPr>
      </w:pPr>
      <w:r>
        <w:rPr>
          <w:rFonts w:hint="eastAsia"/>
          <w:lang w:val="en-US" w:eastAsia="zh-CN"/>
        </w:rPr>
        <w:t>专家评审（勘验）管理系统目前已承载180个通辽市本级特色应用，具体运维内容如下：</w:t>
      </w:r>
    </w:p>
    <w:p w14:paraId="1C06EFD6">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保障</w:t>
      </w:r>
      <w:r>
        <w:rPr>
          <w:rFonts w:hint="eastAsia"/>
          <w:lang w:val="en-US" w:eastAsia="zh-CN"/>
        </w:rPr>
        <w:t>通辽市专家评审（勘验）管理系统</w:t>
      </w:r>
      <w:r>
        <w:rPr>
          <w:rFonts w:hint="default"/>
          <w:lang w:val="en-US" w:eastAsia="zh-CN"/>
        </w:rPr>
        <w:t>整体的正常运行。</w:t>
      </w:r>
    </w:p>
    <w:p w14:paraId="2C52B61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实时监控：对软件系统的数据库、应用程序等关键组件进行 7x24 小时或根据客户需求设定时段的实时监控，及时发现系统异常。</w:t>
      </w:r>
    </w:p>
    <w:p w14:paraId="1ABAFEC5">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定期巡检：为保证用户业务的畅通及系统稳定运行，运维团队会对通辽市政务服务中心各系统进行定期的现场设备巡检（至少一月/次），针对用户的具体需求定制设备巡检时间，一般情况下运维团队会在重大节假日前对系统进行巡检，巡检服务内容包括：收集系统运行中的各项指标、收集用户对服务人员评价、收集用户需求及建议、以往客户反馈问题状态确认。</w:t>
      </w:r>
    </w:p>
    <w:p w14:paraId="16C3EE01">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故障诊断：当系统出现故障时，如应用程序崩溃、网络中断、数据丢失等，驻场运维人员需迅速响应，通过查看系统日志、监控数据、进行现场排查等方式，准确判断故障原因。</w:t>
      </w:r>
    </w:p>
    <w:p w14:paraId="5F39021E">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故障恢复：根据故障原因，采取相应的解决措施，尽快恢复系统的正常运行。例如，重启应用程序解决程序死锁问题、更换故障的网络设备恢复网络连接、利用备份数据恢复丢失的数据等。</w:t>
      </w:r>
    </w:p>
    <w:p w14:paraId="64D50144">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问题跟踪：对于无法立即解决的复杂问题，需记录问题详情，建立问题跟踪机制，协调开发人员、供应商等相关方共同解决，并及时向客户反馈问题处理进展，直至问题彻底解决。</w:t>
      </w:r>
    </w:p>
    <w:p w14:paraId="65BC1D9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账号管理：根据客户需求，为用户创建、修改、删除系统账号，分配相应的权限，确保用户只能访问其职责范围内的系统资源，保障系统安全。</w:t>
      </w:r>
    </w:p>
    <w:p w14:paraId="27A986AB">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数据管理：负责系统数据的日常备份与恢复操作，制定合理的备份策略，如全量备份、增量备份等，并定期对备份数据进行恢复测试，确保备份数据的有效性。同时，对数据进行清理、归档等操作，优化数据存储。</w:t>
      </w:r>
    </w:p>
    <w:p w14:paraId="69833072">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系统优化：在维护期内提供各类系统优化服务，服务内容包括：兼容性问题优化、运维与技术支持、系统升级扩展咨询、软件升级更新服务。</w:t>
      </w:r>
    </w:p>
    <w:p w14:paraId="798AC683">
      <w:pPr>
        <w:pStyle w:val="29"/>
        <w:keepNext w:val="0"/>
        <w:keepLines w:val="0"/>
        <w:pageBreakBefore w:val="0"/>
        <w:widowControl w:val="0"/>
        <w:numPr>
          <w:ilvl w:val="0"/>
          <w:numId w:val="12"/>
        </w:numPr>
        <w:kinsoku/>
        <w:wordWrap/>
        <w:overflowPunct/>
        <w:topLinePunct w:val="0"/>
        <w:autoSpaceDE/>
        <w:autoSpaceDN/>
        <w:bidi w:val="0"/>
        <w:adjustRightInd/>
        <w:snapToGrid/>
        <w:ind w:left="0" w:leftChars="0" w:firstLine="640" w:firstLineChars="200"/>
        <w:textAlignment w:val="auto"/>
        <w:rPr>
          <w:rFonts w:hint="default"/>
          <w:lang w:val="en-US" w:eastAsia="zh-CN"/>
        </w:rPr>
      </w:pPr>
      <w:r>
        <w:rPr>
          <w:rFonts w:hint="default"/>
          <w:lang w:val="en-US" w:eastAsia="zh-CN"/>
        </w:rPr>
        <w:t>系统使用培训：为通辽市政务服务中心用户提供基本的培训服务，为业务人员在使用系统的过程中提供各类培训服务，解决可能出现的不会使用系统、系统升级后功能变更的情况。</w:t>
      </w:r>
    </w:p>
    <w:p w14:paraId="175D973F">
      <w:pPr>
        <w:pStyle w:val="31"/>
        <w:numPr>
          <w:ilvl w:val="0"/>
          <w:numId w:val="7"/>
        </w:numPr>
        <w:bidi w:val="0"/>
        <w:ind w:left="0" w:leftChars="0" w:firstLine="420" w:firstLineChars="0"/>
        <w:rPr>
          <w:rFonts w:hint="eastAsia"/>
          <w:lang w:val="en-US" w:eastAsia="zh-CN"/>
        </w:rPr>
      </w:pPr>
      <w:r>
        <w:rPr>
          <w:rFonts w:hint="eastAsia"/>
          <w:lang w:val="en-US" w:eastAsia="zh-CN"/>
        </w:rPr>
        <w:t>安全运维</w:t>
      </w:r>
    </w:p>
    <w:p w14:paraId="350CAEC9">
      <w:pPr>
        <w:pStyle w:val="18"/>
        <w:bidi w:val="0"/>
        <w:rPr>
          <w:rFonts w:hint="eastAsia"/>
          <w:lang w:val="en-US" w:eastAsia="zh-CN"/>
        </w:rPr>
      </w:pPr>
      <w:r>
        <w:rPr>
          <w:rFonts w:hint="eastAsia"/>
          <w:lang w:val="en-US" w:eastAsia="zh-CN"/>
        </w:rPr>
        <w:t>配合网络安全及数据安全管理部门开展安全监测、排查、评估、整改等工作，落实各项信息安全管理制度；负责定期数据备份、数据还原测试、数据灾备及加密存储的数据安全管理。</w:t>
      </w:r>
    </w:p>
    <w:p w14:paraId="37CC9967">
      <w:pPr>
        <w:pStyle w:val="32"/>
        <w:numPr>
          <w:ilvl w:val="0"/>
          <w:numId w:val="13"/>
        </w:numPr>
        <w:bidi w:val="0"/>
        <w:rPr>
          <w:rFonts w:hint="default"/>
          <w:lang w:val="en-US" w:eastAsia="zh-CN"/>
        </w:rPr>
      </w:pPr>
      <w:r>
        <w:rPr>
          <w:rFonts w:hint="eastAsia"/>
          <w:lang w:val="en-US" w:eastAsia="zh-CN"/>
        </w:rPr>
        <w:t>安全管理与防护</w:t>
      </w:r>
    </w:p>
    <w:p w14:paraId="63D57474">
      <w:pPr>
        <w:pStyle w:val="18"/>
        <w:bidi w:val="0"/>
        <w:rPr>
          <w:rFonts w:hint="eastAsia"/>
          <w:lang w:val="en-US" w:eastAsia="zh-CN"/>
        </w:rPr>
      </w:pPr>
      <w:r>
        <w:rPr>
          <w:rFonts w:hint="eastAsia"/>
          <w:lang w:val="en-US" w:eastAsia="zh-CN"/>
        </w:rPr>
        <w:t>监控系统是否受到网络攻击、病毒感染等安全威胁，如检测异常的网络访问行为、扫描系统中的病毒文件等。</w:t>
      </w:r>
    </w:p>
    <w:p w14:paraId="5BB69BA4">
      <w:pPr>
        <w:pStyle w:val="18"/>
        <w:bidi w:val="0"/>
        <w:rPr>
          <w:rFonts w:hint="eastAsia"/>
          <w:lang w:val="en-US" w:eastAsia="zh-CN"/>
        </w:rPr>
      </w:pPr>
      <w:r>
        <w:rPr>
          <w:rFonts w:hint="eastAsia"/>
          <w:lang w:val="en-US" w:eastAsia="zh-CN"/>
        </w:rPr>
        <w:t>根据安全规范和最佳实践，对系统进行安全加固，如设置复杂的密码策略、关闭不必要的端口和服务、配置入侵检测系统等，提高系统的抗风险能力。</w:t>
      </w:r>
    </w:p>
    <w:p w14:paraId="76230D73">
      <w:pPr>
        <w:pStyle w:val="18"/>
        <w:bidi w:val="0"/>
        <w:rPr>
          <w:rFonts w:hint="eastAsia"/>
          <w:lang w:val="en-US" w:eastAsia="zh-CN"/>
        </w:rPr>
      </w:pPr>
      <w:r>
        <w:rPr>
          <w:rFonts w:hint="eastAsia"/>
          <w:lang w:val="en-US" w:eastAsia="zh-CN"/>
        </w:rPr>
        <w:t>当发生安全事件时，如数据泄露、病毒爆发等，按照应急响应预案，迅速采取隔离受影响的系统、清除恶意程序、收集证据等措施，控制事态发展，减少安全事件造成的损失，并向客户和相关部门报告。</w:t>
      </w:r>
    </w:p>
    <w:p w14:paraId="56F006FB">
      <w:pPr>
        <w:pStyle w:val="32"/>
        <w:numPr>
          <w:ilvl w:val="0"/>
          <w:numId w:val="13"/>
        </w:numPr>
        <w:bidi w:val="0"/>
        <w:rPr>
          <w:rFonts w:hint="eastAsia"/>
          <w:lang w:val="en-US" w:eastAsia="zh-CN"/>
        </w:rPr>
      </w:pPr>
      <w:r>
        <w:rPr>
          <w:rFonts w:hint="eastAsia"/>
          <w:lang w:val="en-US" w:eastAsia="zh-CN"/>
        </w:rPr>
        <w:t>安全巡检服务</w:t>
      </w:r>
    </w:p>
    <w:p w14:paraId="3B124134">
      <w:pPr>
        <w:pStyle w:val="18"/>
        <w:bidi w:val="0"/>
        <w:rPr>
          <w:rFonts w:hint="eastAsia"/>
          <w:lang w:val="en-US" w:eastAsia="zh-CN"/>
        </w:rPr>
      </w:pPr>
      <w:r>
        <w:rPr>
          <w:rFonts w:hint="eastAsia"/>
          <w:lang w:val="en-US" w:eastAsia="zh-CN"/>
        </w:rPr>
        <w:t>我司可根据用户的需求提供长期的用户现场技术人员巡检服务，保证网络的实时连通和可用，同时进行设备的日常运行状态的监控，对各种设备的日志检查，对重点事件进行记录，对安全事件的发生原因进行判断和解决，及时发现问题，防患于未然。</w:t>
      </w:r>
    </w:p>
    <w:p w14:paraId="2FDC4DD9">
      <w:pPr>
        <w:pStyle w:val="18"/>
        <w:bidi w:val="0"/>
        <w:rPr>
          <w:rFonts w:hint="eastAsia"/>
          <w:lang w:val="en-US" w:eastAsia="zh-CN"/>
        </w:rPr>
      </w:pPr>
      <w:r>
        <w:rPr>
          <w:rFonts w:hint="eastAsia"/>
          <w:lang w:val="en-US" w:eastAsia="zh-CN"/>
        </w:rPr>
        <w:t>同时能够对设备的运行数据进行记录，形成报表进行统计分析，便于进行网络系统的分析和故障的提前预知。</w:t>
      </w:r>
    </w:p>
    <w:p w14:paraId="73929F63">
      <w:pPr>
        <w:pStyle w:val="32"/>
        <w:bidi w:val="0"/>
        <w:rPr>
          <w:rFonts w:hint="eastAsia"/>
          <w:lang w:val="en-US" w:eastAsia="zh-CN"/>
        </w:rPr>
      </w:pPr>
      <w:r>
        <w:rPr>
          <w:rFonts w:hint="eastAsia"/>
          <w:lang w:val="en-US" w:eastAsia="zh-CN"/>
        </w:rPr>
        <w:t>重要时刻专人值守服务</w:t>
      </w:r>
    </w:p>
    <w:p w14:paraId="4A4A1EB4">
      <w:pPr>
        <w:pStyle w:val="18"/>
        <w:bidi w:val="0"/>
        <w:rPr>
          <w:rFonts w:hint="eastAsia"/>
          <w:lang w:val="en-US" w:eastAsia="zh-CN"/>
        </w:rPr>
      </w:pPr>
      <w:r>
        <w:rPr>
          <w:rFonts w:hint="eastAsia"/>
          <w:lang w:val="en-US" w:eastAsia="zh-CN"/>
        </w:rPr>
        <w:t>我司深刻知道保证重要时刻设备稳定运行对客户成功尤为关键，因此，我司可对客户提供重要时刻的专人现场值守支持，包括用户的重大会议期间或其他任何客户认为可能对其业务运营产生重大影响的时刻。</w:t>
      </w:r>
    </w:p>
    <w:p w14:paraId="1D714942">
      <w:pPr>
        <w:pStyle w:val="31"/>
        <w:numPr>
          <w:ilvl w:val="0"/>
          <w:numId w:val="7"/>
        </w:numPr>
        <w:bidi w:val="0"/>
        <w:ind w:left="0" w:leftChars="0" w:firstLine="420" w:firstLineChars="0"/>
        <w:rPr>
          <w:rFonts w:hint="eastAsia"/>
          <w:lang w:val="en-US" w:eastAsia="zh-CN"/>
        </w:rPr>
      </w:pPr>
      <w:r>
        <w:rPr>
          <w:rFonts w:hint="eastAsia"/>
          <w:lang w:val="en-US" w:eastAsia="zh-CN"/>
        </w:rPr>
        <w:t>其他运维</w:t>
      </w:r>
    </w:p>
    <w:p w14:paraId="7A451F87">
      <w:pPr>
        <w:pStyle w:val="32"/>
        <w:numPr>
          <w:ilvl w:val="0"/>
          <w:numId w:val="14"/>
        </w:numPr>
        <w:bidi w:val="0"/>
        <w:rPr>
          <w:rFonts w:hint="eastAsia"/>
          <w:lang w:val="en-US" w:eastAsia="zh-CN"/>
        </w:rPr>
      </w:pPr>
      <w:r>
        <w:rPr>
          <w:rFonts w:hint="eastAsia"/>
          <w:lang w:val="en-US" w:eastAsia="zh-CN"/>
        </w:rPr>
        <w:t>驻场运维服务</w:t>
      </w:r>
    </w:p>
    <w:p w14:paraId="2BDA7BC0">
      <w:pPr>
        <w:pStyle w:val="18"/>
        <w:bidi w:val="0"/>
        <w:rPr>
          <w:rFonts w:hint="eastAsia"/>
          <w:lang w:val="en-US" w:eastAsia="zh-CN"/>
        </w:rPr>
      </w:pPr>
      <w:r>
        <w:rPr>
          <w:rFonts w:hint="eastAsia"/>
          <w:lang w:val="en-US" w:eastAsia="zh-CN"/>
        </w:rPr>
        <w:t>在服务期内专家评审（勘验）管理系统</w:t>
      </w:r>
      <w:r>
        <w:rPr>
          <w:rFonts w:hint="default"/>
          <w:lang w:val="en-US" w:eastAsia="zh-CN"/>
        </w:rPr>
        <w:t>与</w:t>
      </w:r>
      <w:r>
        <w:rPr>
          <w:rFonts w:hint="eastAsia"/>
          <w:lang w:val="en-US" w:eastAsia="zh-CN"/>
        </w:rPr>
        <w:t>取号叫号系统，共安排1名人员驻场提供服务，做好运维保障工作。</w:t>
      </w:r>
    </w:p>
    <w:p w14:paraId="58CA50E9">
      <w:pPr>
        <w:pStyle w:val="29"/>
        <w:numPr>
          <w:ilvl w:val="0"/>
          <w:numId w:val="15"/>
        </w:numPr>
        <w:bidi w:val="0"/>
        <w:ind w:left="420" w:leftChars="0" w:hanging="420" w:firstLineChars="0"/>
        <w:rPr>
          <w:rFonts w:hint="default"/>
          <w:lang w:val="en-US" w:eastAsia="zh-CN"/>
        </w:rPr>
      </w:pPr>
      <w:r>
        <w:rPr>
          <w:rFonts w:hint="default"/>
          <w:lang w:val="en-US" w:eastAsia="zh-CN"/>
        </w:rPr>
        <w:t>项目各类方案编写。</w:t>
      </w:r>
    </w:p>
    <w:p w14:paraId="2FF71B06">
      <w:pPr>
        <w:pStyle w:val="29"/>
        <w:numPr>
          <w:ilvl w:val="0"/>
          <w:numId w:val="15"/>
        </w:numPr>
        <w:bidi w:val="0"/>
        <w:ind w:left="420" w:leftChars="0" w:hanging="420" w:firstLineChars="0"/>
        <w:rPr>
          <w:rFonts w:hint="default"/>
          <w:lang w:val="en-US" w:eastAsia="zh-CN"/>
        </w:rPr>
      </w:pPr>
      <w:r>
        <w:rPr>
          <w:rFonts w:hint="default"/>
          <w:lang w:val="en-US" w:eastAsia="zh-CN"/>
        </w:rPr>
        <w:t>编写项目总结报告。</w:t>
      </w:r>
    </w:p>
    <w:p w14:paraId="6BF402EF">
      <w:pPr>
        <w:pStyle w:val="29"/>
        <w:numPr>
          <w:ilvl w:val="0"/>
          <w:numId w:val="15"/>
        </w:numPr>
        <w:bidi w:val="0"/>
        <w:ind w:left="420" w:leftChars="0" w:hanging="420" w:firstLineChars="0"/>
        <w:rPr>
          <w:rFonts w:hint="default"/>
          <w:lang w:val="en-US" w:eastAsia="zh-CN"/>
        </w:rPr>
      </w:pPr>
      <w:r>
        <w:rPr>
          <w:rFonts w:hint="default"/>
          <w:lang w:val="en-US" w:eastAsia="zh-CN"/>
        </w:rPr>
        <w:t>制定项目工作计划，协调进度</w:t>
      </w:r>
    </w:p>
    <w:p w14:paraId="79145187">
      <w:pPr>
        <w:pStyle w:val="29"/>
        <w:numPr>
          <w:ilvl w:val="0"/>
          <w:numId w:val="15"/>
        </w:numPr>
        <w:bidi w:val="0"/>
        <w:ind w:left="420" w:leftChars="0" w:hanging="420" w:firstLineChars="0"/>
        <w:rPr>
          <w:rFonts w:hint="default"/>
          <w:lang w:val="en-US" w:eastAsia="zh-CN"/>
        </w:rPr>
      </w:pPr>
      <w:r>
        <w:rPr>
          <w:rFonts w:hint="default"/>
          <w:lang w:val="en-US" w:eastAsia="zh-CN"/>
        </w:rPr>
        <w:t>制定项目管理制度、工作规范、工作流程。</w:t>
      </w:r>
    </w:p>
    <w:p w14:paraId="20566FD2">
      <w:pPr>
        <w:pStyle w:val="29"/>
        <w:numPr>
          <w:ilvl w:val="0"/>
          <w:numId w:val="15"/>
        </w:numPr>
        <w:bidi w:val="0"/>
        <w:ind w:left="420" w:leftChars="0" w:hanging="420" w:firstLineChars="0"/>
        <w:rPr>
          <w:rFonts w:hint="default"/>
          <w:lang w:val="en-US" w:eastAsia="zh-CN"/>
        </w:rPr>
      </w:pPr>
      <w:r>
        <w:rPr>
          <w:rFonts w:hint="default"/>
          <w:lang w:val="en-US" w:eastAsia="zh-CN"/>
        </w:rPr>
        <w:t>编制各类运维资料、文档和运维记录，并对有不足的方面进行完善改进。</w:t>
      </w:r>
    </w:p>
    <w:p w14:paraId="0313D198">
      <w:pPr>
        <w:pStyle w:val="29"/>
        <w:numPr>
          <w:ilvl w:val="0"/>
          <w:numId w:val="15"/>
        </w:numPr>
        <w:bidi w:val="0"/>
        <w:ind w:left="420" w:leftChars="0" w:hanging="420" w:firstLineChars="0"/>
        <w:rPr>
          <w:rFonts w:hint="default"/>
          <w:lang w:val="en-US" w:eastAsia="zh-CN"/>
        </w:rPr>
      </w:pPr>
      <w:r>
        <w:rPr>
          <w:rFonts w:hint="default"/>
          <w:lang w:val="en-US" w:eastAsia="zh-CN"/>
        </w:rPr>
        <w:t>项目风险识别与风险管理。</w:t>
      </w:r>
    </w:p>
    <w:p w14:paraId="6510A6E0">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负责各业务系统的部署及优化更新；</w:t>
      </w:r>
    </w:p>
    <w:p w14:paraId="0D513368">
      <w:pPr>
        <w:pStyle w:val="29"/>
        <w:numPr>
          <w:ilvl w:val="0"/>
          <w:numId w:val="15"/>
        </w:numPr>
        <w:bidi w:val="0"/>
        <w:ind w:left="420" w:leftChars="0" w:hanging="420" w:firstLineChars="0"/>
        <w:rPr>
          <w:rFonts w:hint="default"/>
          <w:lang w:val="en-US" w:eastAsia="zh-CN"/>
        </w:rPr>
      </w:pPr>
      <w:r>
        <w:rPr>
          <w:rFonts w:hint="default"/>
          <w:lang w:val="en-US" w:eastAsia="zh-CN"/>
        </w:rPr>
        <w:t>定时备份程序、数据库，并对备份文件进行还原测试，确保备份数据的完整性和可用性；</w:t>
      </w:r>
    </w:p>
    <w:p w14:paraId="4EBA622A">
      <w:pPr>
        <w:pStyle w:val="29"/>
        <w:numPr>
          <w:ilvl w:val="0"/>
          <w:numId w:val="15"/>
        </w:numPr>
        <w:bidi w:val="0"/>
        <w:ind w:left="420" w:leftChars="0" w:hanging="420" w:firstLineChars="0"/>
        <w:rPr>
          <w:rFonts w:hint="default"/>
          <w:lang w:val="en-US" w:eastAsia="zh-CN"/>
        </w:rPr>
      </w:pPr>
      <w:r>
        <w:rPr>
          <w:rFonts w:hint="default"/>
          <w:lang w:val="en-US" w:eastAsia="zh-CN"/>
        </w:rPr>
        <w:t>配合网络安全及数据安全管理部门开展安全监测、排查、评估、整改等工作；</w:t>
      </w:r>
    </w:p>
    <w:p w14:paraId="3C902D3B">
      <w:pPr>
        <w:pStyle w:val="29"/>
        <w:numPr>
          <w:ilvl w:val="0"/>
          <w:numId w:val="15"/>
        </w:numPr>
        <w:bidi w:val="0"/>
        <w:ind w:left="420" w:leftChars="0" w:hanging="420" w:firstLineChars="0"/>
        <w:rPr>
          <w:rFonts w:hint="default"/>
          <w:lang w:val="en-US" w:eastAsia="zh-CN"/>
        </w:rPr>
      </w:pPr>
      <w:r>
        <w:rPr>
          <w:rFonts w:hint="default"/>
          <w:lang w:val="en-US" w:eastAsia="zh-CN"/>
        </w:rPr>
        <w:t>对重要功能服务和数据库运行情况进行监控，构建自动监控告警；</w:t>
      </w:r>
    </w:p>
    <w:p w14:paraId="35760ACF">
      <w:pPr>
        <w:pStyle w:val="29"/>
        <w:numPr>
          <w:ilvl w:val="0"/>
          <w:numId w:val="15"/>
        </w:numPr>
        <w:bidi w:val="0"/>
        <w:ind w:left="420" w:leftChars="0" w:hanging="420" w:firstLineChars="0"/>
        <w:rPr>
          <w:rFonts w:hint="default"/>
          <w:lang w:val="en-US" w:eastAsia="zh-CN"/>
        </w:rPr>
      </w:pPr>
      <w:r>
        <w:rPr>
          <w:rFonts w:hint="default"/>
          <w:lang w:val="en-US" w:eastAsia="zh-CN"/>
        </w:rPr>
        <w:t>负责各业务系统的培训以及用户问题解答；</w:t>
      </w:r>
    </w:p>
    <w:p w14:paraId="5AC917E3">
      <w:pPr>
        <w:pStyle w:val="29"/>
        <w:numPr>
          <w:ilvl w:val="0"/>
          <w:numId w:val="15"/>
        </w:numPr>
        <w:bidi w:val="0"/>
        <w:ind w:left="420" w:leftChars="0" w:hanging="420" w:firstLineChars="0"/>
        <w:rPr>
          <w:rFonts w:hint="default"/>
          <w:lang w:val="en-US" w:eastAsia="zh-CN"/>
        </w:rPr>
      </w:pPr>
      <w:r>
        <w:rPr>
          <w:rFonts w:hint="default"/>
          <w:lang w:val="en-US" w:eastAsia="zh-CN"/>
        </w:rPr>
        <w:t>负责与用户沟通系统需求，并进行分析编制并提交需求变更申请；</w:t>
      </w:r>
    </w:p>
    <w:p w14:paraId="34705E2E">
      <w:pPr>
        <w:pStyle w:val="29"/>
        <w:numPr>
          <w:ilvl w:val="0"/>
          <w:numId w:val="15"/>
        </w:numPr>
        <w:bidi w:val="0"/>
        <w:ind w:left="420" w:leftChars="0" w:hanging="420" w:firstLineChars="0"/>
        <w:rPr>
          <w:rFonts w:hint="default"/>
          <w:lang w:val="en-US" w:eastAsia="zh-CN"/>
        </w:rPr>
      </w:pPr>
      <w:r>
        <w:rPr>
          <w:rFonts w:hint="default"/>
          <w:lang w:val="en-US" w:eastAsia="zh-CN"/>
        </w:rPr>
        <w:t>协助编制整理技术管理及数据上报等相关文档。</w:t>
      </w:r>
    </w:p>
    <w:p w14:paraId="3AA4A25A">
      <w:pPr>
        <w:pStyle w:val="29"/>
        <w:numPr>
          <w:ilvl w:val="0"/>
          <w:numId w:val="15"/>
        </w:numPr>
        <w:bidi w:val="0"/>
        <w:ind w:left="420" w:leftChars="0" w:hanging="420" w:firstLineChars="0"/>
        <w:rPr>
          <w:rFonts w:hint="eastAsia"/>
          <w:lang w:val="en-US" w:eastAsia="zh-CN"/>
        </w:rPr>
      </w:pPr>
      <w:r>
        <w:rPr>
          <w:rFonts w:hint="eastAsia"/>
          <w:lang w:val="en-US" w:eastAsia="zh-CN"/>
        </w:rPr>
        <w:t>完成用户提出的有关取号叫号的临时工作安排。</w:t>
      </w:r>
    </w:p>
    <w:p w14:paraId="730736E0">
      <w:pPr>
        <w:pStyle w:val="32"/>
        <w:bidi w:val="0"/>
        <w:rPr>
          <w:rFonts w:hint="eastAsia"/>
          <w:lang w:val="en-US" w:eastAsia="zh-CN"/>
        </w:rPr>
      </w:pPr>
      <w:r>
        <w:rPr>
          <w:rFonts w:hint="eastAsia"/>
          <w:lang w:val="en-US" w:eastAsia="zh-CN"/>
        </w:rPr>
        <w:t>其他运维服务</w:t>
      </w:r>
    </w:p>
    <w:p w14:paraId="7CA44ED7">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运维服务体系建设</w:t>
      </w:r>
    </w:p>
    <w:p w14:paraId="362BFE87">
      <w:pPr>
        <w:pStyle w:val="18"/>
        <w:bidi w:val="0"/>
        <w:rPr>
          <w:rFonts w:hint="eastAsia"/>
          <w:lang w:val="en-US" w:eastAsia="zh-CN"/>
        </w:rPr>
      </w:pPr>
      <w:r>
        <w:rPr>
          <w:rFonts w:hint="eastAsia"/>
          <w:lang w:val="en-US" w:eastAsia="zh-CN"/>
        </w:rPr>
        <w:t>为确保通辽市取号叫号运维服务项目的正常运行，项目组会同公司专业人员与顾问、采用业内成熟的产品与技术、制定相应的管理流程，成立专门的运行维护组织，形成专业化的运行维护管理体系。确保该项目能够适应业务的深化与拓展、环境的发展及变化，以高效率、高质量、低成本、易管理的特色为建设单位提供专注的运行维护服务。</w:t>
      </w:r>
    </w:p>
    <w:p w14:paraId="00E2A493">
      <w:pPr>
        <w:pStyle w:val="18"/>
        <w:bidi w:val="0"/>
        <w:rPr>
          <w:rFonts w:hint="eastAsia"/>
          <w:lang w:val="en-US" w:eastAsia="zh-CN"/>
        </w:rPr>
      </w:pPr>
      <w:r>
        <w:rPr>
          <w:rFonts w:hint="eastAsia"/>
          <w:lang w:val="en-US" w:eastAsia="zh-CN"/>
        </w:rPr>
        <w:t>根据运维单位运行维护管理策略，结合本项目特点，形成本项目专有的运行维护管理体系。该体系从规范管理制度、科学设置组织机构、制订运行维护计划、提供先进技术支持等方面进行阐述。具体运行维护的工作包括：制定总体运行维护方案、各应用子系统运行维护方案；进行日常运行维护与记录；对运行平台的维护建议、应用系统优化方案、应急事件支持措施等。</w:t>
      </w:r>
    </w:p>
    <w:p w14:paraId="1E977A33">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备份与恢复</w:t>
      </w:r>
    </w:p>
    <w:p w14:paraId="16405C94">
      <w:pPr>
        <w:pStyle w:val="18"/>
        <w:bidi w:val="0"/>
        <w:rPr>
          <w:rFonts w:hint="eastAsia"/>
          <w:lang w:val="en-US" w:eastAsia="zh-CN"/>
        </w:rPr>
      </w:pPr>
      <w:r>
        <w:rPr>
          <w:rFonts w:hint="eastAsia"/>
          <w:lang w:val="en-US" w:eastAsia="zh-CN"/>
        </w:rPr>
        <w:t>备份维护是运行维护阶段的一项主要工作。备份的主要目的，就是实现备份对象的再利用价值。通过对系统或数据实施完整而有效的备份，并且在必要的时候进行安全而高效地恢复，才是有意义的备份维护。</w:t>
      </w:r>
    </w:p>
    <w:p w14:paraId="16336CBE">
      <w:pPr>
        <w:pStyle w:val="18"/>
        <w:bidi w:val="0"/>
        <w:rPr>
          <w:rFonts w:hint="eastAsia"/>
          <w:lang w:val="en-US" w:eastAsia="zh-CN"/>
        </w:rPr>
      </w:pPr>
      <w:r>
        <w:rPr>
          <w:rFonts w:hint="eastAsia"/>
          <w:lang w:val="en-US" w:eastAsia="zh-CN"/>
        </w:rPr>
        <w:t>主要由日常维护组、优化维护组等承担，定期或不定期地对应用系统、网络系统等进行系统和数据的备份与恢复，并填写备份/恢复记录。</w:t>
      </w:r>
    </w:p>
    <w:p w14:paraId="204D1059">
      <w:pPr>
        <w:pStyle w:val="29"/>
        <w:numPr>
          <w:ilvl w:val="0"/>
          <w:numId w:val="17"/>
        </w:numPr>
        <w:bidi w:val="0"/>
        <w:ind w:left="0" w:leftChars="0" w:firstLine="640" w:firstLineChars="200"/>
        <w:rPr>
          <w:rFonts w:hint="eastAsia"/>
          <w:lang w:val="en-US" w:eastAsia="zh-CN"/>
        </w:rPr>
      </w:pPr>
      <w:r>
        <w:rPr>
          <w:rFonts w:hint="eastAsia"/>
          <w:lang w:val="en-US" w:eastAsia="zh-CN"/>
        </w:rPr>
        <w:t>系统备份与恢复</w:t>
      </w:r>
    </w:p>
    <w:p w14:paraId="31582433">
      <w:pPr>
        <w:pStyle w:val="18"/>
        <w:bidi w:val="0"/>
        <w:rPr>
          <w:rFonts w:hint="eastAsia"/>
          <w:lang w:val="en-US" w:eastAsia="zh-CN"/>
        </w:rPr>
      </w:pPr>
      <w:r>
        <w:rPr>
          <w:rFonts w:hint="eastAsia"/>
          <w:lang w:val="en-US" w:eastAsia="zh-CN"/>
        </w:rPr>
        <w:t>系统备份主要是备份各应用系统的相关配置参数和数据，系统备份分为系统全备份和系统关键数据备份两部分。</w:t>
      </w:r>
    </w:p>
    <w:p w14:paraId="35C7A0EA">
      <w:pPr>
        <w:pStyle w:val="18"/>
        <w:bidi w:val="0"/>
        <w:rPr>
          <w:rFonts w:hint="eastAsia"/>
          <w:lang w:val="en-US" w:eastAsia="zh-CN"/>
        </w:rPr>
      </w:pPr>
      <w:r>
        <w:rPr>
          <w:rFonts w:hint="eastAsia"/>
          <w:lang w:val="en-US" w:eastAsia="zh-CN"/>
        </w:rPr>
        <w:t>系统全备份的目的是保证在系统崩溃时能够在最短时间里将系统恢复，一般在系统安装的初期执行该备份一次即可；当系统出现重大改动或者优化之前，则需要再进行备份。</w:t>
      </w:r>
    </w:p>
    <w:p w14:paraId="57EEE3F1">
      <w:pPr>
        <w:pStyle w:val="18"/>
        <w:bidi w:val="0"/>
        <w:rPr>
          <w:rFonts w:hint="eastAsia"/>
          <w:lang w:val="en-US" w:eastAsia="zh-CN"/>
        </w:rPr>
      </w:pPr>
      <w:r>
        <w:rPr>
          <w:rFonts w:hint="eastAsia"/>
          <w:lang w:val="en-US" w:eastAsia="zh-CN"/>
        </w:rPr>
        <w:t>系统备份实施人员需要严格按照规范进行操作，并且详细记录系统备份的整个过程，包括原始状态信息、目的状态信息等，形成操作说明文档。当执行系统恢复操作时，可参照备份说明实施。</w:t>
      </w:r>
    </w:p>
    <w:p w14:paraId="5EA7C62D">
      <w:pPr>
        <w:pStyle w:val="29"/>
        <w:numPr>
          <w:ilvl w:val="0"/>
          <w:numId w:val="17"/>
        </w:numPr>
        <w:bidi w:val="0"/>
        <w:ind w:left="0" w:leftChars="0" w:firstLine="640" w:firstLineChars="200"/>
        <w:rPr>
          <w:rFonts w:hint="eastAsia"/>
          <w:lang w:val="en-US" w:eastAsia="zh-CN"/>
        </w:rPr>
      </w:pPr>
      <w:r>
        <w:rPr>
          <w:rFonts w:hint="eastAsia"/>
          <w:lang w:val="en-US" w:eastAsia="zh-CN"/>
        </w:rPr>
        <w:t>数据备份与恢复</w:t>
      </w:r>
    </w:p>
    <w:p w14:paraId="44613CB9">
      <w:pPr>
        <w:pStyle w:val="18"/>
        <w:bidi w:val="0"/>
        <w:rPr>
          <w:rFonts w:hint="eastAsia"/>
          <w:lang w:val="en-US" w:eastAsia="zh-CN"/>
        </w:rPr>
      </w:pPr>
      <w:r>
        <w:rPr>
          <w:rFonts w:hint="eastAsia"/>
          <w:lang w:val="en-US" w:eastAsia="zh-CN"/>
        </w:rPr>
        <w:t>数据备份主要是将数据通过某种方式，以特定格式加以保留，以便在系统遭受破坏或其他特定情况下，重新加以利用的一个过程。</w:t>
      </w:r>
    </w:p>
    <w:p w14:paraId="6C49F400">
      <w:pPr>
        <w:pStyle w:val="18"/>
        <w:bidi w:val="0"/>
        <w:rPr>
          <w:rFonts w:hint="eastAsia"/>
          <w:lang w:val="en-US" w:eastAsia="zh-CN"/>
        </w:rPr>
      </w:pPr>
      <w:r>
        <w:rPr>
          <w:rFonts w:hint="eastAsia"/>
          <w:lang w:val="en-US" w:eastAsia="zh-CN"/>
        </w:rPr>
        <w:t>数据备份是整个运行维护管理阶段中必不可少的组成部分。其意义不仅在于防范意外事件的破坏，而且还是历史数据保存归档的最佳方式。换言之，即便系统正常工作，没有任何数据丢失或破坏发生，备份工作仍然具有非常大的意义：通过数据备份，为历史数据查询、统计和分析，以及重要信息归档保存提供了可能。</w:t>
      </w:r>
    </w:p>
    <w:p w14:paraId="6BD76F02">
      <w:pPr>
        <w:pStyle w:val="18"/>
        <w:bidi w:val="0"/>
        <w:rPr>
          <w:rFonts w:hint="eastAsia"/>
          <w:lang w:val="en-US" w:eastAsia="zh-CN"/>
        </w:rPr>
      </w:pPr>
      <w:r>
        <w:rPr>
          <w:rFonts w:hint="eastAsia"/>
          <w:lang w:val="en-US" w:eastAsia="zh-CN"/>
        </w:rPr>
        <w:t>数据备份实施人员需要根据具体情况，选择和优化数据备份工具或备份方法，充分考虑CPU占用率、磁盘空间占用情况、网络带宽占用量、单位数据量的备份时间等因素，以最低的资源占用率，来进行自动而高速度的数据备份。详细记录备份的时间、版本、内容等信息，以方便备份文件的管理与恢复。</w:t>
      </w:r>
    </w:p>
    <w:p w14:paraId="32430A48">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问题清单管理</w:t>
      </w:r>
    </w:p>
    <w:p w14:paraId="07EFC3C5">
      <w:pPr>
        <w:pStyle w:val="18"/>
        <w:bidi w:val="0"/>
        <w:rPr>
          <w:rFonts w:hint="eastAsia"/>
          <w:lang w:val="en-US" w:eastAsia="zh-CN"/>
        </w:rPr>
      </w:pPr>
      <w:r>
        <w:rPr>
          <w:rFonts w:hint="eastAsia"/>
          <w:lang w:val="en-US" w:eastAsia="zh-CN"/>
        </w:rPr>
        <w:t>系统在运行过程中，会发生各种各样的问题，通过问题清单的流程化处理方式，可以提高各类问题的解决效率，确保系统的正常运行，并能够更好地对运行中出现的问题进行集中整理、对比、分析，以挖掘系统运行隐患。具体的问题处理过程如下：</w:t>
      </w:r>
    </w:p>
    <w:p w14:paraId="1AAE8503">
      <w:pPr>
        <w:pStyle w:val="18"/>
        <w:bidi w:val="0"/>
        <w:rPr>
          <w:rFonts w:hint="eastAsia"/>
          <w:lang w:val="en-US" w:eastAsia="zh-CN"/>
        </w:rPr>
      </w:pPr>
      <w:r>
        <w:rPr>
          <w:rFonts w:hint="eastAsia"/>
          <w:lang w:val="en-US" w:eastAsia="zh-CN"/>
        </w:rPr>
        <w:t>问题清单填报：问题的发现途径有多种情况，如建设单位提报、系统自动警告、预警、日常维护人员发现等等。在本项目中，依据运行维护管理体系，统一由日常维护的值班人员进行问题清单的填报，根据问题严重程度，进行等级划分，包括一般问题、故障、事故、重大问题。</w:t>
      </w:r>
    </w:p>
    <w:p w14:paraId="3FF6ACCC">
      <w:pPr>
        <w:pStyle w:val="18"/>
        <w:bidi w:val="0"/>
        <w:rPr>
          <w:rFonts w:hint="eastAsia"/>
          <w:lang w:val="en-US" w:eastAsia="zh-CN"/>
        </w:rPr>
      </w:pPr>
      <w:r>
        <w:rPr>
          <w:rFonts w:hint="eastAsia"/>
          <w:lang w:val="en-US" w:eastAsia="zh-CN"/>
        </w:rPr>
        <w:t>问题清单转发：根据问题的严重程度，将问题转发至相关的组织机构。如：故障类问题直接转发至技术维护组；事故及重大事故需要转发给项目经理并汇报给项目领导组。</w:t>
      </w:r>
    </w:p>
    <w:p w14:paraId="38D84CE9">
      <w:pPr>
        <w:pStyle w:val="18"/>
        <w:bidi w:val="0"/>
        <w:rPr>
          <w:rFonts w:hint="eastAsia"/>
          <w:lang w:val="en-US" w:eastAsia="zh-CN"/>
        </w:rPr>
      </w:pPr>
      <w:r>
        <w:rPr>
          <w:rFonts w:hint="eastAsia"/>
          <w:lang w:val="en-US" w:eastAsia="zh-CN"/>
        </w:rPr>
        <w:t>问题单受理分派：项目经理协调各个成员组，共同分析问题所产生的原因，制定解决方案，明确责任分工，进行分派处理。</w:t>
      </w:r>
    </w:p>
    <w:p w14:paraId="343BC0EA">
      <w:pPr>
        <w:pStyle w:val="18"/>
        <w:bidi w:val="0"/>
        <w:rPr>
          <w:rFonts w:hint="eastAsia"/>
          <w:lang w:val="en-US" w:eastAsia="zh-CN"/>
        </w:rPr>
      </w:pPr>
      <w:r>
        <w:rPr>
          <w:rFonts w:hint="eastAsia"/>
          <w:lang w:val="en-US" w:eastAsia="zh-CN"/>
        </w:rPr>
        <w:t>问题清单反馈及跟踪：问题在处理完毕之后，进行结果验证，明确问题的解决情况，并进行跟踪。</w:t>
      </w:r>
    </w:p>
    <w:p w14:paraId="3CB28ED2">
      <w:pPr>
        <w:pStyle w:val="29"/>
        <w:keepNext w:val="0"/>
        <w:keepLines w:val="0"/>
        <w:pageBreakBefore w:val="0"/>
        <w:widowControl w:val="0"/>
        <w:numPr>
          <w:ilvl w:val="0"/>
          <w:numId w:val="16"/>
        </w:numPr>
        <w:kinsoku/>
        <w:wordWrap/>
        <w:overflowPunct/>
        <w:topLinePunct w:val="0"/>
        <w:autoSpaceDE/>
        <w:autoSpaceDN/>
        <w:bidi w:val="0"/>
        <w:adjustRightInd/>
        <w:snapToGrid/>
        <w:ind w:left="0" w:leftChars="0" w:firstLine="640" w:firstLineChars="200"/>
        <w:textAlignment w:val="auto"/>
        <w:rPr>
          <w:rFonts w:hint="eastAsia"/>
          <w:lang w:val="en-US" w:eastAsia="zh-CN"/>
        </w:rPr>
      </w:pPr>
      <w:r>
        <w:rPr>
          <w:rFonts w:hint="eastAsia"/>
          <w:lang w:val="en-US" w:eastAsia="zh-CN"/>
        </w:rPr>
        <w:t>应急事件支持</w:t>
      </w:r>
    </w:p>
    <w:p w14:paraId="1D67C3C4">
      <w:pPr>
        <w:pStyle w:val="18"/>
        <w:bidi w:val="0"/>
        <w:rPr>
          <w:rFonts w:hint="eastAsia"/>
          <w:lang w:val="en-US" w:eastAsia="zh-CN"/>
        </w:rPr>
      </w:pPr>
      <w:r>
        <w:rPr>
          <w:rFonts w:hint="eastAsia"/>
          <w:lang w:val="en-US" w:eastAsia="zh-CN"/>
        </w:rPr>
        <w:t>在系统运行过程中，突发事件是不可避免的，例如软件故障（如数据库、应用软件出现故障）、系统故障（如网络、服务器、存储设备等出现故障）、环境故障（如温度异常、湿度异常、供电异常等）、操作失误（误删除数据、信息发布错误、授权错误等）、工作配合失误（如信息交换不及时）等等。</w:t>
      </w:r>
    </w:p>
    <w:p w14:paraId="7AFCB2F5">
      <w:pPr>
        <w:pStyle w:val="18"/>
        <w:bidi w:val="0"/>
        <w:rPr>
          <w:rFonts w:hint="eastAsia"/>
          <w:lang w:val="en-US" w:eastAsia="zh-CN"/>
        </w:rPr>
      </w:pPr>
      <w:r>
        <w:rPr>
          <w:rFonts w:hint="eastAsia"/>
          <w:lang w:val="en-US" w:eastAsia="zh-CN"/>
        </w:rPr>
        <w:t>在本项目的运行维护管理体系中，项目团队针对系统运行过程中可能出现的各类故障，组织了具有丰富项目经验的技术人员以及行业专家共同对各类突发应急事件进行诊断处理，具体有以下几方面：</w:t>
      </w:r>
    </w:p>
    <w:p w14:paraId="0329ADC8">
      <w:pPr>
        <w:pStyle w:val="18"/>
        <w:bidi w:val="0"/>
        <w:rPr>
          <w:rFonts w:hint="eastAsia"/>
          <w:lang w:val="en-US" w:eastAsia="zh-CN"/>
        </w:rPr>
      </w:pPr>
      <w:r>
        <w:rPr>
          <w:rFonts w:hint="eastAsia"/>
          <w:lang w:val="en-US" w:eastAsia="zh-CN"/>
        </w:rPr>
        <w:t>应急响应及处理：通过查询快速确定突发事件的类型、故障点分布区域、影响程度，并提出最佳解决方案。</w:t>
      </w:r>
    </w:p>
    <w:p w14:paraId="03F207A6">
      <w:pPr>
        <w:pStyle w:val="18"/>
        <w:bidi w:val="0"/>
        <w:rPr>
          <w:rFonts w:hint="eastAsia"/>
          <w:lang w:val="en-US" w:eastAsia="zh-CN"/>
        </w:rPr>
      </w:pPr>
      <w:r>
        <w:rPr>
          <w:rFonts w:hint="eastAsia"/>
          <w:lang w:val="en-US" w:eastAsia="zh-CN"/>
        </w:rPr>
        <w:t>故障及失误修复记录：在故障或者失误修复的同时，真实准确地记录各项相关数据，用于进一步的故障及失误分析。</w:t>
      </w:r>
    </w:p>
    <w:p w14:paraId="184F398C">
      <w:pPr>
        <w:pStyle w:val="18"/>
        <w:bidi w:val="0"/>
        <w:rPr>
          <w:rFonts w:hint="eastAsia"/>
          <w:lang w:val="en-US" w:eastAsia="zh-CN"/>
        </w:rPr>
      </w:pPr>
      <w:r>
        <w:rPr>
          <w:rFonts w:hint="eastAsia"/>
          <w:lang w:val="en-US" w:eastAsia="zh-CN"/>
        </w:rPr>
        <w:t>故障及失误分析：各种类型的故障信息都被详细记录下来，形成专题档案。技术人员通过收集整理的基础数据，进行比对分析，研究故障或者各种失误发生的规律，发现故障隐患及失误原因，并及早解决。</w:t>
      </w:r>
    </w:p>
    <w:p w14:paraId="2BF99243">
      <w:pPr>
        <w:pStyle w:val="30"/>
        <w:numPr>
          <w:ilvl w:val="0"/>
          <w:numId w:val="3"/>
        </w:numPr>
        <w:bidi w:val="0"/>
        <w:ind w:left="0" w:leftChars="0" w:firstLine="420" w:firstLineChars="0"/>
        <w:rPr>
          <w:rFonts w:hint="eastAsia"/>
          <w:lang w:val="en-US" w:eastAsia="zh-CN"/>
        </w:rPr>
      </w:pPr>
      <w:r>
        <w:rPr>
          <w:rFonts w:hint="eastAsia"/>
          <w:lang w:val="en-US" w:eastAsia="zh-CN"/>
        </w:rPr>
        <w:t>项目预算</w:t>
      </w:r>
    </w:p>
    <w:p w14:paraId="6B33976B">
      <w:pPr>
        <w:pStyle w:val="31"/>
        <w:numPr>
          <w:ilvl w:val="0"/>
          <w:numId w:val="18"/>
        </w:numPr>
        <w:bidi w:val="0"/>
        <w:ind w:left="0" w:leftChars="0" w:firstLine="420" w:firstLineChars="0"/>
        <w:rPr>
          <w:rFonts w:hint="eastAsia"/>
          <w:lang w:val="en-US" w:eastAsia="zh-CN"/>
        </w:rPr>
      </w:pPr>
      <w:r>
        <w:rPr>
          <w:rFonts w:hint="eastAsia"/>
          <w:lang w:val="en-US" w:eastAsia="zh-CN"/>
        </w:rPr>
        <w:t>项目预算汇总表</w:t>
      </w:r>
    </w:p>
    <w:tbl>
      <w:tblPr>
        <w:tblStyle w:val="34"/>
        <w:tblW w:w="5016"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1123"/>
        <w:gridCol w:w="3868"/>
        <w:gridCol w:w="2227"/>
        <w:gridCol w:w="1125"/>
      </w:tblGrid>
      <w:tr w14:paraId="27951A7C">
        <w:trPr>
          <w:trHeight w:val="723" w:hRule="atLeast"/>
        </w:trPr>
        <w:tc>
          <w:tcPr>
            <w:tcW w:w="673" w:type="pct"/>
            <w:vAlign w:val="center"/>
          </w:tcPr>
          <w:p w14:paraId="7DAAC9E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2317" w:type="pct"/>
            <w:vAlign w:val="center"/>
          </w:tcPr>
          <w:p w14:paraId="3A31D10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334" w:type="pct"/>
            <w:vAlign w:val="center"/>
          </w:tcPr>
          <w:p w14:paraId="535CDD13">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预算金额</w:t>
            </w:r>
          </w:p>
        </w:tc>
        <w:tc>
          <w:tcPr>
            <w:tcW w:w="674" w:type="pct"/>
            <w:vAlign w:val="center"/>
          </w:tcPr>
          <w:p w14:paraId="177B67C4">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备注</w:t>
            </w:r>
          </w:p>
        </w:tc>
      </w:tr>
      <w:tr w14:paraId="1D09B201">
        <w:trPr>
          <w:trHeight w:val="429" w:hRule="atLeast"/>
        </w:trPr>
        <w:tc>
          <w:tcPr>
            <w:tcW w:w="673" w:type="pct"/>
            <w:vAlign w:val="center"/>
          </w:tcPr>
          <w:p w14:paraId="3FB1824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lang w:eastAsia="zh-CN"/>
              </w:rPr>
            </w:pPr>
          </w:p>
        </w:tc>
        <w:tc>
          <w:tcPr>
            <w:tcW w:w="2317" w:type="pct"/>
            <w:vAlign w:val="center"/>
          </w:tcPr>
          <w:p w14:paraId="49EBF62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r>
              <w:rPr>
                <w:rFonts w:hint="eastAsia" w:ascii="仿宋" w:hAnsi="仿宋" w:eastAsia="仿宋" w:cs="仿宋"/>
                <w:color w:val="auto"/>
                <w:spacing w:val="0"/>
                <w:position w:val="0"/>
                <w:sz w:val="21"/>
                <w:szCs w:val="21"/>
                <w:highlight w:val="none"/>
                <w:lang w:val="en-US" w:eastAsia="zh-CN"/>
              </w:rPr>
              <w:t>合计</w:t>
            </w:r>
          </w:p>
        </w:tc>
        <w:tc>
          <w:tcPr>
            <w:tcW w:w="1334" w:type="pct"/>
            <w:vAlign w:val="center"/>
          </w:tcPr>
          <w:p w14:paraId="2D9CE34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120000</w:t>
            </w:r>
          </w:p>
        </w:tc>
        <w:tc>
          <w:tcPr>
            <w:tcW w:w="674" w:type="pct"/>
            <w:vMerge w:val="restart"/>
            <w:vAlign w:val="center"/>
          </w:tcPr>
          <w:p w14:paraId="40E21AF1">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r w14:paraId="2B3483F4">
        <w:trPr>
          <w:trHeight w:val="449" w:hRule="atLeast"/>
        </w:trPr>
        <w:tc>
          <w:tcPr>
            <w:tcW w:w="673" w:type="pct"/>
            <w:vAlign w:val="center"/>
          </w:tcPr>
          <w:p w14:paraId="7A683E85">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一</w:t>
            </w:r>
          </w:p>
        </w:tc>
        <w:tc>
          <w:tcPr>
            <w:tcW w:w="2317" w:type="pct"/>
            <w:shd w:val="clear" w:color="auto" w:fill="auto"/>
            <w:vAlign w:val="center"/>
          </w:tcPr>
          <w:p w14:paraId="3F7F9FC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驻场</w:t>
            </w:r>
            <w:r>
              <w:rPr>
                <w:rFonts w:hint="eastAsia" w:ascii="仿宋" w:hAnsi="仿宋" w:eastAsia="仿宋" w:cs="仿宋"/>
                <w:color w:val="auto"/>
                <w:spacing w:val="0"/>
                <w:position w:val="0"/>
                <w:sz w:val="21"/>
                <w:szCs w:val="21"/>
                <w:highlight w:val="none"/>
              </w:rPr>
              <w:t>运维</w:t>
            </w:r>
            <w:r>
              <w:rPr>
                <w:rFonts w:hint="eastAsia" w:ascii="仿宋" w:hAnsi="仿宋" w:eastAsia="仿宋" w:cs="仿宋"/>
                <w:color w:val="auto"/>
                <w:spacing w:val="0"/>
                <w:position w:val="0"/>
                <w:sz w:val="21"/>
                <w:szCs w:val="21"/>
                <w:highlight w:val="none"/>
                <w:lang w:val="en-US" w:eastAsia="zh-CN"/>
              </w:rPr>
              <w:t>服务</w:t>
            </w:r>
            <w:r>
              <w:rPr>
                <w:rFonts w:hint="eastAsia" w:ascii="仿宋" w:hAnsi="仿宋" w:eastAsia="仿宋" w:cs="仿宋"/>
                <w:color w:val="auto"/>
                <w:spacing w:val="0"/>
                <w:position w:val="0"/>
                <w:sz w:val="21"/>
                <w:szCs w:val="21"/>
                <w:highlight w:val="none"/>
              </w:rPr>
              <w:t>费</w:t>
            </w:r>
          </w:p>
        </w:tc>
        <w:tc>
          <w:tcPr>
            <w:tcW w:w="1334" w:type="pct"/>
            <w:vAlign w:val="center"/>
          </w:tcPr>
          <w:p w14:paraId="7CCA612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i w:val="0"/>
                <w:iCs w:val="0"/>
                <w:color w:val="000000"/>
                <w:sz w:val="21"/>
                <w:szCs w:val="21"/>
                <w:u w:val="none"/>
                <w:lang w:val="en-US" w:eastAsia="zh-CN"/>
              </w:rPr>
              <w:t>60000</w:t>
            </w:r>
          </w:p>
        </w:tc>
        <w:tc>
          <w:tcPr>
            <w:tcW w:w="674" w:type="pct"/>
            <w:vMerge w:val="continue"/>
            <w:vAlign w:val="center"/>
          </w:tcPr>
          <w:p w14:paraId="2BF8896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p>
        </w:tc>
      </w:tr>
      <w:tr w14:paraId="5BA1F0C8">
        <w:trPr>
          <w:trHeight w:val="449" w:hRule="atLeast"/>
        </w:trPr>
        <w:tc>
          <w:tcPr>
            <w:tcW w:w="673" w:type="pct"/>
            <w:vAlign w:val="center"/>
          </w:tcPr>
          <w:p w14:paraId="255DB3FF">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color w:val="auto"/>
                <w:spacing w:val="0"/>
                <w:position w:val="0"/>
                <w:sz w:val="21"/>
                <w:szCs w:val="21"/>
                <w:highlight w:val="none"/>
                <w:lang w:val="en-US" w:eastAsia="zh-CN"/>
              </w:rPr>
            </w:pPr>
            <w:r>
              <w:rPr>
                <w:rFonts w:hint="eastAsia" w:ascii="仿宋" w:hAnsi="仿宋" w:eastAsia="仿宋" w:cs="仿宋"/>
                <w:color w:val="auto"/>
                <w:spacing w:val="0"/>
                <w:position w:val="0"/>
                <w:sz w:val="21"/>
                <w:szCs w:val="21"/>
                <w:highlight w:val="none"/>
                <w:lang w:val="en-US" w:eastAsia="zh-CN"/>
              </w:rPr>
              <w:t>二</w:t>
            </w:r>
          </w:p>
        </w:tc>
        <w:tc>
          <w:tcPr>
            <w:tcW w:w="2317" w:type="pct"/>
            <w:shd w:val="clear" w:color="auto" w:fill="auto"/>
            <w:vAlign w:val="center"/>
          </w:tcPr>
          <w:p w14:paraId="5C646EC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kern w:val="2"/>
                <w:position w:val="0"/>
                <w:sz w:val="21"/>
                <w:szCs w:val="21"/>
                <w:highlight w:val="none"/>
                <w:lang w:val="en-US" w:eastAsia="zh-CN" w:bidi="ar-SA"/>
              </w:rPr>
            </w:pPr>
            <w:r>
              <w:rPr>
                <w:rFonts w:hint="eastAsia" w:ascii="仿宋" w:hAnsi="仿宋" w:eastAsia="仿宋" w:cs="仿宋"/>
                <w:color w:val="auto"/>
                <w:spacing w:val="0"/>
                <w:position w:val="0"/>
                <w:sz w:val="21"/>
                <w:szCs w:val="21"/>
                <w:highlight w:val="none"/>
                <w:lang w:val="en-US" w:eastAsia="zh-CN"/>
              </w:rPr>
              <w:t>远程支撑</w:t>
            </w:r>
            <w:r>
              <w:rPr>
                <w:rFonts w:hint="eastAsia" w:ascii="仿宋" w:hAnsi="仿宋" w:eastAsia="仿宋" w:cs="仿宋"/>
                <w:color w:val="auto"/>
                <w:spacing w:val="0"/>
                <w:position w:val="0"/>
                <w:sz w:val="21"/>
                <w:szCs w:val="21"/>
                <w:highlight w:val="none"/>
              </w:rPr>
              <w:t>服务费</w:t>
            </w:r>
          </w:p>
        </w:tc>
        <w:tc>
          <w:tcPr>
            <w:tcW w:w="1334" w:type="pct"/>
            <w:vAlign w:val="center"/>
          </w:tcPr>
          <w:p w14:paraId="3355DE8E">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c>
          <w:tcPr>
            <w:tcW w:w="674" w:type="pct"/>
            <w:vMerge w:val="continue"/>
            <w:vAlign w:val="center"/>
          </w:tcPr>
          <w:p w14:paraId="2E5FD5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color w:val="auto"/>
                <w:spacing w:val="0"/>
                <w:position w:val="0"/>
                <w:sz w:val="21"/>
                <w:szCs w:val="21"/>
                <w:highlight w:val="none"/>
              </w:rPr>
            </w:pPr>
          </w:p>
        </w:tc>
      </w:tr>
    </w:tbl>
    <w:p w14:paraId="53996A5C">
      <w:pPr>
        <w:pStyle w:val="31"/>
        <w:numPr>
          <w:ilvl w:val="0"/>
          <w:numId w:val="18"/>
        </w:numPr>
        <w:bidi w:val="0"/>
        <w:ind w:left="0" w:leftChars="0" w:firstLine="420" w:firstLineChars="0"/>
        <w:rPr>
          <w:rFonts w:hint="eastAsia"/>
          <w:lang w:val="en-US" w:eastAsia="zh-CN"/>
        </w:rPr>
      </w:pPr>
      <w:r>
        <w:rPr>
          <w:rFonts w:hint="eastAsia"/>
          <w:lang w:val="en-US" w:eastAsia="zh-CN"/>
        </w:rPr>
        <w:t>驻场运维服务费分项预算表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9"/>
        <w:gridCol w:w="614"/>
        <w:gridCol w:w="3113"/>
        <w:gridCol w:w="508"/>
        <w:gridCol w:w="562"/>
        <w:gridCol w:w="579"/>
        <w:gridCol w:w="721"/>
        <w:gridCol w:w="830"/>
        <w:gridCol w:w="851"/>
      </w:tblGrid>
      <w:tr w14:paraId="6A38DE42">
        <w:trPr>
          <w:trHeight w:val="2164" w:hRule="atLeast"/>
        </w:trPr>
        <w:tc>
          <w:tcPr>
            <w:tcW w:w="489" w:type="dxa"/>
            <w:shd w:val="clear" w:color="auto" w:fill="auto"/>
            <w:vAlign w:val="center"/>
          </w:tcPr>
          <w:p w14:paraId="1BA6B59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序号</w:t>
            </w:r>
          </w:p>
        </w:tc>
        <w:tc>
          <w:tcPr>
            <w:tcW w:w="614" w:type="dxa"/>
            <w:shd w:val="clear" w:color="auto" w:fill="auto"/>
            <w:vAlign w:val="center"/>
          </w:tcPr>
          <w:p w14:paraId="6C9B7C19">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项目名称</w:t>
            </w:r>
          </w:p>
        </w:tc>
        <w:tc>
          <w:tcPr>
            <w:tcW w:w="3113" w:type="dxa"/>
            <w:shd w:val="clear" w:color="auto" w:fill="auto"/>
            <w:vAlign w:val="center"/>
          </w:tcPr>
          <w:p w14:paraId="471310AE">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主要内容描述</w:t>
            </w:r>
          </w:p>
        </w:tc>
        <w:tc>
          <w:tcPr>
            <w:tcW w:w="508" w:type="dxa"/>
            <w:shd w:val="clear" w:color="auto" w:fill="auto"/>
            <w:vAlign w:val="center"/>
          </w:tcPr>
          <w:p w14:paraId="6571E6B0">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单位</w:t>
            </w:r>
          </w:p>
        </w:tc>
        <w:tc>
          <w:tcPr>
            <w:tcW w:w="562" w:type="dxa"/>
            <w:shd w:val="clear" w:color="auto" w:fill="auto"/>
            <w:vAlign w:val="center"/>
          </w:tcPr>
          <w:p w14:paraId="76F700E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数量</w:t>
            </w:r>
          </w:p>
        </w:tc>
        <w:tc>
          <w:tcPr>
            <w:tcW w:w="579" w:type="dxa"/>
            <w:shd w:val="clear" w:color="auto" w:fill="auto"/>
            <w:vAlign w:val="center"/>
          </w:tcPr>
          <w:p w14:paraId="037E4DBA">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驻场时长 (月)</w:t>
            </w:r>
          </w:p>
        </w:tc>
        <w:tc>
          <w:tcPr>
            <w:tcW w:w="721" w:type="dxa"/>
            <w:shd w:val="clear" w:color="auto" w:fill="auto"/>
            <w:vAlign w:val="center"/>
          </w:tcPr>
          <w:p w14:paraId="0B0A0418">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运维</w:t>
            </w:r>
          </w:p>
          <w:p w14:paraId="24A31F84">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工作量</w:t>
            </w:r>
          </w:p>
          <w:p w14:paraId="4DE82A33">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 xml:space="preserve"> (人月)</w:t>
            </w:r>
          </w:p>
        </w:tc>
        <w:tc>
          <w:tcPr>
            <w:tcW w:w="830" w:type="dxa"/>
            <w:shd w:val="clear" w:color="auto" w:fill="auto"/>
            <w:vAlign w:val="center"/>
          </w:tcPr>
          <w:p w14:paraId="1844F802">
            <w:pPr>
              <w:keepNext w:val="0"/>
              <w:keepLines w:val="0"/>
              <w:widowControl/>
              <w:suppressLineNumbers w:val="0"/>
              <w:jc w:val="center"/>
              <w:textAlignment w:val="center"/>
              <w:rPr>
                <w:rFonts w:hint="eastAsia" w:ascii="仿宋" w:hAnsi="仿宋" w:eastAsia="仿宋" w:cs="仿宋"/>
                <w:b/>
                <w:bCs/>
                <w:i w:val="0"/>
                <w:iCs w:val="0"/>
                <w:snapToGrid w:val="0"/>
                <w:color w:val="000000"/>
                <w:kern w:val="0"/>
                <w:sz w:val="21"/>
                <w:szCs w:val="21"/>
                <w:u w:val="none"/>
                <w:lang w:val="en-US" w:eastAsia="zh-CN" w:bidi="ar"/>
              </w:rPr>
            </w:pPr>
            <w:r>
              <w:rPr>
                <w:rFonts w:hint="eastAsia" w:ascii="仿宋" w:hAnsi="仿宋" w:eastAsia="仿宋" w:cs="仿宋"/>
                <w:b/>
                <w:bCs/>
                <w:i w:val="0"/>
                <w:iCs w:val="0"/>
                <w:snapToGrid w:val="0"/>
                <w:color w:val="000000"/>
                <w:kern w:val="0"/>
                <w:sz w:val="21"/>
                <w:szCs w:val="21"/>
                <w:u w:val="none"/>
                <w:lang w:val="en-US" w:eastAsia="zh-CN" w:bidi="ar"/>
              </w:rPr>
              <w:t>人月</w:t>
            </w:r>
          </w:p>
          <w:p w14:paraId="03448078">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费率</w:t>
            </w:r>
          </w:p>
          <w:p w14:paraId="7D40C662">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(元/人月)</w:t>
            </w:r>
          </w:p>
        </w:tc>
        <w:tc>
          <w:tcPr>
            <w:tcW w:w="851" w:type="dxa"/>
            <w:shd w:val="clear" w:color="auto" w:fill="auto"/>
            <w:vAlign w:val="center"/>
          </w:tcPr>
          <w:p w14:paraId="68995A5B">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预算</w:t>
            </w:r>
          </w:p>
          <w:p w14:paraId="2CC76E2C">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金额</w:t>
            </w:r>
          </w:p>
        </w:tc>
      </w:tr>
      <w:tr w14:paraId="442F2343">
        <w:trPr>
          <w:trHeight w:val="454" w:hRule="atLeast"/>
        </w:trPr>
        <w:tc>
          <w:tcPr>
            <w:tcW w:w="489" w:type="dxa"/>
            <w:shd w:val="clear" w:color="auto" w:fill="auto"/>
            <w:vAlign w:val="center"/>
          </w:tcPr>
          <w:p w14:paraId="1ECD79CB">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w:t>
            </w:r>
          </w:p>
        </w:tc>
        <w:tc>
          <w:tcPr>
            <w:tcW w:w="614" w:type="dxa"/>
            <w:shd w:val="clear" w:color="auto" w:fill="auto"/>
            <w:vAlign w:val="center"/>
          </w:tcPr>
          <w:p w14:paraId="26A1BB40">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驻场人员</w:t>
            </w:r>
          </w:p>
        </w:tc>
        <w:tc>
          <w:tcPr>
            <w:tcW w:w="3113" w:type="dxa"/>
            <w:shd w:val="clear" w:color="auto" w:fill="auto"/>
            <w:vAlign w:val="center"/>
          </w:tcPr>
          <w:p w14:paraId="6BD03FCD">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1、项目各类方案编写。</w:t>
            </w:r>
          </w:p>
          <w:p w14:paraId="421F17DF">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2、编写项目总结报告。</w:t>
            </w:r>
          </w:p>
          <w:p w14:paraId="4B9799C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3、制定项目工作计划，协调进度</w:t>
            </w:r>
          </w:p>
          <w:p w14:paraId="3BEFF79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4、制定项目管理制度、工作规范、工作流程。</w:t>
            </w:r>
          </w:p>
          <w:p w14:paraId="3518064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5、编制各类运维资料、文档和运维记录，并对有不足的方面进行完善改进。</w:t>
            </w:r>
          </w:p>
          <w:p w14:paraId="724AFB68">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6、项目风险识别与风险管理。</w:t>
            </w:r>
          </w:p>
          <w:p w14:paraId="179E092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7、负责各业务系统的部署及优化更新；</w:t>
            </w:r>
          </w:p>
          <w:p w14:paraId="466B8407">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8、定时备份程序、数据库，并对备份文件进行还原测试，确保备份数据的完整性和可用性；</w:t>
            </w:r>
          </w:p>
          <w:p w14:paraId="058E9FEA">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9、配合网络安全及数据安全管理部门开展安全监测、排查、评估、整改等工作；</w:t>
            </w:r>
          </w:p>
          <w:p w14:paraId="5AE364BE">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10、对重要功能服务和数据库运行情况进行监控，构建自动监控告警；</w:t>
            </w:r>
          </w:p>
          <w:p w14:paraId="6A59004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11、负责各业务系统的培训以及用户问题解答；</w:t>
            </w:r>
          </w:p>
          <w:p w14:paraId="4FC91F1C">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12、负责与用户沟通系统需求，并进行分析编制并提交需求变更申请；</w:t>
            </w:r>
          </w:p>
          <w:p w14:paraId="6CECAAE9">
            <w:pPr>
              <w:pageBreakBefore w:val="0"/>
              <w:widowControl/>
              <w:kinsoku/>
              <w:wordWrap w:val="0"/>
              <w:overflowPunct/>
              <w:topLinePunct w:val="0"/>
              <w:bidi w:val="0"/>
              <w:jc w:val="both"/>
              <w:rPr>
                <w:rFonts w:hint="eastAsia" w:ascii="仿宋" w:hAnsi="仿宋" w:eastAsia="仿宋" w:cs="仿宋"/>
                <w:kern w:val="2"/>
                <w:sz w:val="21"/>
                <w:szCs w:val="21"/>
                <w:highlight w:val="none"/>
                <w:lang w:val="en-US" w:eastAsia="zh-CN" w:bidi="ar-SA"/>
              </w:rPr>
            </w:pPr>
            <w:r>
              <w:rPr>
                <w:rFonts w:hint="eastAsia" w:ascii="仿宋" w:hAnsi="仿宋" w:eastAsia="仿宋" w:cs="仿宋"/>
                <w:kern w:val="2"/>
                <w:sz w:val="21"/>
                <w:szCs w:val="21"/>
                <w:highlight w:val="none"/>
                <w:lang w:val="en-US" w:eastAsia="zh-CN" w:bidi="ar-SA"/>
              </w:rPr>
              <w:t>13、协助编制整理技术管理及数据上报等相关文档。</w:t>
            </w:r>
          </w:p>
        </w:tc>
        <w:tc>
          <w:tcPr>
            <w:tcW w:w="508" w:type="dxa"/>
            <w:shd w:val="clear" w:color="auto" w:fill="auto"/>
            <w:vAlign w:val="center"/>
          </w:tcPr>
          <w:p w14:paraId="3231D48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项</w:t>
            </w:r>
          </w:p>
        </w:tc>
        <w:tc>
          <w:tcPr>
            <w:tcW w:w="562" w:type="dxa"/>
            <w:shd w:val="clear" w:color="auto" w:fill="auto"/>
            <w:vAlign w:val="center"/>
          </w:tcPr>
          <w:p w14:paraId="04716912">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1</w:t>
            </w:r>
          </w:p>
        </w:tc>
        <w:tc>
          <w:tcPr>
            <w:tcW w:w="579" w:type="dxa"/>
            <w:shd w:val="clear" w:color="auto" w:fill="auto"/>
            <w:vAlign w:val="center"/>
          </w:tcPr>
          <w:p w14:paraId="12A485D4">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2591A9A9">
            <w:pPr>
              <w:keepNext w:val="0"/>
              <w:keepLines w:val="0"/>
              <w:widowControl/>
              <w:suppressLineNumbers w:val="0"/>
              <w:jc w:val="center"/>
              <w:textAlignment w:val="center"/>
              <w:rPr>
                <w:rFonts w:hint="default" w:ascii="仿宋" w:hAnsi="仿宋" w:eastAsia="仿宋" w:cs="仿宋"/>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6</w:t>
            </w:r>
          </w:p>
        </w:tc>
        <w:tc>
          <w:tcPr>
            <w:tcW w:w="830" w:type="dxa"/>
            <w:shd w:val="clear" w:color="auto" w:fill="auto"/>
            <w:vAlign w:val="center"/>
          </w:tcPr>
          <w:p w14:paraId="5A25D0A2">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10000</w:t>
            </w:r>
          </w:p>
        </w:tc>
        <w:tc>
          <w:tcPr>
            <w:tcW w:w="851" w:type="dxa"/>
            <w:shd w:val="clear" w:color="auto" w:fill="auto"/>
            <w:vAlign w:val="center"/>
          </w:tcPr>
          <w:p w14:paraId="5D185F5A">
            <w:pPr>
              <w:keepNext w:val="0"/>
              <w:keepLines w:val="0"/>
              <w:widowControl/>
              <w:suppressLineNumbers w:val="0"/>
              <w:jc w:val="center"/>
              <w:textAlignment w:val="center"/>
              <w:rPr>
                <w:rFonts w:hint="eastAsia" w:ascii="仿宋" w:hAnsi="仿宋" w:eastAsia="仿宋" w:cs="仿宋"/>
                <w:i w:val="0"/>
                <w:iCs w:val="0"/>
                <w:color w:val="000000"/>
                <w:sz w:val="21"/>
                <w:szCs w:val="21"/>
                <w:u w:val="none"/>
              </w:rPr>
            </w:pPr>
            <w:r>
              <w:rPr>
                <w:rFonts w:hint="eastAsia" w:ascii="仿宋" w:hAnsi="仿宋" w:eastAsia="仿宋" w:cs="仿宋"/>
                <w:i w:val="0"/>
                <w:iCs w:val="0"/>
                <w:snapToGrid w:val="0"/>
                <w:color w:val="000000"/>
                <w:kern w:val="0"/>
                <w:sz w:val="21"/>
                <w:szCs w:val="21"/>
                <w:u w:val="none"/>
                <w:lang w:val="en-US" w:eastAsia="zh-CN" w:bidi="ar"/>
              </w:rPr>
              <w:t>60000</w:t>
            </w:r>
          </w:p>
        </w:tc>
      </w:tr>
      <w:tr w14:paraId="6C8D8D4D">
        <w:trPr>
          <w:trHeight w:val="454" w:hRule="atLeast"/>
        </w:trPr>
        <w:tc>
          <w:tcPr>
            <w:tcW w:w="4724" w:type="dxa"/>
            <w:gridSpan w:val="4"/>
            <w:shd w:val="clear" w:color="auto" w:fill="auto"/>
            <w:vAlign w:val="center"/>
          </w:tcPr>
          <w:p w14:paraId="1B40E627">
            <w:pPr>
              <w:keepNext w:val="0"/>
              <w:keepLines w:val="0"/>
              <w:widowControl/>
              <w:suppressLineNumbers w:val="0"/>
              <w:jc w:val="center"/>
              <w:textAlignment w:val="center"/>
              <w:rPr>
                <w:rFonts w:hint="eastAsia" w:ascii="仿宋" w:hAnsi="仿宋" w:eastAsia="仿宋" w:cs="仿宋"/>
                <w:b/>
                <w:bCs/>
                <w:i w:val="0"/>
                <w:iCs w:val="0"/>
                <w:color w:val="000000"/>
                <w:sz w:val="21"/>
                <w:szCs w:val="21"/>
                <w:u w:val="none"/>
              </w:rPr>
            </w:pPr>
            <w:r>
              <w:rPr>
                <w:rFonts w:hint="eastAsia" w:ascii="仿宋" w:hAnsi="仿宋" w:eastAsia="仿宋" w:cs="仿宋"/>
                <w:b/>
                <w:bCs/>
                <w:i w:val="0"/>
                <w:iCs w:val="0"/>
                <w:snapToGrid w:val="0"/>
                <w:color w:val="000000"/>
                <w:kern w:val="0"/>
                <w:sz w:val="21"/>
                <w:szCs w:val="21"/>
                <w:u w:val="none"/>
                <w:lang w:val="en-US" w:eastAsia="zh-CN" w:bidi="ar"/>
              </w:rPr>
              <w:t>合计</w:t>
            </w:r>
          </w:p>
        </w:tc>
        <w:tc>
          <w:tcPr>
            <w:tcW w:w="562" w:type="dxa"/>
            <w:shd w:val="clear" w:color="auto" w:fill="auto"/>
            <w:vAlign w:val="center"/>
          </w:tcPr>
          <w:p w14:paraId="696D52F7">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1</w:t>
            </w:r>
          </w:p>
        </w:tc>
        <w:tc>
          <w:tcPr>
            <w:tcW w:w="579" w:type="dxa"/>
            <w:shd w:val="clear" w:color="auto" w:fill="auto"/>
            <w:vAlign w:val="center"/>
          </w:tcPr>
          <w:p w14:paraId="192DEA5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snapToGrid w:val="0"/>
                <w:color w:val="000000"/>
                <w:kern w:val="0"/>
                <w:sz w:val="21"/>
                <w:szCs w:val="21"/>
                <w:u w:val="none"/>
                <w:lang w:val="en-US" w:eastAsia="zh-CN" w:bidi="ar"/>
              </w:rPr>
              <w:t>12</w:t>
            </w:r>
          </w:p>
        </w:tc>
        <w:tc>
          <w:tcPr>
            <w:tcW w:w="721" w:type="dxa"/>
            <w:shd w:val="clear" w:color="auto" w:fill="auto"/>
            <w:vAlign w:val="center"/>
          </w:tcPr>
          <w:p w14:paraId="02481508">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color w:val="000000"/>
                <w:sz w:val="21"/>
                <w:szCs w:val="21"/>
                <w:u w:val="none"/>
                <w:lang w:val="en-US" w:eastAsia="zh-CN"/>
              </w:rPr>
              <w:t>6</w:t>
            </w:r>
          </w:p>
        </w:tc>
        <w:tc>
          <w:tcPr>
            <w:tcW w:w="830" w:type="dxa"/>
            <w:shd w:val="clear" w:color="auto" w:fill="auto"/>
            <w:vAlign w:val="center"/>
          </w:tcPr>
          <w:p w14:paraId="1C1739F5">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i w:val="0"/>
                <w:iCs w:val="0"/>
                <w:snapToGrid w:val="0"/>
                <w:color w:val="000000"/>
                <w:kern w:val="0"/>
                <w:sz w:val="21"/>
                <w:szCs w:val="21"/>
                <w:u w:val="none"/>
                <w:lang w:val="en-US" w:eastAsia="zh-CN" w:bidi="ar"/>
              </w:rPr>
              <w:t>10</w:t>
            </w:r>
            <w:bookmarkStart w:id="0" w:name="_GoBack"/>
            <w:bookmarkEnd w:id="0"/>
            <w:r>
              <w:rPr>
                <w:rFonts w:hint="eastAsia" w:ascii="仿宋" w:hAnsi="仿宋" w:eastAsia="仿宋" w:cs="仿宋"/>
                <w:i w:val="0"/>
                <w:iCs w:val="0"/>
                <w:snapToGrid w:val="0"/>
                <w:color w:val="000000"/>
                <w:kern w:val="0"/>
                <w:sz w:val="21"/>
                <w:szCs w:val="21"/>
                <w:u w:val="none"/>
                <w:lang w:val="en-US" w:eastAsia="zh-CN" w:bidi="ar"/>
              </w:rPr>
              <w:t>000</w:t>
            </w:r>
          </w:p>
        </w:tc>
        <w:tc>
          <w:tcPr>
            <w:tcW w:w="851" w:type="dxa"/>
            <w:shd w:val="clear" w:color="auto" w:fill="auto"/>
            <w:vAlign w:val="center"/>
          </w:tcPr>
          <w:p w14:paraId="0A539332">
            <w:pPr>
              <w:keepNext w:val="0"/>
              <w:keepLines w:val="0"/>
              <w:widowControl/>
              <w:suppressLineNumbers w:val="0"/>
              <w:jc w:val="center"/>
              <w:textAlignment w:val="center"/>
              <w:rPr>
                <w:rFonts w:hint="default" w:ascii="仿宋" w:hAnsi="仿宋" w:eastAsia="仿宋" w:cs="仿宋"/>
                <w:b/>
                <w:bCs/>
                <w:i w:val="0"/>
                <w:iCs w:val="0"/>
                <w:color w:val="000000"/>
                <w:sz w:val="21"/>
                <w:szCs w:val="21"/>
                <w:u w:val="none"/>
                <w:lang w:val="en-US" w:eastAsia="zh-CN"/>
              </w:rPr>
            </w:pPr>
            <w:r>
              <w:rPr>
                <w:rFonts w:hint="eastAsia" w:ascii="仿宋" w:hAnsi="仿宋" w:eastAsia="仿宋" w:cs="仿宋"/>
                <w:b/>
                <w:bCs/>
                <w:i w:val="0"/>
                <w:iCs w:val="0"/>
                <w:color w:val="000000"/>
                <w:sz w:val="21"/>
                <w:szCs w:val="21"/>
                <w:u w:val="none"/>
                <w:lang w:val="en-US" w:eastAsia="zh-CN"/>
              </w:rPr>
              <w:t>60000</w:t>
            </w:r>
          </w:p>
        </w:tc>
      </w:tr>
    </w:tbl>
    <w:p w14:paraId="476026EE">
      <w:pPr>
        <w:pStyle w:val="31"/>
        <w:numPr>
          <w:ilvl w:val="0"/>
          <w:numId w:val="18"/>
        </w:numPr>
        <w:bidi w:val="0"/>
        <w:ind w:left="0" w:leftChars="0" w:firstLine="420" w:firstLineChars="0"/>
        <w:rPr>
          <w:rFonts w:hint="eastAsia"/>
          <w:lang w:val="en-US" w:eastAsia="zh-CN"/>
        </w:rPr>
      </w:pPr>
      <w:r>
        <w:rPr>
          <w:rFonts w:hint="eastAsia"/>
          <w:lang w:val="en-US" w:eastAsia="zh-CN"/>
        </w:rPr>
        <w:t>远程支撑运维服务费分项预算表</w:t>
      </w:r>
    </w:p>
    <w:tbl>
      <w:tblPr>
        <w:tblStyle w:val="34"/>
        <w:tblW w:w="84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74"/>
        <w:gridCol w:w="992"/>
        <w:gridCol w:w="1745"/>
        <w:gridCol w:w="542"/>
        <w:gridCol w:w="553"/>
        <w:gridCol w:w="947"/>
        <w:gridCol w:w="1098"/>
        <w:gridCol w:w="1199"/>
        <w:gridCol w:w="845"/>
      </w:tblGrid>
      <w:tr w14:paraId="50DE9DCC">
        <w:trPr>
          <w:trHeight w:val="1222" w:hRule="atLeast"/>
          <w:jc w:val="center"/>
        </w:trPr>
        <w:tc>
          <w:tcPr>
            <w:tcW w:w="474" w:type="dxa"/>
            <w:vAlign w:val="center"/>
          </w:tcPr>
          <w:p w14:paraId="1253086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2EBF11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序号</w:t>
            </w:r>
          </w:p>
        </w:tc>
        <w:tc>
          <w:tcPr>
            <w:tcW w:w="992" w:type="dxa"/>
            <w:vAlign w:val="center"/>
          </w:tcPr>
          <w:p w14:paraId="578CAC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2E6B2CD0">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项目名称</w:t>
            </w:r>
          </w:p>
        </w:tc>
        <w:tc>
          <w:tcPr>
            <w:tcW w:w="1745" w:type="dxa"/>
            <w:vAlign w:val="center"/>
          </w:tcPr>
          <w:p w14:paraId="61FE3C5E">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p>
          <w:p w14:paraId="6BCBB681">
            <w:pPr>
              <w:keepNext w:val="0"/>
              <w:keepLines w:val="0"/>
              <w:pageBreakBefore w:val="0"/>
              <w:widowControl/>
              <w:suppressLineNumbers w:val="0"/>
              <w:kinsoku/>
              <w:wordWrap w:val="0"/>
              <w:overflowPunct/>
              <w:topLinePunct w:val="0"/>
              <w:bidi w:val="0"/>
              <w:jc w:val="center"/>
              <w:textAlignment w:val="center"/>
              <w:rPr>
                <w:rFonts w:hint="eastAsia" w:ascii="仿宋" w:hAnsi="仿宋" w:eastAsia="仿宋" w:cs="仿宋"/>
                <w:b/>
                <w:bCs/>
                <w:i w:val="0"/>
                <w:iCs w:val="0"/>
                <w:snapToGrid w:val="0"/>
                <w:color w:val="000000"/>
                <w:kern w:val="0"/>
                <w:sz w:val="21"/>
                <w:szCs w:val="21"/>
                <w:highlight w:val="none"/>
                <w:u w:val="none"/>
                <w:lang w:val="en-US" w:eastAsia="zh-CN" w:bidi="ar"/>
              </w:rPr>
            </w:pPr>
            <w:r>
              <w:rPr>
                <w:rFonts w:hint="eastAsia" w:ascii="仿宋" w:hAnsi="仿宋" w:eastAsia="仿宋" w:cs="仿宋"/>
                <w:b/>
                <w:bCs/>
                <w:i w:val="0"/>
                <w:iCs w:val="0"/>
                <w:snapToGrid w:val="0"/>
                <w:color w:val="000000"/>
                <w:kern w:val="0"/>
                <w:sz w:val="21"/>
                <w:szCs w:val="21"/>
                <w:highlight w:val="none"/>
                <w:u w:val="none"/>
                <w:lang w:val="en-US" w:eastAsia="zh-CN" w:bidi="ar"/>
              </w:rPr>
              <w:t>主要内容描述</w:t>
            </w:r>
          </w:p>
        </w:tc>
        <w:tc>
          <w:tcPr>
            <w:tcW w:w="542" w:type="dxa"/>
            <w:vAlign w:val="center"/>
          </w:tcPr>
          <w:p w14:paraId="6324B716">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560E1F2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单位</w:t>
            </w:r>
          </w:p>
        </w:tc>
        <w:tc>
          <w:tcPr>
            <w:tcW w:w="553" w:type="dxa"/>
            <w:vAlign w:val="center"/>
          </w:tcPr>
          <w:p w14:paraId="46170153">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13F02A9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数量</w:t>
            </w:r>
          </w:p>
        </w:tc>
        <w:tc>
          <w:tcPr>
            <w:tcW w:w="947" w:type="dxa"/>
            <w:vAlign w:val="center"/>
          </w:tcPr>
          <w:p w14:paraId="6DF41499">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时长 (月)</w:t>
            </w:r>
          </w:p>
        </w:tc>
        <w:tc>
          <w:tcPr>
            <w:tcW w:w="1098" w:type="dxa"/>
            <w:vAlign w:val="center"/>
          </w:tcPr>
          <w:p w14:paraId="7ECA07B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运维</w:t>
            </w:r>
          </w:p>
          <w:p w14:paraId="436281AC">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工作量</w:t>
            </w:r>
          </w:p>
          <w:p w14:paraId="33FE6C68">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 xml:space="preserve"> (人月)</w:t>
            </w:r>
          </w:p>
        </w:tc>
        <w:tc>
          <w:tcPr>
            <w:tcW w:w="1199" w:type="dxa"/>
            <w:vAlign w:val="center"/>
          </w:tcPr>
          <w:p w14:paraId="1FE3DDC6">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人月</w:t>
            </w:r>
          </w:p>
          <w:p w14:paraId="4B583922">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费率</w:t>
            </w:r>
          </w:p>
          <w:p w14:paraId="4E714B57">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(元/人月)</w:t>
            </w:r>
          </w:p>
        </w:tc>
        <w:tc>
          <w:tcPr>
            <w:tcW w:w="845" w:type="dxa"/>
            <w:vAlign w:val="center"/>
          </w:tcPr>
          <w:p w14:paraId="609AF10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p>
          <w:p w14:paraId="3E608981">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预算</w:t>
            </w:r>
          </w:p>
          <w:p w14:paraId="09AE9BFE">
            <w:pPr>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rPr>
            </w:pPr>
            <w:r>
              <w:rPr>
                <w:rFonts w:hint="eastAsia" w:ascii="仿宋" w:hAnsi="仿宋" w:eastAsia="仿宋" w:cs="仿宋"/>
                <w:b/>
                <w:bCs/>
                <w:color w:val="auto"/>
                <w:spacing w:val="0"/>
                <w:position w:val="0"/>
                <w:sz w:val="21"/>
                <w:szCs w:val="21"/>
                <w:highlight w:val="none"/>
              </w:rPr>
              <w:t>金额</w:t>
            </w:r>
          </w:p>
        </w:tc>
      </w:tr>
      <w:tr w14:paraId="46E83EC8">
        <w:trPr>
          <w:trHeight w:val="394" w:hRule="atLeast"/>
          <w:jc w:val="center"/>
        </w:trPr>
        <w:tc>
          <w:tcPr>
            <w:tcW w:w="474" w:type="dxa"/>
            <w:vAlign w:val="center"/>
          </w:tcPr>
          <w:p w14:paraId="64DACED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92" w:type="dxa"/>
            <w:vAlign w:val="center"/>
          </w:tcPr>
          <w:p w14:paraId="72B54E1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公司技术支持人员</w:t>
            </w:r>
          </w:p>
        </w:tc>
        <w:tc>
          <w:tcPr>
            <w:tcW w:w="1745" w:type="dxa"/>
            <w:vAlign w:val="center"/>
          </w:tcPr>
          <w:p w14:paraId="7D7A256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1、</w:t>
            </w:r>
            <w:r>
              <w:rPr>
                <w:rFonts w:hint="eastAsia" w:ascii="仿宋" w:hAnsi="仿宋" w:eastAsia="仿宋" w:cs="仿宋"/>
                <w:sz w:val="21"/>
                <w:szCs w:val="21"/>
                <w:highlight w:val="none"/>
                <w:lang w:val="en-US" w:eastAsia="zh-CN"/>
              </w:rPr>
              <w:t>负责业务系统需求分析及代码开发；</w:t>
            </w:r>
          </w:p>
          <w:p w14:paraId="683BA07A">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2、评估实施方案；</w:t>
            </w:r>
          </w:p>
          <w:p w14:paraId="45CF6480">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3、</w:t>
            </w:r>
            <w:r>
              <w:rPr>
                <w:rFonts w:hint="eastAsia" w:ascii="仿宋" w:hAnsi="仿宋" w:eastAsia="仿宋" w:cs="仿宋"/>
                <w:sz w:val="21"/>
                <w:szCs w:val="21"/>
                <w:highlight w:val="none"/>
                <w:lang w:val="en-US" w:eastAsia="zh-CN"/>
              </w:rPr>
              <w:t>配合运维人员进行安全漏洞整改代码开发。</w:t>
            </w:r>
          </w:p>
          <w:p w14:paraId="5A3FEAD3">
            <w:pPr>
              <w:pageBreakBefore w:val="0"/>
              <w:widowControl/>
              <w:kinsoku/>
              <w:wordWrap w:val="0"/>
              <w:overflowPunct/>
              <w:topLinePunct w:val="0"/>
              <w:bidi w:val="0"/>
              <w:jc w:val="both"/>
              <w:rPr>
                <w:rFonts w:hint="default" w:ascii="仿宋" w:hAnsi="仿宋" w:eastAsia="仿宋" w:cs="仿宋"/>
                <w:sz w:val="21"/>
                <w:szCs w:val="21"/>
                <w:highlight w:val="none"/>
                <w:lang w:val="en-US" w:eastAsia="zh-CN"/>
              </w:rPr>
            </w:pPr>
            <w:r>
              <w:rPr>
                <w:rFonts w:hint="default" w:ascii="仿宋" w:hAnsi="仿宋" w:eastAsia="仿宋" w:cs="仿宋"/>
                <w:sz w:val="21"/>
                <w:szCs w:val="21"/>
                <w:highlight w:val="none"/>
                <w:lang w:val="en-US" w:eastAsia="zh-CN"/>
              </w:rPr>
              <w:t>4、负责业务系统优化评估工作；</w:t>
            </w:r>
          </w:p>
          <w:p w14:paraId="5D3F847B">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default" w:ascii="仿宋" w:hAnsi="仿宋" w:eastAsia="仿宋" w:cs="仿宋"/>
                <w:sz w:val="21"/>
                <w:szCs w:val="21"/>
                <w:highlight w:val="none"/>
                <w:lang w:val="en-US" w:eastAsia="zh-CN"/>
              </w:rPr>
              <w:t>5、提供远程技术支持。</w:t>
            </w:r>
          </w:p>
        </w:tc>
        <w:tc>
          <w:tcPr>
            <w:tcW w:w="542" w:type="dxa"/>
            <w:vAlign w:val="center"/>
          </w:tcPr>
          <w:p w14:paraId="3E0F160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项</w:t>
            </w:r>
          </w:p>
        </w:tc>
        <w:tc>
          <w:tcPr>
            <w:tcW w:w="553" w:type="dxa"/>
            <w:vAlign w:val="center"/>
          </w:tcPr>
          <w:p w14:paraId="2F947BD4">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w:t>
            </w:r>
          </w:p>
        </w:tc>
        <w:tc>
          <w:tcPr>
            <w:tcW w:w="947" w:type="dxa"/>
            <w:vAlign w:val="center"/>
          </w:tcPr>
          <w:p w14:paraId="765709C7">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098" w:type="dxa"/>
            <w:vAlign w:val="center"/>
          </w:tcPr>
          <w:p w14:paraId="20354928">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12</w:t>
            </w:r>
          </w:p>
        </w:tc>
        <w:tc>
          <w:tcPr>
            <w:tcW w:w="1199" w:type="dxa"/>
            <w:vAlign w:val="center"/>
          </w:tcPr>
          <w:p w14:paraId="50C61A66">
            <w:pPr>
              <w:keepNext w:val="0"/>
              <w:keepLines w:val="0"/>
              <w:pageBreakBefore w:val="0"/>
              <w:widowControl/>
              <w:suppressLineNumbers w:val="0"/>
              <w:kinsoku/>
              <w:wordWrap w:val="0"/>
              <w:overflowPunct/>
              <w:topLinePunct w:val="0"/>
              <w:bidi w:val="0"/>
              <w:jc w:val="center"/>
              <w:textAlignment w:val="center"/>
              <w:rPr>
                <w:rFonts w:hint="default" w:ascii="仿宋" w:hAnsi="仿宋" w:eastAsia="仿宋" w:cs="仿宋"/>
                <w:i w:val="0"/>
                <w:iCs w:val="0"/>
                <w:snapToGrid w:val="0"/>
                <w:color w:val="000000"/>
                <w:kern w:val="0"/>
                <w:sz w:val="21"/>
                <w:szCs w:val="21"/>
                <w:highlight w:val="none"/>
                <w:u w:val="none"/>
                <w:lang w:val="en-US" w:eastAsia="zh-CN" w:bidi="ar"/>
              </w:rPr>
            </w:pPr>
            <w:r>
              <w:rPr>
                <w:rFonts w:hint="eastAsia" w:ascii="仿宋" w:hAnsi="仿宋" w:eastAsia="仿宋" w:cs="仿宋"/>
                <w:i w:val="0"/>
                <w:iCs w:val="0"/>
                <w:snapToGrid w:val="0"/>
                <w:color w:val="000000"/>
                <w:kern w:val="0"/>
                <w:sz w:val="21"/>
                <w:szCs w:val="21"/>
                <w:highlight w:val="none"/>
                <w:u w:val="none"/>
                <w:lang w:val="en-US" w:eastAsia="zh-CN" w:bidi="ar"/>
              </w:rPr>
              <w:t>5000</w:t>
            </w:r>
          </w:p>
        </w:tc>
        <w:tc>
          <w:tcPr>
            <w:tcW w:w="845" w:type="dxa"/>
            <w:vAlign w:val="center"/>
          </w:tcPr>
          <w:p w14:paraId="760352C9">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r w14:paraId="3630742C">
        <w:trPr>
          <w:trHeight w:val="394" w:hRule="atLeast"/>
          <w:jc w:val="center"/>
        </w:trPr>
        <w:tc>
          <w:tcPr>
            <w:tcW w:w="3753" w:type="dxa"/>
            <w:gridSpan w:val="4"/>
            <w:vAlign w:val="center"/>
          </w:tcPr>
          <w:p w14:paraId="3B2C08A2">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合计</w:t>
            </w:r>
          </w:p>
        </w:tc>
        <w:tc>
          <w:tcPr>
            <w:tcW w:w="553" w:type="dxa"/>
            <w:vAlign w:val="center"/>
          </w:tcPr>
          <w:p w14:paraId="011C3200">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w:t>
            </w:r>
          </w:p>
        </w:tc>
        <w:tc>
          <w:tcPr>
            <w:tcW w:w="947" w:type="dxa"/>
            <w:vAlign w:val="center"/>
          </w:tcPr>
          <w:p w14:paraId="1BBFDF7A">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098" w:type="dxa"/>
            <w:vAlign w:val="center"/>
          </w:tcPr>
          <w:p w14:paraId="2BE5ED88">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default"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12</w:t>
            </w:r>
          </w:p>
        </w:tc>
        <w:tc>
          <w:tcPr>
            <w:tcW w:w="1199" w:type="dxa"/>
            <w:vAlign w:val="center"/>
          </w:tcPr>
          <w:p w14:paraId="54D60015">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5000</w:t>
            </w:r>
          </w:p>
        </w:tc>
        <w:tc>
          <w:tcPr>
            <w:tcW w:w="845" w:type="dxa"/>
            <w:vAlign w:val="center"/>
          </w:tcPr>
          <w:p w14:paraId="3C62EB1F">
            <w:pPr>
              <w:pStyle w:val="35"/>
              <w:keepNext w:val="0"/>
              <w:keepLines w:val="0"/>
              <w:pageBreakBefore w:val="0"/>
              <w:widowControl/>
              <w:kinsoku/>
              <w:wordWrap w:val="0"/>
              <w:overflowPunct/>
              <w:topLinePunct w:val="0"/>
              <w:autoSpaceDE w:val="0"/>
              <w:autoSpaceDN w:val="0"/>
              <w:bidi w:val="0"/>
              <w:adjustRightInd w:val="0"/>
              <w:snapToGrid w:val="0"/>
              <w:spacing w:line="360" w:lineRule="auto"/>
              <w:ind w:left="0" w:leftChars="0" w:right="0" w:rightChars="0" w:firstLine="0" w:firstLineChars="0"/>
              <w:jc w:val="center"/>
              <w:textAlignment w:val="baseline"/>
              <w:outlineLvl w:val="9"/>
              <w:rPr>
                <w:rFonts w:hint="eastAsia" w:ascii="仿宋" w:hAnsi="仿宋" w:eastAsia="仿宋" w:cs="仿宋"/>
                <w:b/>
                <w:bCs/>
                <w:color w:val="auto"/>
                <w:spacing w:val="0"/>
                <w:position w:val="0"/>
                <w:sz w:val="21"/>
                <w:szCs w:val="21"/>
                <w:highlight w:val="none"/>
                <w:lang w:val="en-US" w:eastAsia="zh-CN"/>
              </w:rPr>
            </w:pPr>
            <w:r>
              <w:rPr>
                <w:rFonts w:hint="eastAsia" w:ascii="仿宋" w:hAnsi="仿宋" w:eastAsia="仿宋" w:cs="仿宋"/>
                <w:b/>
                <w:bCs/>
                <w:color w:val="auto"/>
                <w:spacing w:val="0"/>
                <w:position w:val="0"/>
                <w:sz w:val="21"/>
                <w:szCs w:val="21"/>
                <w:highlight w:val="none"/>
                <w:lang w:val="en-US" w:eastAsia="zh-CN"/>
              </w:rPr>
              <w:t>60000</w:t>
            </w:r>
          </w:p>
        </w:tc>
      </w:tr>
    </w:tbl>
    <w:p w14:paraId="743B0C22">
      <w:pPr>
        <w:pStyle w:val="30"/>
        <w:numPr>
          <w:ilvl w:val="0"/>
          <w:numId w:val="3"/>
        </w:numPr>
        <w:bidi w:val="0"/>
        <w:ind w:left="0" w:leftChars="0" w:firstLine="420" w:firstLineChars="0"/>
        <w:rPr>
          <w:rFonts w:hint="eastAsia"/>
          <w:highlight w:val="none"/>
          <w:lang w:val="en-US" w:eastAsia="zh-CN"/>
        </w:rPr>
      </w:pPr>
      <w:r>
        <w:rPr>
          <w:rFonts w:hint="eastAsia"/>
          <w:highlight w:val="none"/>
          <w:lang w:val="en-US" w:eastAsia="zh-CN"/>
        </w:rPr>
        <w:t>项目绩效管理</w:t>
      </w:r>
    </w:p>
    <w:tbl>
      <w:tblPr>
        <w:tblStyle w:val="7"/>
        <w:tblW w:w="0" w:type="auto"/>
        <w:tblInd w:w="96" w:type="dxa"/>
        <w:tblLayout w:type="autofit"/>
        <w:tblCellMar>
          <w:top w:w="0" w:type="dxa"/>
          <w:left w:w="108" w:type="dxa"/>
          <w:bottom w:w="0" w:type="dxa"/>
          <w:right w:w="108" w:type="dxa"/>
        </w:tblCellMar>
      </w:tblPr>
      <w:tblGrid>
        <w:gridCol w:w="884"/>
        <w:gridCol w:w="890"/>
        <w:gridCol w:w="1332"/>
        <w:gridCol w:w="3700"/>
        <w:gridCol w:w="1620"/>
      </w:tblGrid>
      <w:tr w14:paraId="75593EDF">
        <w:trPr>
          <w:trHeight w:val="350" w:hRule="atLeast"/>
        </w:trPr>
        <w:tc>
          <w:tcPr>
            <w:tcW w:w="0" w:type="auto"/>
            <w:gridSpan w:val="5"/>
            <w:tcBorders>
              <w:top w:val="single" w:color="000000" w:sz="4" w:space="0"/>
              <w:left w:val="single" w:color="000000" w:sz="4" w:space="0"/>
              <w:bottom w:val="single" w:color="000000" w:sz="4" w:space="0"/>
              <w:right w:val="single" w:color="000000" w:sz="4" w:space="0"/>
            </w:tcBorders>
            <w:vAlign w:val="center"/>
          </w:tcPr>
          <w:p w14:paraId="18B3FD7E">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b/>
                <w:bCs/>
                <w:color w:val="auto"/>
                <w:sz w:val="28"/>
                <w:szCs w:val="28"/>
                <w:highlight w:val="none"/>
              </w:rPr>
            </w:pPr>
            <w:r>
              <w:rPr>
                <w:rFonts w:hint="eastAsia" w:ascii="仿宋" w:hAnsi="仿宋" w:eastAsia="仿宋" w:cs="仿宋"/>
                <w:b/>
                <w:bCs/>
                <w:color w:val="auto"/>
                <w:kern w:val="0"/>
                <w:sz w:val="28"/>
                <w:szCs w:val="28"/>
                <w:highlight w:val="none"/>
                <w:lang w:val="en-US" w:eastAsia="zh-CN" w:bidi="ar"/>
              </w:rPr>
              <w:t>通辽市专家评审（勘验）管理系统运维服务项目</w:t>
            </w:r>
            <w:r>
              <w:rPr>
                <w:rFonts w:hint="eastAsia" w:ascii="仿宋" w:hAnsi="仿宋" w:eastAsia="仿宋" w:cs="仿宋"/>
                <w:b/>
                <w:bCs/>
                <w:color w:val="auto"/>
                <w:kern w:val="0"/>
                <w:sz w:val="28"/>
                <w:szCs w:val="28"/>
                <w:highlight w:val="none"/>
                <w:lang w:bidi="ar"/>
              </w:rPr>
              <w:t>绩效目标表</w:t>
            </w:r>
          </w:p>
        </w:tc>
      </w:tr>
      <w:tr w14:paraId="2C500B6F">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10F4039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项目名称</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F8439C7">
            <w:pPr>
              <w:pageBreakBefore w:val="0"/>
              <w:widowControl/>
              <w:kinsoku/>
              <w:wordWrap w:val="0"/>
              <w:overflowPunct/>
              <w:topLinePunct w:val="0"/>
              <w:bidi w:val="0"/>
              <w:spacing w:line="360" w:lineRule="auto"/>
              <w:ind w:firstLine="562"/>
              <w:jc w:val="center"/>
              <w:textAlignment w:val="center"/>
              <w:rPr>
                <w:rFonts w:hint="eastAsia" w:ascii="仿宋" w:hAnsi="仿宋" w:eastAsia="仿宋" w:cs="仿宋"/>
                <w:color w:val="auto"/>
                <w:sz w:val="22"/>
                <w:szCs w:val="22"/>
                <w:highlight w:val="none"/>
              </w:rPr>
            </w:pPr>
            <w:r>
              <w:rPr>
                <w:rFonts w:hint="eastAsia" w:ascii="仿宋" w:hAnsi="仿宋" w:eastAsia="仿宋" w:cs="仿宋"/>
                <w:b/>
                <w:bCs/>
                <w:color w:val="auto"/>
                <w:kern w:val="0"/>
                <w:sz w:val="28"/>
                <w:szCs w:val="28"/>
                <w:highlight w:val="none"/>
                <w:lang w:val="en-US" w:eastAsia="zh-CN" w:bidi="ar"/>
              </w:rPr>
              <w:t>通辽市专家评审（勘验）管理系统运维服务项目</w:t>
            </w:r>
          </w:p>
        </w:tc>
      </w:tr>
      <w:tr w14:paraId="6901A91B">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3083C8A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实施单位</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021DB646">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kern w:val="0"/>
                <w:sz w:val="22"/>
                <w:szCs w:val="22"/>
                <w:highlight w:val="none"/>
                <w:lang w:val="en-US" w:eastAsia="zh-CN" w:bidi="ar"/>
              </w:rPr>
              <w:t>通辽市政务服务中心</w:t>
            </w:r>
          </w:p>
        </w:tc>
      </w:tr>
      <w:tr w14:paraId="5332A9D5">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2054A6B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投入目标</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6EBEFB55">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资金来源</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70A027E">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年初安排金额（万元）</w:t>
            </w:r>
          </w:p>
        </w:tc>
      </w:tr>
      <w:tr w14:paraId="26A721D7">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420394E3">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（万元）</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28EDCFC6">
            <w:pPr>
              <w:pageBreakBefore w:val="0"/>
              <w:widowControl/>
              <w:kinsoku/>
              <w:wordWrap w:val="0"/>
              <w:overflowPunct/>
              <w:topLinePunct w:val="0"/>
              <w:bidi w:val="0"/>
              <w:spacing w:line="360" w:lineRule="auto"/>
              <w:ind w:firstLine="440"/>
              <w:jc w:val="center"/>
              <w:textAlignment w:val="center"/>
              <w:rPr>
                <w:rFonts w:hint="eastAsia" w:ascii="仿宋" w:hAnsi="仿宋" w:eastAsia="仿宋" w:cs="仿宋"/>
                <w:color w:val="auto"/>
                <w:sz w:val="22"/>
                <w:szCs w:val="22"/>
                <w:highlight w:val="none"/>
              </w:rPr>
            </w:pPr>
            <w:r>
              <w:rPr>
                <w:rFonts w:hint="eastAsia" w:ascii="仿宋" w:hAnsi="仿宋" w:eastAsia="仿宋" w:cs="仿宋"/>
                <w:color w:val="auto"/>
                <w:kern w:val="0"/>
                <w:sz w:val="22"/>
                <w:szCs w:val="22"/>
                <w:highlight w:val="none"/>
                <w:lang w:bidi="ar"/>
              </w:rPr>
              <w:t>资金总额</w:t>
            </w:r>
          </w:p>
        </w:tc>
        <w:tc>
          <w:tcPr>
            <w:tcW w:w="0" w:type="auto"/>
            <w:gridSpan w:val="2"/>
            <w:tcBorders>
              <w:top w:val="single" w:color="000000" w:sz="4" w:space="0"/>
              <w:left w:val="single" w:color="000000" w:sz="4" w:space="0"/>
              <w:bottom w:val="single" w:color="000000" w:sz="4" w:space="0"/>
              <w:right w:val="single" w:color="000000" w:sz="4" w:space="0"/>
            </w:tcBorders>
            <w:vAlign w:val="center"/>
          </w:tcPr>
          <w:p w14:paraId="0EE4781E">
            <w:pPr>
              <w:pageBreakBefore w:val="0"/>
              <w:widowControl/>
              <w:kinsoku/>
              <w:wordWrap w:val="0"/>
              <w:overflowPunct/>
              <w:topLinePunct w:val="0"/>
              <w:bidi w:val="0"/>
              <w:spacing w:line="360" w:lineRule="auto"/>
              <w:ind w:firstLine="440"/>
              <w:jc w:val="center"/>
              <w:textAlignment w:val="center"/>
              <w:rPr>
                <w:rFonts w:hint="default" w:ascii="仿宋" w:hAnsi="仿宋" w:eastAsia="仿宋" w:cs="仿宋"/>
                <w:color w:val="auto"/>
                <w:sz w:val="22"/>
                <w:szCs w:val="22"/>
                <w:highlight w:val="none"/>
                <w:lang w:val="en-US" w:eastAsia="zh-CN"/>
              </w:rPr>
            </w:pPr>
            <w:r>
              <w:rPr>
                <w:rFonts w:hint="eastAsia" w:ascii="仿宋" w:hAnsi="仿宋" w:eastAsia="仿宋" w:cs="仿宋"/>
                <w:color w:val="auto"/>
                <w:sz w:val="22"/>
                <w:szCs w:val="22"/>
                <w:highlight w:val="none"/>
                <w:lang w:val="en-US" w:eastAsia="zh-CN"/>
              </w:rPr>
              <w:t>12</w:t>
            </w:r>
          </w:p>
        </w:tc>
      </w:tr>
      <w:tr w14:paraId="4C0C66AF">
        <w:trPr>
          <w:trHeight w:val="560" w:hRule="atLeast"/>
        </w:trPr>
        <w:tc>
          <w:tcPr>
            <w:tcW w:w="0" w:type="auto"/>
            <w:tcBorders>
              <w:top w:val="single" w:color="000000" w:sz="4" w:space="0"/>
              <w:left w:val="single" w:color="000000" w:sz="4" w:space="0"/>
              <w:bottom w:val="single" w:color="000000" w:sz="4" w:space="0"/>
              <w:right w:val="single" w:color="000000" w:sz="4" w:space="0"/>
            </w:tcBorders>
            <w:vAlign w:val="center"/>
          </w:tcPr>
          <w:p w14:paraId="569B8C9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年度目标</w:t>
            </w:r>
          </w:p>
        </w:tc>
        <w:tc>
          <w:tcPr>
            <w:tcW w:w="0" w:type="auto"/>
            <w:gridSpan w:val="4"/>
            <w:tcBorders>
              <w:top w:val="single" w:color="000000" w:sz="4" w:space="0"/>
              <w:left w:val="single" w:color="000000" w:sz="4" w:space="0"/>
              <w:bottom w:val="single" w:color="000000" w:sz="4" w:space="0"/>
              <w:right w:val="single" w:color="000000" w:sz="4" w:space="0"/>
            </w:tcBorders>
            <w:vAlign w:val="center"/>
          </w:tcPr>
          <w:p w14:paraId="1372B294">
            <w:pPr>
              <w:pageBreakBefore w:val="0"/>
              <w:widowControl/>
              <w:kinsoku/>
              <w:wordWrap w:val="0"/>
              <w:overflowPunct/>
              <w:topLinePunct w:val="0"/>
              <w:bidi w:val="0"/>
              <w:spacing w:line="360" w:lineRule="auto"/>
              <w:rPr>
                <w:rFonts w:hint="eastAsia" w:ascii="仿宋" w:hAnsi="仿宋" w:eastAsia="仿宋" w:cs="仿宋"/>
                <w:color w:val="auto"/>
                <w:sz w:val="21"/>
                <w:highlight w:val="none"/>
              </w:rPr>
            </w:pPr>
            <w:r>
              <w:rPr>
                <w:rFonts w:hint="eastAsia" w:ascii="仿宋" w:hAnsi="仿宋" w:eastAsia="仿宋" w:cs="仿宋"/>
                <w:color w:val="auto"/>
                <w:kern w:val="0"/>
                <w:sz w:val="22"/>
                <w:szCs w:val="22"/>
                <w:highlight w:val="none"/>
                <w:lang w:bidi="ar"/>
              </w:rPr>
              <w:t>保障</w:t>
            </w:r>
            <w:r>
              <w:rPr>
                <w:rFonts w:hint="eastAsia" w:ascii="仿宋" w:hAnsi="仿宋" w:eastAsia="仿宋" w:cs="仿宋"/>
                <w:color w:val="auto"/>
                <w:kern w:val="0"/>
                <w:sz w:val="22"/>
                <w:szCs w:val="22"/>
                <w:highlight w:val="none"/>
                <w:lang w:val="en-US" w:eastAsia="zh-CN" w:bidi="ar"/>
              </w:rPr>
              <w:t>专家评审（勘验）管理系统</w:t>
            </w:r>
            <w:r>
              <w:rPr>
                <w:rFonts w:hint="eastAsia" w:ascii="仿宋" w:hAnsi="仿宋" w:eastAsia="仿宋" w:cs="仿宋"/>
                <w:color w:val="auto"/>
                <w:kern w:val="0"/>
                <w:sz w:val="22"/>
                <w:szCs w:val="22"/>
                <w:highlight w:val="none"/>
                <w:lang w:bidi="ar"/>
              </w:rPr>
              <w:t>安全稳定运行</w:t>
            </w:r>
            <w:r>
              <w:rPr>
                <w:rFonts w:hint="eastAsia" w:ascii="仿宋" w:hAnsi="仿宋" w:eastAsia="仿宋" w:cs="仿宋"/>
                <w:color w:val="auto"/>
                <w:kern w:val="0"/>
                <w:sz w:val="22"/>
                <w:szCs w:val="22"/>
                <w:highlight w:val="none"/>
                <w:lang w:eastAsia="zh-CN" w:bidi="ar"/>
              </w:rPr>
              <w:t>，</w:t>
            </w:r>
            <w:r>
              <w:rPr>
                <w:rFonts w:hint="eastAsia" w:ascii="仿宋" w:hAnsi="仿宋" w:eastAsia="仿宋" w:cs="仿宋"/>
                <w:color w:val="auto"/>
                <w:kern w:val="0"/>
                <w:sz w:val="22"/>
                <w:szCs w:val="22"/>
                <w:highlight w:val="none"/>
                <w:lang w:val="en-US" w:eastAsia="zh-CN" w:bidi="ar"/>
              </w:rPr>
              <w:t>保障系统各项功能正常使用。</w:t>
            </w:r>
          </w:p>
        </w:tc>
      </w:tr>
      <w:tr w14:paraId="17D7CCAC">
        <w:trPr>
          <w:trHeight w:val="280" w:hRule="atLeast"/>
        </w:trPr>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2E1E60E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绩效指标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C3DEB5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一级指标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C669CF7">
            <w:pPr>
              <w:pageBreakBefore w:val="0"/>
              <w:widowControl/>
              <w:kinsoku/>
              <w:wordWrap w:val="0"/>
              <w:overflowPunct/>
              <w:topLinePunct w:val="0"/>
              <w:bidi w:val="0"/>
              <w:spacing w:line="360" w:lineRule="auto"/>
              <w:ind w:firstLine="442"/>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二级指标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A737174">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三级指标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42817015">
            <w:pPr>
              <w:pageBreakBefore w:val="0"/>
              <w:widowControl/>
              <w:kinsoku/>
              <w:wordWrap w:val="0"/>
              <w:overflowPunct/>
              <w:topLinePunct w:val="0"/>
              <w:bidi w:val="0"/>
              <w:spacing w:line="360" w:lineRule="auto"/>
              <w:jc w:val="center"/>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目标值</w:t>
            </w:r>
          </w:p>
        </w:tc>
      </w:tr>
      <w:tr w14:paraId="22A94E50">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B65871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single" w:color="000000" w:sz="4" w:space="0"/>
              <w:right w:val="single" w:color="000000" w:sz="4" w:space="0"/>
            </w:tcBorders>
            <w:vAlign w:val="center"/>
          </w:tcPr>
          <w:p w14:paraId="04EEA6B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产出指标</w:t>
            </w:r>
          </w:p>
        </w:tc>
        <w:tc>
          <w:tcPr>
            <w:tcW w:w="0" w:type="auto"/>
            <w:vMerge w:val="restart"/>
            <w:tcBorders>
              <w:top w:val="single" w:color="000000" w:sz="4" w:space="0"/>
              <w:left w:val="single" w:color="000000" w:sz="4" w:space="0"/>
              <w:right w:val="single" w:color="000000" w:sz="4" w:space="0"/>
            </w:tcBorders>
            <w:vAlign w:val="center"/>
          </w:tcPr>
          <w:p w14:paraId="465B9C6B">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数量指标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57970634">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现场巡检服务次数</w:t>
            </w:r>
          </w:p>
        </w:tc>
        <w:tc>
          <w:tcPr>
            <w:tcW w:w="0" w:type="auto"/>
            <w:tcBorders>
              <w:top w:val="single" w:color="000000" w:sz="4" w:space="0"/>
              <w:left w:val="single" w:color="000000" w:sz="4" w:space="0"/>
              <w:bottom w:val="single" w:color="000000" w:sz="4" w:space="0"/>
              <w:right w:val="single" w:color="000000" w:sz="4" w:space="0"/>
            </w:tcBorders>
            <w:vAlign w:val="center"/>
          </w:tcPr>
          <w:p w14:paraId="59F0D680">
            <w:pPr>
              <w:pageBreakBefore w:val="0"/>
              <w:widowControl/>
              <w:kinsoku/>
              <w:wordWrap w:val="0"/>
              <w:overflowPunct/>
              <w:topLinePunct w:val="0"/>
              <w:bidi w:val="0"/>
              <w:spacing w:line="360" w:lineRule="auto"/>
              <w:ind w:firstLine="0" w:firstLineChars="0"/>
              <w:textAlignment w:val="center"/>
              <w:rPr>
                <w:rFonts w:hint="default" w:ascii="仿宋" w:hAnsi="仿宋" w:eastAsia="仿宋" w:cs="仿宋"/>
                <w:b w:val="0"/>
                <w:bCs w:val="0"/>
                <w:color w:val="auto"/>
                <w:kern w:val="0"/>
                <w:sz w:val="22"/>
                <w:szCs w:val="22"/>
                <w:highlight w:val="none"/>
                <w:lang w:val="en-US" w:bidi="ar"/>
              </w:rPr>
            </w:pPr>
            <w:r>
              <w:rPr>
                <w:rFonts w:hint="eastAsia" w:ascii="仿宋" w:hAnsi="仿宋" w:eastAsia="仿宋" w:cs="仿宋"/>
                <w:b w:val="0"/>
                <w:bCs w:val="0"/>
                <w:color w:val="auto"/>
                <w:kern w:val="0"/>
                <w:sz w:val="22"/>
                <w:szCs w:val="22"/>
                <w:highlight w:val="none"/>
                <w:lang w:val="en-US" w:eastAsia="zh-CN" w:bidi="ar"/>
              </w:rPr>
              <w:t>不少于12次现场巡检服务</w:t>
            </w:r>
          </w:p>
        </w:tc>
      </w:tr>
      <w:tr w14:paraId="7ECCEEB0">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968323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D2C8F1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left w:val="single" w:color="000000" w:sz="4" w:space="0"/>
              <w:bottom w:val="nil"/>
              <w:right w:val="single" w:color="000000" w:sz="4" w:space="0"/>
            </w:tcBorders>
            <w:vAlign w:val="center"/>
          </w:tcPr>
          <w:p w14:paraId="78DCD86D">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F9747B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服务人次</w:t>
            </w:r>
          </w:p>
        </w:tc>
        <w:tc>
          <w:tcPr>
            <w:tcW w:w="0" w:type="auto"/>
            <w:tcBorders>
              <w:top w:val="single" w:color="000000" w:sz="4" w:space="0"/>
              <w:left w:val="single" w:color="000000" w:sz="4" w:space="0"/>
              <w:bottom w:val="single" w:color="000000" w:sz="4" w:space="0"/>
              <w:right w:val="single" w:color="000000" w:sz="4" w:space="0"/>
            </w:tcBorders>
            <w:vAlign w:val="center"/>
          </w:tcPr>
          <w:p w14:paraId="3093F7D4">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2000人次/年</w:t>
            </w:r>
          </w:p>
        </w:tc>
      </w:tr>
      <w:tr w14:paraId="143CA697">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1B2BC3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70B4B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03A566D">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质量指标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750DE7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项目验收</w:t>
            </w:r>
          </w:p>
        </w:tc>
        <w:tc>
          <w:tcPr>
            <w:tcW w:w="0" w:type="auto"/>
            <w:tcBorders>
              <w:top w:val="single" w:color="000000" w:sz="4" w:space="0"/>
              <w:left w:val="single" w:color="000000" w:sz="4" w:space="0"/>
              <w:bottom w:val="single" w:color="000000" w:sz="4" w:space="0"/>
              <w:right w:val="single" w:color="000000" w:sz="4" w:space="0"/>
            </w:tcBorders>
            <w:vAlign w:val="center"/>
          </w:tcPr>
          <w:p w14:paraId="1A213D1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合格</w:t>
            </w:r>
          </w:p>
        </w:tc>
      </w:tr>
      <w:tr w14:paraId="524746AE">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5B7CE39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A59C5A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1B7F104">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859A41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项目建设管理环节的规范性</w:t>
            </w:r>
          </w:p>
        </w:tc>
        <w:tc>
          <w:tcPr>
            <w:tcW w:w="0" w:type="auto"/>
            <w:tcBorders>
              <w:top w:val="single" w:color="000000" w:sz="4" w:space="0"/>
              <w:left w:val="single" w:color="000000" w:sz="4" w:space="0"/>
              <w:bottom w:val="single" w:color="000000" w:sz="4" w:space="0"/>
              <w:right w:val="single" w:color="000000" w:sz="4" w:space="0"/>
            </w:tcBorders>
            <w:vAlign w:val="center"/>
          </w:tcPr>
          <w:p w14:paraId="15161680">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合规</w:t>
            </w:r>
          </w:p>
        </w:tc>
      </w:tr>
      <w:tr w14:paraId="26A75415">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E96ECA">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D08B78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2B9020F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297BE738">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第三方服务质量达标情况</w:t>
            </w:r>
          </w:p>
        </w:tc>
        <w:tc>
          <w:tcPr>
            <w:tcW w:w="0" w:type="auto"/>
            <w:tcBorders>
              <w:top w:val="single" w:color="000000" w:sz="4" w:space="0"/>
              <w:left w:val="single" w:color="000000" w:sz="4" w:space="0"/>
              <w:bottom w:val="single" w:color="000000" w:sz="4" w:space="0"/>
              <w:right w:val="single" w:color="000000" w:sz="4" w:space="0"/>
            </w:tcBorders>
            <w:vAlign w:val="center"/>
          </w:tcPr>
          <w:p w14:paraId="0AD51CB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符合合同约定</w:t>
            </w:r>
          </w:p>
        </w:tc>
      </w:tr>
      <w:tr w14:paraId="16D596CB">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8C8B635">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4F0CB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0EA7B425">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时效指标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37FE13E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响应时间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0AD0EF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val="en-US" w:eastAsia="zh-CN" w:bidi="ar"/>
              </w:rPr>
            </w:pPr>
            <w:r>
              <w:rPr>
                <w:rFonts w:hint="eastAsia" w:ascii="仿宋" w:hAnsi="仿宋" w:eastAsia="仿宋" w:cs="仿宋"/>
                <w:b w:val="0"/>
                <w:bCs w:val="0"/>
                <w:color w:val="auto"/>
                <w:kern w:val="0"/>
                <w:sz w:val="22"/>
                <w:szCs w:val="22"/>
                <w:highlight w:val="none"/>
                <w:lang w:val="en-US" w:eastAsia="zh-CN" w:bidi="ar"/>
              </w:rPr>
              <w:t>提供7*24小时服务</w:t>
            </w:r>
          </w:p>
        </w:tc>
      </w:tr>
      <w:tr w14:paraId="1A79BD7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EDF642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5FF1487">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15AEFCD9">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0CD8A4D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系统平均年故障时间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6884F52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≤24小时</w:t>
            </w:r>
          </w:p>
        </w:tc>
      </w:tr>
      <w:tr w14:paraId="2719DE17">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61B839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135C3590">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3E5957B6">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4165E9C7">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完成项目验收时间</w:t>
            </w:r>
          </w:p>
        </w:tc>
        <w:tc>
          <w:tcPr>
            <w:tcW w:w="0" w:type="auto"/>
            <w:tcBorders>
              <w:top w:val="single" w:color="000000" w:sz="4" w:space="0"/>
              <w:left w:val="single" w:color="000000" w:sz="4" w:space="0"/>
              <w:bottom w:val="single" w:color="000000" w:sz="4" w:space="0"/>
              <w:right w:val="single" w:color="000000" w:sz="4" w:space="0"/>
            </w:tcBorders>
            <w:vAlign w:val="center"/>
          </w:tcPr>
          <w:p w14:paraId="44A2E1A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满足合同时间要求</w:t>
            </w:r>
          </w:p>
        </w:tc>
      </w:tr>
      <w:tr w14:paraId="595090F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E2AAB6E">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E34586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12FD9AC1">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成本指标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118DC259">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项目总成本</w:t>
            </w:r>
          </w:p>
        </w:tc>
        <w:tc>
          <w:tcPr>
            <w:tcW w:w="0" w:type="auto"/>
            <w:tcBorders>
              <w:top w:val="single" w:color="000000" w:sz="4" w:space="0"/>
              <w:left w:val="single" w:color="000000" w:sz="4" w:space="0"/>
              <w:bottom w:val="single" w:color="000000" w:sz="4" w:space="0"/>
              <w:right w:val="single" w:color="000000" w:sz="4" w:space="0"/>
            </w:tcBorders>
            <w:vAlign w:val="center"/>
          </w:tcPr>
          <w:p w14:paraId="60CC6E9F">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val="0"/>
                <w:bCs w:val="0"/>
                <w:color w:val="auto"/>
                <w:kern w:val="0"/>
                <w:sz w:val="22"/>
                <w:szCs w:val="22"/>
                <w:highlight w:val="none"/>
                <w:lang w:bidi="ar"/>
              </w:rPr>
            </w:pPr>
            <w:r>
              <w:rPr>
                <w:rFonts w:hint="eastAsia" w:ascii="仿宋" w:hAnsi="仿宋" w:eastAsia="仿宋" w:cs="仿宋"/>
                <w:b w:val="0"/>
                <w:bCs w:val="0"/>
                <w:color w:val="auto"/>
                <w:kern w:val="0"/>
                <w:sz w:val="22"/>
                <w:szCs w:val="22"/>
                <w:highlight w:val="none"/>
                <w:lang w:val="en-US" w:eastAsia="zh-CN" w:bidi="ar"/>
              </w:rPr>
              <w:t>≤24万元</w:t>
            </w:r>
          </w:p>
        </w:tc>
      </w:tr>
      <w:tr w14:paraId="7DED2035">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80B064F">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restart"/>
            <w:tcBorders>
              <w:top w:val="single" w:color="000000" w:sz="4" w:space="0"/>
              <w:left w:val="single" w:color="000000" w:sz="4" w:space="0"/>
              <w:bottom w:val="nil"/>
              <w:right w:val="single" w:color="000000" w:sz="4" w:space="0"/>
            </w:tcBorders>
            <w:vAlign w:val="center"/>
          </w:tcPr>
          <w:p w14:paraId="52B2FF3C">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效益指标</w:t>
            </w:r>
          </w:p>
        </w:tc>
        <w:tc>
          <w:tcPr>
            <w:tcW w:w="0" w:type="auto"/>
            <w:tcBorders>
              <w:top w:val="single" w:color="000000" w:sz="4" w:space="0"/>
              <w:left w:val="single" w:color="000000" w:sz="4" w:space="0"/>
              <w:bottom w:val="nil"/>
              <w:right w:val="single" w:color="000000" w:sz="4" w:space="0"/>
            </w:tcBorders>
            <w:vAlign w:val="center"/>
          </w:tcPr>
          <w:p w14:paraId="377952A6">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社会效益</w:t>
            </w:r>
          </w:p>
        </w:tc>
        <w:tc>
          <w:tcPr>
            <w:tcW w:w="0" w:type="auto"/>
            <w:tcBorders>
              <w:top w:val="single" w:color="000000" w:sz="4" w:space="0"/>
              <w:left w:val="single" w:color="000000" w:sz="4" w:space="0"/>
              <w:bottom w:val="single" w:color="000000" w:sz="4" w:space="0"/>
              <w:right w:val="single" w:color="000000" w:sz="4" w:space="0"/>
            </w:tcBorders>
            <w:vAlign w:val="center"/>
          </w:tcPr>
          <w:p w14:paraId="3FD25EB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对提高行政审批效率的改善及业务受理服务效能</w:t>
            </w:r>
          </w:p>
        </w:tc>
        <w:tc>
          <w:tcPr>
            <w:tcW w:w="0" w:type="auto"/>
            <w:tcBorders>
              <w:top w:val="single" w:color="000000" w:sz="4" w:space="0"/>
              <w:left w:val="single" w:color="000000" w:sz="4" w:space="0"/>
              <w:bottom w:val="single" w:color="000000" w:sz="4" w:space="0"/>
              <w:right w:val="single" w:color="000000" w:sz="4" w:space="0"/>
            </w:tcBorders>
            <w:vAlign w:val="center"/>
          </w:tcPr>
          <w:p w14:paraId="3584CB7C">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有效提升</w:t>
            </w:r>
          </w:p>
        </w:tc>
      </w:tr>
      <w:tr w14:paraId="7A59A162">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6F258942">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vMerge w:val="continue"/>
            <w:tcBorders>
              <w:top w:val="single" w:color="000000" w:sz="4" w:space="0"/>
              <w:left w:val="single" w:color="000000" w:sz="4" w:space="0"/>
              <w:bottom w:val="nil"/>
              <w:right w:val="single" w:color="000000" w:sz="4" w:space="0"/>
            </w:tcBorders>
            <w:vAlign w:val="center"/>
          </w:tcPr>
          <w:p w14:paraId="0FAE6E6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nil"/>
              <w:right w:val="single" w:color="000000" w:sz="4" w:space="0"/>
            </w:tcBorders>
            <w:vAlign w:val="center"/>
          </w:tcPr>
          <w:p w14:paraId="51614952">
            <w:pPr>
              <w:pageBreakBefore w:val="0"/>
              <w:widowControl/>
              <w:kinsoku/>
              <w:wordWrap w:val="0"/>
              <w:overflowPunct/>
              <w:topLinePunct w:val="0"/>
              <w:bidi w:val="0"/>
              <w:spacing w:line="360" w:lineRule="auto"/>
              <w:ind w:firstLine="0" w:firstLineChars="0"/>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可持续影响指标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29561303">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对持续有效提高业务处理效率，全面提升业务处理能力的影响程度</w:t>
            </w:r>
          </w:p>
        </w:tc>
        <w:tc>
          <w:tcPr>
            <w:tcW w:w="0" w:type="auto"/>
            <w:tcBorders>
              <w:top w:val="single" w:color="000000" w:sz="4" w:space="0"/>
              <w:left w:val="single" w:color="000000" w:sz="4" w:space="0"/>
              <w:bottom w:val="single" w:color="000000" w:sz="4" w:space="0"/>
              <w:right w:val="single" w:color="000000" w:sz="4" w:space="0"/>
            </w:tcBorders>
            <w:vAlign w:val="center"/>
          </w:tcPr>
          <w:p w14:paraId="1DF46239">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程度明显</w:t>
            </w:r>
          </w:p>
        </w:tc>
      </w:tr>
      <w:tr w14:paraId="08BAF83D">
        <w:trPr>
          <w:trHeight w:val="280"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4369EF9B">
            <w:pPr>
              <w:pageBreakBefore w:val="0"/>
              <w:widowControl/>
              <w:kinsoku/>
              <w:wordWrap w:val="0"/>
              <w:overflowPunct/>
              <w:topLinePunct w:val="0"/>
              <w:bidi w:val="0"/>
              <w:spacing w:line="360" w:lineRule="auto"/>
              <w:ind w:firstLine="442"/>
              <w:jc w:val="center"/>
              <w:rPr>
                <w:rFonts w:hint="eastAsia" w:ascii="仿宋" w:hAnsi="仿宋" w:eastAsia="仿宋" w:cs="仿宋"/>
                <w:b/>
                <w:bCs/>
                <w:color w:val="auto"/>
                <w:sz w:val="22"/>
                <w:szCs w:val="22"/>
                <w:highlight w:val="none"/>
              </w:rPr>
            </w:pPr>
          </w:p>
        </w:tc>
        <w:tc>
          <w:tcPr>
            <w:tcW w:w="0" w:type="auto"/>
            <w:tcBorders>
              <w:top w:val="single" w:color="000000" w:sz="4" w:space="0"/>
              <w:left w:val="single" w:color="000000" w:sz="4" w:space="0"/>
              <w:bottom w:val="single" w:color="000000" w:sz="4" w:space="0"/>
              <w:right w:val="single" w:color="000000" w:sz="4" w:space="0"/>
            </w:tcBorders>
            <w:vAlign w:val="center"/>
          </w:tcPr>
          <w:p w14:paraId="39D4EE3F">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满意度指标</w:t>
            </w:r>
          </w:p>
        </w:tc>
        <w:tc>
          <w:tcPr>
            <w:tcW w:w="0" w:type="auto"/>
            <w:tcBorders>
              <w:top w:val="single" w:color="000000" w:sz="4" w:space="0"/>
              <w:left w:val="single" w:color="000000" w:sz="4" w:space="0"/>
              <w:bottom w:val="single" w:color="000000" w:sz="4" w:space="0"/>
              <w:right w:val="single" w:color="000000" w:sz="4" w:space="0"/>
            </w:tcBorders>
            <w:vAlign w:val="center"/>
          </w:tcPr>
          <w:p w14:paraId="65CA8201">
            <w:pPr>
              <w:pageBreakBefore w:val="0"/>
              <w:widowControl/>
              <w:kinsoku/>
              <w:wordWrap w:val="0"/>
              <w:overflowPunct/>
              <w:topLinePunct w:val="0"/>
              <w:bidi w:val="0"/>
              <w:spacing w:line="360" w:lineRule="auto"/>
              <w:ind w:firstLine="0" w:firstLineChars="0"/>
              <w:jc w:val="left"/>
              <w:textAlignment w:val="center"/>
              <w:rPr>
                <w:rFonts w:hint="eastAsia" w:ascii="仿宋" w:hAnsi="仿宋" w:eastAsia="仿宋" w:cs="仿宋"/>
                <w:b/>
                <w:bCs/>
                <w:color w:val="auto"/>
                <w:sz w:val="22"/>
                <w:szCs w:val="22"/>
                <w:highlight w:val="none"/>
              </w:rPr>
            </w:pPr>
            <w:r>
              <w:rPr>
                <w:rFonts w:hint="eastAsia" w:ascii="仿宋" w:hAnsi="仿宋" w:eastAsia="仿宋" w:cs="仿宋"/>
                <w:b/>
                <w:bCs/>
                <w:color w:val="auto"/>
                <w:kern w:val="0"/>
                <w:sz w:val="22"/>
                <w:szCs w:val="22"/>
                <w:highlight w:val="none"/>
                <w:lang w:bidi="ar"/>
              </w:rPr>
              <w:t>服务对象满意度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032C1AA2">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办事群众满意度</w:t>
            </w:r>
          </w:p>
        </w:tc>
        <w:tc>
          <w:tcPr>
            <w:tcW w:w="0" w:type="auto"/>
            <w:tcBorders>
              <w:top w:val="single" w:color="000000" w:sz="4" w:space="0"/>
              <w:left w:val="single" w:color="000000" w:sz="4" w:space="0"/>
              <w:bottom w:val="single" w:color="000000" w:sz="4" w:space="0"/>
              <w:right w:val="single" w:color="000000" w:sz="4" w:space="0"/>
            </w:tcBorders>
            <w:vAlign w:val="center"/>
          </w:tcPr>
          <w:p w14:paraId="48045807">
            <w:pPr>
              <w:pStyle w:val="36"/>
              <w:keepNext w:val="0"/>
              <w:keepLines w:val="0"/>
              <w:pageBreakBefore w:val="0"/>
              <w:widowControl/>
              <w:suppressLineNumbers w:val="0"/>
              <w:kinsoku/>
              <w:wordWrap w:val="0"/>
              <w:overflowPunct/>
              <w:topLinePunct w:val="0"/>
              <w:bidi w:val="0"/>
              <w:spacing w:before="0" w:beforeAutospacing="0" w:after="0" w:afterAutospacing="0" w:line="360" w:lineRule="auto"/>
              <w:ind w:left="0" w:leftChars="0" w:right="0" w:rightChars="0"/>
              <w:jc w:val="both"/>
              <w:rPr>
                <w:rFonts w:hint="eastAsia" w:ascii="仿宋" w:hAnsi="仿宋" w:eastAsia="仿宋" w:cs="仿宋"/>
                <w:b w:val="0"/>
                <w:bCs w:val="0"/>
                <w:snapToGrid w:val="0"/>
                <w:color w:val="auto"/>
                <w:kern w:val="0"/>
                <w:sz w:val="22"/>
                <w:szCs w:val="22"/>
                <w:highlight w:val="none"/>
                <w:lang w:val="en-US" w:eastAsia="en-US" w:bidi="ar"/>
              </w:rPr>
            </w:pPr>
            <w:r>
              <w:rPr>
                <w:rFonts w:hint="eastAsia" w:ascii="仿宋" w:hAnsi="仿宋" w:eastAsia="仿宋" w:cs="仿宋"/>
                <w:b w:val="0"/>
                <w:bCs w:val="0"/>
                <w:snapToGrid w:val="0"/>
                <w:color w:val="auto"/>
                <w:kern w:val="0"/>
                <w:sz w:val="22"/>
                <w:szCs w:val="22"/>
                <w:highlight w:val="none"/>
                <w:lang w:val="en-US" w:eastAsia="zh-CN" w:bidi="ar"/>
              </w:rPr>
              <w:t>≥95%</w:t>
            </w:r>
          </w:p>
        </w:tc>
      </w:tr>
    </w:tbl>
    <w:p w14:paraId="3566BC07">
      <w:pPr>
        <w:pStyle w:val="29"/>
        <w:bidi w:val="0"/>
        <w:ind w:left="0" w:leftChars="0" w:firstLine="0" w:firstLineChars="0"/>
        <w:rPr>
          <w:rFonts w:hint="eastAsia"/>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仿宋">
    <w:altName w:val="方正仿宋_GBK"/>
    <w:panose1 w:val="02010609060101010101"/>
    <w:charset w:val="86"/>
    <w:family w:val="auto"/>
    <w:pitch w:val="default"/>
    <w:sig w:usb0="00000000" w:usb1="00000000" w:usb2="00000016" w:usb3="00000000" w:csb0="00040001" w:csb1="00000000"/>
  </w:font>
  <w:font w:name="Kaiti SC">
    <w:panose1 w:val="02010600040101010101"/>
    <w:charset w:val="86"/>
    <w:family w:val="auto"/>
    <w:pitch w:val="default"/>
    <w:sig w:usb0="80000287" w:usb1="280F3C52" w:usb2="00000016" w:usb3="00000000" w:csb0="0004001F" w:csb1="00000000"/>
  </w:font>
  <w:font w:name="Heiti SC Medium">
    <w:panose1 w:val="02000000000000000000"/>
    <w:charset w:val="86"/>
    <w:family w:val="auto"/>
    <w:pitch w:val="default"/>
    <w:sig w:usb0="8000002F" w:usb1="0800004A" w:usb2="00000000" w:usb3="00000000" w:csb0="203E0000" w:csb1="00000000"/>
  </w:font>
  <w:font w:name="FangSong">
    <w:altName w:val="方正仿宋_GBK"/>
    <w:panose1 w:val="00000000000000000000"/>
    <w:charset w:val="00"/>
    <w:family w:val="auto"/>
    <w:pitch w:val="default"/>
    <w:sig w:usb0="00000000" w:usb1="00000000" w:usb2="00000000" w:usb3="00000000" w:csb0="00000000" w:csb1="00000000"/>
  </w:font>
  <w:font w:name="方正小标宋_GBK">
    <w:altName w:val="方正小标宋简体"/>
    <w:panose1 w:val="02000000000000000000"/>
    <w:charset w:val="86"/>
    <w:family w:val="auto"/>
    <w:pitch w:val="default"/>
    <w:sig w:usb0="00000000" w:usb1="00000000" w:usb2="00082016" w:usb3="00000000" w:csb0="00040001" w:csb1="00000000"/>
  </w:font>
  <w:font w:name="方正仿宋_GBK">
    <w:panose1 w:val="02000000000000000000"/>
    <w:charset w:val="86"/>
    <w:family w:val="auto"/>
    <w:pitch w:val="default"/>
    <w:sig w:usb0="A00002BF" w:usb1="38CF7CFA" w:usb2="00082016" w:usb3="00000000" w:csb0="00040001" w:csb1="00000000"/>
  </w:font>
  <w:font w:name="方正黑体_GBK">
    <w:altName w:val="汉仪中黑KW"/>
    <w:panose1 w:val="03000509000000000000"/>
    <w:charset w:val="86"/>
    <w:family w:val="script"/>
    <w:pitch w:val="default"/>
    <w:sig w:usb0="00000000" w:usb1="00000000" w:usb2="00000010" w:usb3="00000000" w:csb0="00040000" w:csb1="00000000"/>
  </w:font>
  <w:font w:name="方正楷体_GBK">
    <w:altName w:val="汉仪楷体简"/>
    <w:panose1 w:val="03000509000000000000"/>
    <w:charset w:val="86"/>
    <w:family w:val="script"/>
    <w:pitch w:val="default"/>
    <w:sig w:usb0="00000000" w:usb1="00000000" w:usb2="00000010" w:usb3="00000000" w:csb0="00040000" w:csb1="00000000"/>
  </w:font>
  <w:font w:name="仿宋_GB2312">
    <w:altName w:val="方正仿宋_GBK"/>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方正小标宋简体">
    <w:panose1 w:val="02000000000000000000"/>
    <w:charset w:val="86"/>
    <w:family w:val="auto"/>
    <w:pitch w:val="default"/>
    <w:sig w:usb0="00000001" w:usb1="0800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0"/>
    <w:family w:val="auto"/>
    <w:pitch w:val="default"/>
    <w:sig w:usb0="800002BF" w:usb1="184F6CF8" w:usb2="00000012" w:usb3="00000000" w:csb0="00020001" w:csb1="00000000"/>
  </w:font>
  <w:font w:name="儷宋 Pro">
    <w:panose1 w:val="02020300000000000000"/>
    <w:charset w:val="88"/>
    <w:family w:val="auto"/>
    <w:pitch w:val="default"/>
    <w:sig w:usb0="80000001" w:usb1="28091800" w:usb2="00000016" w:usb3="00000000" w:csb0="00100000"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AB802">
    <w:pPr>
      <w:spacing w:line="179" w:lineRule="auto"/>
      <w:ind w:left="1"/>
      <w:rPr>
        <w:rFonts w:ascii="Arial" w:hAnsi="Arial" w:eastAsia="Arial" w:cs="Arial"/>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2EA35A">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2EA35A">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DE668"/>
    <w:multiLevelType w:val="singleLevel"/>
    <w:tmpl w:val="9FEDE668"/>
    <w:lvl w:ilvl="0" w:tentative="0">
      <w:start w:val="1"/>
      <w:numFmt w:val="decimal"/>
      <w:lvlText w:val="(%1)"/>
      <w:lvlJc w:val="left"/>
      <w:pPr>
        <w:ind w:left="425" w:hanging="425"/>
      </w:pPr>
      <w:rPr>
        <w:rFonts w:hint="default"/>
      </w:rPr>
    </w:lvl>
  </w:abstractNum>
  <w:abstractNum w:abstractNumId="1">
    <w:nsid w:val="BBEFB17C"/>
    <w:multiLevelType w:val="multilevel"/>
    <w:tmpl w:val="BBEFB17C"/>
    <w:lvl w:ilvl="0" w:tentative="0">
      <w:start w:val="1"/>
      <w:numFmt w:val="chineseCounting"/>
      <w:pStyle w:val="10"/>
      <w:suff w:val="space"/>
      <w:lvlText w:val="%1、"/>
      <w:lvlJc w:val="left"/>
      <w:pPr>
        <w:tabs>
          <w:tab w:val="left" w:pos="0"/>
        </w:tabs>
        <w:ind w:left="0" w:leftChars="0" w:firstLine="0" w:firstLineChars="0"/>
      </w:pPr>
      <w:rPr>
        <w:rFonts w:hint="eastAsia" w:ascii="宋体" w:hAnsi="宋体" w:eastAsia="宋体"/>
        <w:sz w:val="36"/>
      </w:rPr>
    </w:lvl>
    <w:lvl w:ilvl="1" w:tentative="0">
      <w:start w:val="1"/>
      <w:numFmt w:val="decimal"/>
      <w:pStyle w:val="11"/>
      <w:isLgl/>
      <w:suff w:val="space"/>
      <w:lvlText w:val="%1.%2"/>
      <w:lvlJc w:val="left"/>
      <w:pPr>
        <w:tabs>
          <w:tab w:val="left" w:pos="420"/>
        </w:tabs>
        <w:ind w:left="0" w:leftChars="0" w:firstLine="0" w:firstLineChars="0"/>
      </w:pPr>
      <w:rPr>
        <w:rFonts w:hint="eastAsia" w:ascii="宋体" w:hAnsi="宋体" w:eastAsia="宋体"/>
      </w:rPr>
    </w:lvl>
    <w:lvl w:ilvl="2" w:tentative="0">
      <w:start w:val="1"/>
      <w:numFmt w:val="decimal"/>
      <w:pStyle w:val="12"/>
      <w:isLgl/>
      <w:suff w:val="space"/>
      <w:lvlText w:val="%1.%2.%3"/>
      <w:lvlJc w:val="left"/>
      <w:pPr>
        <w:tabs>
          <w:tab w:val="left" w:pos="0"/>
        </w:tabs>
        <w:ind w:left="0" w:leftChars="0" w:firstLine="0" w:firstLineChars="0"/>
      </w:pPr>
      <w:rPr>
        <w:rFonts w:hint="eastAsia" w:ascii="宋体" w:hAnsi="宋体" w:eastAsia="宋体"/>
      </w:rPr>
    </w:lvl>
    <w:lvl w:ilvl="3" w:tentative="0">
      <w:start w:val="1"/>
      <w:numFmt w:val="decimal"/>
      <w:pStyle w:val="13"/>
      <w:isLgl/>
      <w:suff w:val="space"/>
      <w:lvlText w:val="%1.%2.%3.%4"/>
      <w:lvlJc w:val="left"/>
      <w:pPr>
        <w:tabs>
          <w:tab w:val="left" w:pos="420"/>
        </w:tabs>
        <w:ind w:left="0" w:leftChars="0" w:firstLine="0" w:firstLineChars="0"/>
      </w:pPr>
      <w:rPr>
        <w:rFonts w:hint="eastAsia" w:ascii="宋体" w:hAnsi="宋体" w:eastAsia="宋体"/>
      </w:rPr>
    </w:lvl>
    <w:lvl w:ilvl="4" w:tentative="0">
      <w:start w:val="1"/>
      <w:numFmt w:val="decimal"/>
      <w:pStyle w:val="14"/>
      <w:isLgl/>
      <w:suff w:val="space"/>
      <w:lvlText w:val="%1.%2.%3.%4.%5"/>
      <w:lvlJc w:val="left"/>
      <w:pPr>
        <w:tabs>
          <w:tab w:val="left" w:pos="420"/>
        </w:tabs>
        <w:ind w:left="0" w:leftChars="0" w:firstLine="0" w:firstLineChars="0"/>
      </w:pPr>
      <w:rPr>
        <w:rFonts w:hint="eastAsia" w:ascii="宋体" w:hAnsi="宋体" w:eastAsia="宋体"/>
      </w:rPr>
    </w:lvl>
    <w:lvl w:ilvl="5" w:tentative="0">
      <w:start w:val="1"/>
      <w:numFmt w:val="decimal"/>
      <w:pStyle w:val="15"/>
      <w:isLgl/>
      <w:suff w:val="space"/>
      <w:lvlText w:val="%1.%2.%3.%4.%5.%6"/>
      <w:lvlJc w:val="left"/>
      <w:pPr>
        <w:tabs>
          <w:tab w:val="left" w:pos="420"/>
        </w:tabs>
        <w:ind w:left="0" w:leftChars="0" w:firstLine="0" w:firstLineChars="0"/>
      </w:pPr>
      <w:rPr>
        <w:rFonts w:hint="eastAsia" w:ascii="宋体" w:hAnsi="宋体" w:eastAsia="宋体"/>
      </w:rPr>
    </w:lvl>
    <w:lvl w:ilvl="6" w:tentative="0">
      <w:start w:val="1"/>
      <w:numFmt w:val="decimal"/>
      <w:pStyle w:val="16"/>
      <w:isLgl/>
      <w:suff w:val="space"/>
      <w:lvlText w:val="%1.%2.%3.%4.%5.%6.%7"/>
      <w:lvlJc w:val="left"/>
      <w:pPr>
        <w:tabs>
          <w:tab w:val="left" w:pos="0"/>
        </w:tabs>
        <w:ind w:left="0" w:leftChars="0" w:firstLine="0" w:firstLineChars="0"/>
      </w:pPr>
      <w:rPr>
        <w:rFonts w:hint="eastAsia" w:ascii="宋体" w:hAnsi="宋体" w:eastAsia="宋体"/>
      </w:rPr>
    </w:lvl>
    <w:lvl w:ilvl="7" w:tentative="0">
      <w:start w:val="1"/>
      <w:numFmt w:val="decimal"/>
      <w:isLgl/>
      <w:suff w:val="space"/>
      <w:lvlText w:val="%1.%2.%3.%4.%5.%6.%7.%8"/>
      <w:lvlJc w:val="left"/>
      <w:pPr>
        <w:tabs>
          <w:tab w:val="left" w:pos="420"/>
        </w:tabs>
        <w:ind w:left="0" w:leftChars="0" w:firstLine="0" w:firstLineChars="0"/>
      </w:pPr>
      <w:rPr>
        <w:rFonts w:hint="eastAsia" w:ascii="宋体" w:hAnsi="宋体" w:eastAsia="宋体"/>
      </w:rPr>
    </w:lvl>
    <w:lvl w:ilvl="8" w:tentative="0">
      <w:start w:val="1"/>
      <w:numFmt w:val="decimal"/>
      <w:isLgl/>
      <w:suff w:val="space"/>
      <w:lvlText w:val="%1.%2.%3.%4.%5.%6.%7.%8.%9"/>
      <w:lvlJc w:val="left"/>
      <w:pPr>
        <w:tabs>
          <w:tab w:val="left" w:pos="420"/>
        </w:tabs>
        <w:ind w:left="0" w:leftChars="0" w:firstLine="0" w:firstLineChars="0"/>
      </w:pPr>
      <w:rPr>
        <w:rFonts w:hint="eastAsia" w:ascii="宋体" w:hAnsi="宋体" w:eastAsia="宋体"/>
      </w:rPr>
    </w:lvl>
  </w:abstractNum>
  <w:abstractNum w:abstractNumId="2">
    <w:nsid w:val="BE7ED63D"/>
    <w:multiLevelType w:val="singleLevel"/>
    <w:tmpl w:val="BE7ED63D"/>
    <w:lvl w:ilvl="0" w:tentative="0">
      <w:start w:val="1"/>
      <w:numFmt w:val="decimalEnclosedCircleChinese"/>
      <w:suff w:val="nothing"/>
      <w:lvlText w:val="%1　"/>
      <w:lvlJc w:val="left"/>
      <w:pPr>
        <w:ind w:left="0" w:firstLine="400"/>
      </w:pPr>
      <w:rPr>
        <w:rFonts w:hint="eastAsia"/>
      </w:rPr>
    </w:lvl>
  </w:abstractNum>
  <w:abstractNum w:abstractNumId="3">
    <w:nsid w:val="CBE6B69F"/>
    <w:multiLevelType w:val="singleLevel"/>
    <w:tmpl w:val="CBE6B69F"/>
    <w:lvl w:ilvl="0" w:tentative="0">
      <w:start w:val="1"/>
      <w:numFmt w:val="decimal"/>
      <w:pStyle w:val="32"/>
      <w:suff w:val="space"/>
      <w:lvlText w:val="%1."/>
      <w:lvlJc w:val="left"/>
    </w:lvl>
  </w:abstractNum>
  <w:abstractNum w:abstractNumId="4">
    <w:nsid w:val="E7FFFB09"/>
    <w:multiLevelType w:val="singleLevel"/>
    <w:tmpl w:val="E7FFFB09"/>
    <w:lvl w:ilvl="0" w:tentative="0">
      <w:start w:val="1"/>
      <w:numFmt w:val="chineseCounting"/>
      <w:suff w:val="nothing"/>
      <w:lvlText w:val="（%1）"/>
      <w:lvlJc w:val="left"/>
      <w:pPr>
        <w:ind w:left="0" w:firstLine="420"/>
      </w:pPr>
      <w:rPr>
        <w:rFonts w:hint="eastAsia"/>
      </w:rPr>
    </w:lvl>
  </w:abstractNum>
  <w:abstractNum w:abstractNumId="5">
    <w:nsid w:val="EBDF94F2"/>
    <w:multiLevelType w:val="singleLevel"/>
    <w:tmpl w:val="EBDF94F2"/>
    <w:lvl w:ilvl="0" w:tentative="0">
      <w:start w:val="1"/>
      <w:numFmt w:val="decimalEnclosedCircleChinese"/>
      <w:suff w:val="nothing"/>
      <w:lvlText w:val="%1　"/>
      <w:lvlJc w:val="left"/>
      <w:pPr>
        <w:ind w:left="0" w:firstLine="400"/>
      </w:pPr>
      <w:rPr>
        <w:rFonts w:hint="eastAsia"/>
      </w:rPr>
    </w:lvl>
  </w:abstractNum>
  <w:abstractNum w:abstractNumId="6">
    <w:nsid w:val="EFE79E5C"/>
    <w:multiLevelType w:val="singleLevel"/>
    <w:tmpl w:val="EFE79E5C"/>
    <w:lvl w:ilvl="0" w:tentative="0">
      <w:start w:val="1"/>
      <w:numFmt w:val="decimalEnclosedCircleChinese"/>
      <w:suff w:val="nothing"/>
      <w:lvlText w:val="%1　"/>
      <w:lvlJc w:val="left"/>
      <w:pPr>
        <w:ind w:left="0" w:firstLine="400"/>
      </w:pPr>
      <w:rPr>
        <w:rFonts w:hint="eastAsia"/>
      </w:rPr>
    </w:lvl>
  </w:abstractNum>
  <w:abstractNum w:abstractNumId="7">
    <w:nsid w:val="F5B55639"/>
    <w:multiLevelType w:val="singleLevel"/>
    <w:tmpl w:val="F5B55639"/>
    <w:lvl w:ilvl="0" w:tentative="0">
      <w:start w:val="1"/>
      <w:numFmt w:val="bullet"/>
      <w:lvlText w:val=""/>
      <w:lvlJc w:val="left"/>
      <w:pPr>
        <w:ind w:left="420" w:hanging="420"/>
      </w:pPr>
      <w:rPr>
        <w:rFonts w:hint="default" w:ascii="Wingdings" w:hAnsi="Wingdings"/>
      </w:rPr>
    </w:lvl>
  </w:abstractNum>
  <w:abstractNum w:abstractNumId="8">
    <w:nsid w:val="F749BEC5"/>
    <w:multiLevelType w:val="singleLevel"/>
    <w:tmpl w:val="F749BEC5"/>
    <w:lvl w:ilvl="0" w:tentative="0">
      <w:start w:val="1"/>
      <w:numFmt w:val="decimal"/>
      <w:lvlText w:val="(%1)"/>
      <w:lvlJc w:val="left"/>
      <w:pPr>
        <w:ind w:left="425" w:hanging="425"/>
      </w:pPr>
      <w:rPr>
        <w:rFonts w:hint="default"/>
      </w:rPr>
    </w:lvl>
  </w:abstractNum>
  <w:abstractNum w:abstractNumId="9">
    <w:nsid w:val="F7BBA7DD"/>
    <w:multiLevelType w:val="singleLevel"/>
    <w:tmpl w:val="F7BBA7DD"/>
    <w:lvl w:ilvl="0" w:tentative="0">
      <w:start w:val="1"/>
      <w:numFmt w:val="chineseCounting"/>
      <w:suff w:val="nothing"/>
      <w:lvlText w:val="（%1）"/>
      <w:lvlJc w:val="left"/>
      <w:pPr>
        <w:ind w:left="0" w:firstLine="420"/>
      </w:pPr>
      <w:rPr>
        <w:rFonts w:hint="eastAsia"/>
      </w:rPr>
    </w:lvl>
  </w:abstractNum>
  <w:abstractNum w:abstractNumId="10">
    <w:nsid w:val="F9B68081"/>
    <w:multiLevelType w:val="singleLevel"/>
    <w:tmpl w:val="F9B68081"/>
    <w:lvl w:ilvl="0" w:tentative="0">
      <w:start w:val="1"/>
      <w:numFmt w:val="decimal"/>
      <w:suff w:val="space"/>
      <w:lvlText w:val="%1."/>
      <w:lvlJc w:val="left"/>
    </w:lvl>
  </w:abstractNum>
  <w:abstractNum w:abstractNumId="11">
    <w:nsid w:val="FA7F67B8"/>
    <w:multiLevelType w:val="singleLevel"/>
    <w:tmpl w:val="FA7F67B8"/>
    <w:lvl w:ilvl="0" w:tentative="0">
      <w:start w:val="1"/>
      <w:numFmt w:val="decimal"/>
      <w:lvlText w:val="(%1)"/>
      <w:lvlJc w:val="left"/>
      <w:pPr>
        <w:ind w:left="425" w:hanging="425"/>
      </w:pPr>
      <w:rPr>
        <w:rFonts w:hint="default"/>
      </w:rPr>
    </w:lvl>
  </w:abstractNum>
  <w:abstractNum w:abstractNumId="12">
    <w:nsid w:val="FC7FEBEF"/>
    <w:multiLevelType w:val="singleLevel"/>
    <w:tmpl w:val="FC7FEBEF"/>
    <w:lvl w:ilvl="0" w:tentative="0">
      <w:start w:val="1"/>
      <w:numFmt w:val="chineseCounting"/>
      <w:suff w:val="nothing"/>
      <w:lvlText w:val="（%1）"/>
      <w:lvlJc w:val="left"/>
      <w:pPr>
        <w:ind w:left="0" w:firstLine="420"/>
      </w:pPr>
      <w:rPr>
        <w:rFonts w:hint="eastAsia"/>
      </w:rPr>
    </w:lvl>
  </w:abstractNum>
  <w:abstractNum w:abstractNumId="13">
    <w:nsid w:val="77EF78F9"/>
    <w:multiLevelType w:val="singleLevel"/>
    <w:tmpl w:val="77EF78F9"/>
    <w:lvl w:ilvl="0" w:tentative="0">
      <w:start w:val="1"/>
      <w:numFmt w:val="chineseCounting"/>
      <w:suff w:val="nothing"/>
      <w:lvlText w:val="%1、"/>
      <w:lvlJc w:val="left"/>
      <w:pPr>
        <w:ind w:left="0" w:firstLine="420"/>
      </w:pPr>
      <w:rPr>
        <w:rFonts w:hint="eastAsia"/>
      </w:rPr>
    </w:lvl>
  </w:abstractNum>
  <w:abstractNum w:abstractNumId="14">
    <w:nsid w:val="7E44B9C5"/>
    <w:multiLevelType w:val="singleLevel"/>
    <w:tmpl w:val="7E44B9C5"/>
    <w:lvl w:ilvl="0" w:tentative="0">
      <w:start w:val="1"/>
      <w:numFmt w:val="chineseCounting"/>
      <w:suff w:val="nothing"/>
      <w:lvlText w:val="（%1）"/>
      <w:lvlJc w:val="left"/>
      <w:pPr>
        <w:ind w:left="0" w:firstLine="420"/>
      </w:pPr>
      <w:rPr>
        <w:rFonts w:hint="eastAsia"/>
      </w:rPr>
    </w:lvl>
  </w:abstractNum>
  <w:num w:numId="1">
    <w:abstractNumId w:val="1"/>
  </w:num>
  <w:num w:numId="2">
    <w:abstractNumId w:val="3"/>
  </w:num>
  <w:num w:numId="3">
    <w:abstractNumId w:val="13"/>
  </w:num>
  <w:num w:numId="4">
    <w:abstractNumId w:val="12"/>
  </w:num>
  <w:num w:numId="5">
    <w:abstractNumId w:val="4"/>
  </w:num>
  <w:num w:numId="6">
    <w:abstractNumId w:val="3"/>
    <w:lvlOverride w:ilvl="0">
      <w:startOverride w:val="1"/>
    </w:lvlOverride>
  </w:num>
  <w:num w:numId="7">
    <w:abstractNumId w:val="14"/>
  </w:num>
  <w:num w:numId="8">
    <w:abstractNumId w:val="10"/>
  </w:num>
  <w:num w:numId="9">
    <w:abstractNumId w:val="0"/>
  </w:num>
  <w:num w:numId="10">
    <w:abstractNumId w:val="2"/>
  </w:num>
  <w:num w:numId="11">
    <w:abstractNumId w:val="6"/>
  </w:num>
  <w:num w:numId="12">
    <w:abstractNumId w:val="8"/>
  </w:num>
  <w:num w:numId="13">
    <w:abstractNumId w:val="3"/>
    <w:lvlOverride w:ilvl="0">
      <w:startOverride w:val="1"/>
    </w:lvlOverride>
  </w:num>
  <w:num w:numId="14">
    <w:abstractNumId w:val="3"/>
    <w:lvlOverride w:ilvl="0">
      <w:startOverride w:val="1"/>
    </w:lvlOverride>
  </w:num>
  <w:num w:numId="15">
    <w:abstractNumId w:val="7"/>
  </w:num>
  <w:num w:numId="16">
    <w:abstractNumId w:val="11"/>
  </w:num>
  <w:num w:numId="17">
    <w:abstractNumId w:val="5"/>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GU1NTI2MTExZjAwMDA2MmQ1MGJjYWJiMzBjZmYifQ=="/>
  </w:docVars>
  <w:rsids>
    <w:rsidRoot w:val="EF5F1009"/>
    <w:rsid w:val="1EEF5424"/>
    <w:rsid w:val="1F6B24C9"/>
    <w:rsid w:val="1FFB1B3C"/>
    <w:rsid w:val="2EEBA6DD"/>
    <w:rsid w:val="2EEF0B69"/>
    <w:rsid w:val="2F5FD9F8"/>
    <w:rsid w:val="2F6D1EE8"/>
    <w:rsid w:val="2F8FAA33"/>
    <w:rsid w:val="2FDF1AEA"/>
    <w:rsid w:val="2FEB3C4E"/>
    <w:rsid w:val="317F278B"/>
    <w:rsid w:val="33E04DBE"/>
    <w:rsid w:val="33FE242D"/>
    <w:rsid w:val="37DBAEA2"/>
    <w:rsid w:val="39D74A9F"/>
    <w:rsid w:val="39FF1BE0"/>
    <w:rsid w:val="3F3F3485"/>
    <w:rsid w:val="3F513360"/>
    <w:rsid w:val="3FDBC600"/>
    <w:rsid w:val="3FDFF602"/>
    <w:rsid w:val="3FE6D72A"/>
    <w:rsid w:val="3FF4F7F5"/>
    <w:rsid w:val="3FF70739"/>
    <w:rsid w:val="46D519A2"/>
    <w:rsid w:val="4F5C5F90"/>
    <w:rsid w:val="4FC37ECB"/>
    <w:rsid w:val="526ABF39"/>
    <w:rsid w:val="53B75456"/>
    <w:rsid w:val="56FF14E7"/>
    <w:rsid w:val="599FF20D"/>
    <w:rsid w:val="5ADF3549"/>
    <w:rsid w:val="5BBFC087"/>
    <w:rsid w:val="5BFD2D0E"/>
    <w:rsid w:val="5BFF3B74"/>
    <w:rsid w:val="5EED5BED"/>
    <w:rsid w:val="5EEEE242"/>
    <w:rsid w:val="5FF96E20"/>
    <w:rsid w:val="5FFCE2DA"/>
    <w:rsid w:val="651C7536"/>
    <w:rsid w:val="697C1260"/>
    <w:rsid w:val="6A652329"/>
    <w:rsid w:val="6BD38BAD"/>
    <w:rsid w:val="6BDF9CC7"/>
    <w:rsid w:val="6CF732BC"/>
    <w:rsid w:val="6E7D2695"/>
    <w:rsid w:val="6EB315F0"/>
    <w:rsid w:val="6EE725E1"/>
    <w:rsid w:val="6EF7495C"/>
    <w:rsid w:val="6EFBBAC3"/>
    <w:rsid w:val="6F5F1DC4"/>
    <w:rsid w:val="6FB63DB1"/>
    <w:rsid w:val="736E9B7A"/>
    <w:rsid w:val="73974E48"/>
    <w:rsid w:val="74B93032"/>
    <w:rsid w:val="75FF2320"/>
    <w:rsid w:val="77B99260"/>
    <w:rsid w:val="77BE85C7"/>
    <w:rsid w:val="77CD1EDD"/>
    <w:rsid w:val="77FAA393"/>
    <w:rsid w:val="77FE9356"/>
    <w:rsid w:val="7997674A"/>
    <w:rsid w:val="79F54A08"/>
    <w:rsid w:val="7AAD4230"/>
    <w:rsid w:val="7AE732B2"/>
    <w:rsid w:val="7AFA863A"/>
    <w:rsid w:val="7B839EF9"/>
    <w:rsid w:val="7BE74982"/>
    <w:rsid w:val="7BEDEFF7"/>
    <w:rsid w:val="7C2FDB85"/>
    <w:rsid w:val="7CFBB729"/>
    <w:rsid w:val="7DD6A50E"/>
    <w:rsid w:val="7EEE552A"/>
    <w:rsid w:val="7EFB886F"/>
    <w:rsid w:val="7F7742F6"/>
    <w:rsid w:val="7FDDE81E"/>
    <w:rsid w:val="7FE7112E"/>
    <w:rsid w:val="7FF7DA61"/>
    <w:rsid w:val="7FF97B85"/>
    <w:rsid w:val="7FFF70F3"/>
    <w:rsid w:val="7FFFB170"/>
    <w:rsid w:val="8F7F38EA"/>
    <w:rsid w:val="95FDCA74"/>
    <w:rsid w:val="97748F72"/>
    <w:rsid w:val="9B764B0A"/>
    <w:rsid w:val="9D2F7929"/>
    <w:rsid w:val="9FBB4C23"/>
    <w:rsid w:val="9FDF807D"/>
    <w:rsid w:val="AFFF30C0"/>
    <w:rsid w:val="BB1D90B6"/>
    <w:rsid w:val="BBFF2B25"/>
    <w:rsid w:val="BBFF7A0F"/>
    <w:rsid w:val="BEED7044"/>
    <w:rsid w:val="BFEF36E8"/>
    <w:rsid w:val="C7B2B74B"/>
    <w:rsid w:val="CAEEBCEA"/>
    <w:rsid w:val="CC75A36B"/>
    <w:rsid w:val="CDEE7A6A"/>
    <w:rsid w:val="CF7DDF90"/>
    <w:rsid w:val="CFD96492"/>
    <w:rsid w:val="D2F56F69"/>
    <w:rsid w:val="D735FB94"/>
    <w:rsid w:val="D7CB2E1A"/>
    <w:rsid w:val="D7FDD526"/>
    <w:rsid w:val="DAED79E9"/>
    <w:rsid w:val="DEDDA6C7"/>
    <w:rsid w:val="E63665E6"/>
    <w:rsid w:val="E76C0CAF"/>
    <w:rsid w:val="E9CDAFD7"/>
    <w:rsid w:val="EBFE988F"/>
    <w:rsid w:val="EE6FB674"/>
    <w:rsid w:val="EF5F1009"/>
    <w:rsid w:val="EF7F0E97"/>
    <w:rsid w:val="EFB7244B"/>
    <w:rsid w:val="EFD26AE3"/>
    <w:rsid w:val="EFDE3552"/>
    <w:rsid w:val="F167BA00"/>
    <w:rsid w:val="F1FF93E0"/>
    <w:rsid w:val="F3E1CDB8"/>
    <w:rsid w:val="F3FF7DAC"/>
    <w:rsid w:val="F4BFFAD9"/>
    <w:rsid w:val="F511F84E"/>
    <w:rsid w:val="F52FEB66"/>
    <w:rsid w:val="F5FB8C31"/>
    <w:rsid w:val="F653526E"/>
    <w:rsid w:val="F72FD379"/>
    <w:rsid w:val="F76DF8BB"/>
    <w:rsid w:val="F773E32C"/>
    <w:rsid w:val="F7A4D438"/>
    <w:rsid w:val="F7FBE876"/>
    <w:rsid w:val="F9BBB53E"/>
    <w:rsid w:val="F9BC6C99"/>
    <w:rsid w:val="FAC7FEE6"/>
    <w:rsid w:val="FAE18226"/>
    <w:rsid w:val="FBBE7230"/>
    <w:rsid w:val="FBDD0FD6"/>
    <w:rsid w:val="FBDF8D84"/>
    <w:rsid w:val="FBF75838"/>
    <w:rsid w:val="FBFB6570"/>
    <w:rsid w:val="FCBF1E91"/>
    <w:rsid w:val="FD7ED0AA"/>
    <w:rsid w:val="FDDDE693"/>
    <w:rsid w:val="FDEB9D9D"/>
    <w:rsid w:val="FDFD07AF"/>
    <w:rsid w:val="FE5FBA95"/>
    <w:rsid w:val="FEBFAD6D"/>
    <w:rsid w:val="FEF744AE"/>
    <w:rsid w:val="FEFF7156"/>
    <w:rsid w:val="FF5689D7"/>
    <w:rsid w:val="FF799A3E"/>
    <w:rsid w:val="FF9CE961"/>
    <w:rsid w:val="FFDF793A"/>
    <w:rsid w:val="FFDF9A3E"/>
    <w:rsid w:val="FFEFB863"/>
    <w:rsid w:val="FFF76079"/>
    <w:rsid w:val="FFFD8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iPriority w:val="0"/>
    <w:rPr>
      <w:rFonts w:ascii="Times New Roman" w:hAnsi="Times New Roman" w:eastAsia="宋体"/>
      <w:b/>
      <w:sz w:val="32"/>
    </w:rPr>
  </w:style>
  <w:style w:type="table" w:default="1" w:styleId="7">
    <w:name w:val="Normal Table"/>
    <w:semiHidden/>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pPr>
    <w:rPr>
      <w:rFonts w:ascii="Calibri" w:hAnsi="Calibri" w:eastAsia="宋体"/>
      <w:szCs w:val="24"/>
    </w:rPr>
  </w:style>
  <w:style w:type="paragraph" w:styleId="3">
    <w:name w:val="Body Text Indent"/>
    <w:basedOn w:val="1"/>
    <w:qFormat/>
    <w:uiPriority w:val="0"/>
    <w:pPr>
      <w:ind w:firstLine="830" w:firstLineChars="352"/>
    </w:pPr>
    <w:rPr>
      <w:rFonts w:ascii="仿宋_GB2312" w:eastAsia="仿宋_GB2312"/>
      <w:sz w:val="32"/>
      <w:szCs w:val="32"/>
    </w:rPr>
  </w:style>
  <w:style w:type="paragraph" w:styleId="4">
    <w:name w:val="Body Text"/>
    <w:basedOn w:val="1"/>
    <w:semiHidden/>
    <w:qFormat/>
    <w:uiPriority w:val="0"/>
    <w:rPr>
      <w:rFonts w:ascii="PingFang SC" w:hAnsi="PingFang SC" w:eastAsia="PingFang SC" w:cs="PingFang SC"/>
      <w:sz w:val="31"/>
      <w:szCs w:val="31"/>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1111111111111"/>
    <w:basedOn w:val="1"/>
    <w:next w:val="1"/>
    <w:qFormat/>
    <w:uiPriority w:val="0"/>
    <w:pPr>
      <w:pageBreakBefore/>
      <w:numPr>
        <w:ilvl w:val="0"/>
        <w:numId w:val="1"/>
      </w:numPr>
      <w:tabs>
        <w:tab w:val="left" w:pos="420"/>
        <w:tab w:val="clear" w:pos="0"/>
      </w:tabs>
      <w:spacing w:before="50" w:beforeLines="50" w:after="50" w:afterLines="50" w:line="360" w:lineRule="auto"/>
      <w:jc w:val="center"/>
      <w:outlineLvl w:val="0"/>
    </w:pPr>
    <w:rPr>
      <w:rFonts w:eastAsia="宋体" w:asciiTheme="minorAscii" w:hAnsiTheme="minorAscii"/>
      <w:b/>
      <w:sz w:val="36"/>
    </w:rPr>
  </w:style>
  <w:style w:type="paragraph" w:customStyle="1" w:styleId="11">
    <w:name w:val="2222222222222"/>
    <w:basedOn w:val="1"/>
    <w:next w:val="1"/>
    <w:qFormat/>
    <w:uiPriority w:val="0"/>
    <w:pPr>
      <w:keepNext/>
      <w:pageBreakBefore w:val="0"/>
      <w:numPr>
        <w:ilvl w:val="1"/>
        <w:numId w:val="1"/>
      </w:numPr>
      <w:spacing w:before="50" w:beforeLines="50" w:after="50" w:afterLines="50" w:line="360" w:lineRule="auto"/>
      <w:jc w:val="left"/>
      <w:outlineLvl w:val="1"/>
    </w:pPr>
    <w:rPr>
      <w:rFonts w:eastAsia="宋体" w:cs="Times New Roman" w:asciiTheme="minorAscii" w:hAnsiTheme="minorAscii"/>
      <w:b/>
      <w:sz w:val="32"/>
      <w:szCs w:val="22"/>
    </w:rPr>
  </w:style>
  <w:style w:type="paragraph" w:customStyle="1" w:styleId="12">
    <w:name w:val="3333333333"/>
    <w:basedOn w:val="1"/>
    <w:next w:val="1"/>
    <w:qFormat/>
    <w:uiPriority w:val="0"/>
    <w:pPr>
      <w:keepNext/>
      <w:numPr>
        <w:ilvl w:val="2"/>
        <w:numId w:val="1"/>
      </w:numPr>
      <w:spacing w:before="50" w:beforeLines="50" w:after="50" w:afterLines="50" w:line="360" w:lineRule="auto"/>
      <w:jc w:val="left"/>
      <w:outlineLvl w:val="2"/>
    </w:pPr>
    <w:rPr>
      <w:rFonts w:eastAsia="宋体" w:cs="Times New Roman" w:asciiTheme="minorAscii" w:hAnsiTheme="minorAscii"/>
      <w:b/>
      <w:sz w:val="32"/>
      <w:szCs w:val="22"/>
    </w:rPr>
  </w:style>
  <w:style w:type="paragraph" w:customStyle="1" w:styleId="13">
    <w:name w:val="444444444444"/>
    <w:basedOn w:val="1"/>
    <w:next w:val="1"/>
    <w:link w:val="17"/>
    <w:qFormat/>
    <w:uiPriority w:val="0"/>
    <w:pPr>
      <w:keepNext/>
      <w:numPr>
        <w:ilvl w:val="3"/>
        <w:numId w:val="1"/>
      </w:numPr>
      <w:spacing w:before="50" w:beforeLines="50" w:after="50" w:afterLines="50" w:line="360" w:lineRule="auto"/>
      <w:jc w:val="left"/>
      <w:outlineLvl w:val="3"/>
    </w:pPr>
    <w:rPr>
      <w:rFonts w:eastAsia="宋体" w:cs="Times New Roman" w:asciiTheme="minorAscii" w:hAnsiTheme="minorAscii"/>
      <w:b/>
      <w:sz w:val="32"/>
      <w:szCs w:val="22"/>
    </w:rPr>
  </w:style>
  <w:style w:type="paragraph" w:customStyle="1" w:styleId="14">
    <w:name w:val="55555555555"/>
    <w:basedOn w:val="1"/>
    <w:next w:val="1"/>
    <w:qFormat/>
    <w:uiPriority w:val="0"/>
    <w:pPr>
      <w:keepNext/>
      <w:numPr>
        <w:ilvl w:val="4"/>
        <w:numId w:val="1"/>
      </w:numPr>
      <w:spacing w:before="50" w:beforeLines="50" w:after="50" w:afterLines="50" w:line="360" w:lineRule="auto"/>
      <w:jc w:val="left"/>
      <w:outlineLvl w:val="4"/>
    </w:pPr>
    <w:rPr>
      <w:rFonts w:eastAsia="宋体" w:cs="Times New Roman" w:asciiTheme="minorAscii" w:hAnsiTheme="minorAscii"/>
      <w:b/>
      <w:sz w:val="30"/>
      <w:szCs w:val="22"/>
    </w:rPr>
  </w:style>
  <w:style w:type="paragraph" w:customStyle="1" w:styleId="15">
    <w:name w:val="666666666666"/>
    <w:basedOn w:val="1"/>
    <w:next w:val="1"/>
    <w:qFormat/>
    <w:uiPriority w:val="0"/>
    <w:pPr>
      <w:keepNext/>
      <w:numPr>
        <w:ilvl w:val="5"/>
        <w:numId w:val="1"/>
      </w:numPr>
      <w:spacing w:before="50" w:beforeLines="50" w:after="50" w:afterLines="50" w:line="360" w:lineRule="auto"/>
      <w:jc w:val="left"/>
      <w:outlineLvl w:val="5"/>
    </w:pPr>
    <w:rPr>
      <w:rFonts w:eastAsia="宋体" w:cs="Times New Roman" w:asciiTheme="minorAscii" w:hAnsiTheme="minorAscii"/>
      <w:b/>
      <w:sz w:val="30"/>
      <w:szCs w:val="22"/>
    </w:rPr>
  </w:style>
  <w:style w:type="paragraph" w:customStyle="1" w:styleId="16">
    <w:name w:val="777777777777"/>
    <w:basedOn w:val="1"/>
    <w:next w:val="1"/>
    <w:qFormat/>
    <w:uiPriority w:val="0"/>
    <w:pPr>
      <w:keepNext/>
      <w:numPr>
        <w:ilvl w:val="6"/>
        <w:numId w:val="1"/>
      </w:numPr>
      <w:spacing w:before="50" w:beforeLines="50" w:after="50" w:afterLines="50" w:line="360" w:lineRule="auto"/>
      <w:jc w:val="left"/>
    </w:pPr>
    <w:rPr>
      <w:rFonts w:eastAsia="宋体" w:cs="Times New Roman" w:asciiTheme="minorAscii" w:hAnsiTheme="minorAscii"/>
      <w:b/>
      <w:sz w:val="30"/>
      <w:szCs w:val="22"/>
    </w:rPr>
  </w:style>
  <w:style w:type="character" w:customStyle="1" w:styleId="17">
    <w:name w:val="444444444444 Char"/>
    <w:link w:val="13"/>
    <w:qFormat/>
    <w:uiPriority w:val="0"/>
    <w:rPr>
      <w:rFonts w:eastAsia="宋体" w:cs="Times New Roman" w:asciiTheme="minorAscii" w:hAnsiTheme="minorAscii"/>
      <w:b/>
      <w:sz w:val="32"/>
      <w:szCs w:val="22"/>
    </w:rPr>
  </w:style>
  <w:style w:type="paragraph" w:customStyle="1" w:styleId="18">
    <w:name w:val="方案正文—贺"/>
    <w:basedOn w:val="1"/>
    <w:qFormat/>
    <w:uiPriority w:val="0"/>
    <w:pPr>
      <w:snapToGrid w:val="0"/>
      <w:spacing w:before="50" w:beforeLines="50" w:line="360" w:lineRule="auto"/>
      <w:ind w:firstLine="883" w:firstLineChars="200"/>
    </w:pPr>
    <w:rPr>
      <w:rFonts w:hint="eastAsia" w:ascii="仿宋" w:hAnsi="仿宋" w:eastAsia="仿宋" w:cs="Times New Roman"/>
      <w:sz w:val="32"/>
    </w:rPr>
  </w:style>
  <w:style w:type="paragraph" w:customStyle="1" w:styleId="19">
    <w:name w:val="图片格式（贺）"/>
    <w:basedOn w:val="1"/>
    <w:qFormat/>
    <w:uiPriority w:val="0"/>
    <w:pPr>
      <w:spacing w:after="240"/>
      <w:jc w:val="center"/>
    </w:pPr>
    <w:rPr>
      <w:rFonts w:hint="eastAsia" w:ascii="Kaiti SC" w:hAnsi="Kaiti SC" w:eastAsia="Heiti SC Medium"/>
      <w:color w:val="000000" w:themeColor="text1"/>
      <w:sz w:val="18"/>
      <w:szCs w:val="21"/>
      <w14:textFill>
        <w14:solidFill>
          <w14:schemeClr w14:val="tx1"/>
        </w14:solidFill>
      </w14:textFill>
    </w:rPr>
  </w:style>
  <w:style w:type="paragraph" w:customStyle="1" w:styleId="20">
    <w:name w:val="表格内文字（贺）"/>
    <w:basedOn w:val="1"/>
    <w:qFormat/>
    <w:uiPriority w:val="0"/>
    <w:pPr>
      <w:snapToGrid w:val="0"/>
      <w:spacing w:before="20" w:beforeLines="20" w:line="360" w:lineRule="auto"/>
      <w:ind w:firstLine="0" w:firstLineChars="0"/>
      <w:jc w:val="center"/>
    </w:pPr>
    <w:rPr>
      <w:rFonts w:hint="eastAsia" w:ascii="仿宋" w:hAnsi="仿宋" w:eastAsia="宋体" w:cs="仿宋"/>
      <w:bCs/>
      <w:color w:val="000000" w:themeColor="text1"/>
      <w:szCs w:val="28"/>
      <w14:textFill>
        <w14:solidFill>
          <w14:schemeClr w14:val="tx1"/>
        </w14:solidFill>
      </w14:textFill>
    </w:rPr>
  </w:style>
  <w:style w:type="paragraph" w:customStyle="1" w:styleId="21">
    <w:name w:val="标书格式"/>
    <w:basedOn w:val="1"/>
    <w:qFormat/>
    <w:uiPriority w:val="0"/>
    <w:pPr>
      <w:wordWrap w:val="0"/>
      <w:spacing w:line="360" w:lineRule="auto"/>
      <w:ind w:firstLine="420" w:firstLineChars="200"/>
    </w:pPr>
    <w:rPr>
      <w:rFonts w:hint="eastAsia" w:ascii="Times New Roman" w:hAnsi="Times New Roman" w:eastAsia="宋体" w:cs="Times New Roman"/>
      <w:sz w:val="24"/>
      <w:szCs w:val="22"/>
    </w:rPr>
  </w:style>
  <w:style w:type="paragraph" w:customStyle="1" w:styleId="22">
    <w:name w:val="标书格式（贺-小字体）"/>
    <w:basedOn w:val="1"/>
    <w:link w:val="26"/>
    <w:qFormat/>
    <w:uiPriority w:val="0"/>
    <w:pPr>
      <w:wordWrap w:val="0"/>
      <w:spacing w:line="360" w:lineRule="auto"/>
      <w:ind w:firstLine="420" w:firstLineChars="200"/>
    </w:pPr>
    <w:rPr>
      <w:rFonts w:hint="eastAsia" w:ascii="Times New Roman" w:hAnsi="Times New Roman" w:eastAsia="宋体" w:cs="Times New Roman"/>
      <w:sz w:val="24"/>
      <w:szCs w:val="22"/>
      <w:lang w:eastAsia="zh-Hans"/>
    </w:rPr>
  </w:style>
  <w:style w:type="paragraph" w:customStyle="1" w:styleId="23">
    <w:name w:val="标书-仿宋-贺"/>
    <w:basedOn w:val="1"/>
    <w:qFormat/>
    <w:uiPriority w:val="0"/>
    <w:pPr>
      <w:widowControl/>
      <w:spacing w:line="360" w:lineRule="auto"/>
      <w:ind w:firstLine="480" w:firstLineChars="200"/>
      <w:jc w:val="left"/>
    </w:pPr>
    <w:rPr>
      <w:rFonts w:ascii="仿宋" w:hAnsi="仿宋" w:eastAsia="仿宋" w:cs="仿宋"/>
      <w:color w:val="000000"/>
      <w:kern w:val="0"/>
      <w:sz w:val="28"/>
      <w:lang w:bidi="ar"/>
    </w:rPr>
  </w:style>
  <w:style w:type="paragraph" w:customStyle="1" w:styleId="24">
    <w:name w:val="方案正文"/>
    <w:basedOn w:val="1"/>
    <w:qFormat/>
    <w:uiPriority w:val="0"/>
    <w:pPr>
      <w:snapToGrid w:val="0"/>
      <w:spacing w:line="360" w:lineRule="auto"/>
      <w:ind w:firstLine="883" w:firstLineChars="200"/>
    </w:pPr>
    <w:rPr>
      <w:rFonts w:hint="eastAsia" w:ascii="仿宋" w:hAnsi="仿宋" w:eastAsia="仿宋" w:cs="Times New Roman"/>
      <w:sz w:val="28"/>
      <w:szCs w:val="22"/>
    </w:rPr>
  </w:style>
  <w:style w:type="paragraph" w:customStyle="1" w:styleId="25">
    <w:name w:val="方案正文（贺）"/>
    <w:basedOn w:val="1"/>
    <w:qFormat/>
    <w:uiPriority w:val="0"/>
    <w:pPr>
      <w:spacing w:line="360" w:lineRule="auto"/>
      <w:ind w:firstLine="640" w:firstLineChars="200"/>
    </w:pPr>
    <w:rPr>
      <w:rFonts w:eastAsia="宋体" w:asciiTheme="minorAscii" w:hAnsiTheme="minorAscii"/>
      <w:sz w:val="28"/>
      <w:szCs w:val="32"/>
    </w:rPr>
  </w:style>
  <w:style w:type="character" w:customStyle="1" w:styleId="26">
    <w:name w:val="标书格式（贺-小字体） Char"/>
    <w:link w:val="22"/>
    <w:qFormat/>
    <w:uiPriority w:val="0"/>
    <w:rPr>
      <w:rFonts w:hint="eastAsia" w:ascii="Times New Roman" w:hAnsi="Times New Roman" w:eastAsia="宋体" w:cs="Times New Roman"/>
      <w:sz w:val="24"/>
      <w:szCs w:val="22"/>
      <w:lang w:eastAsia="zh-Hans"/>
    </w:rPr>
  </w:style>
  <w:style w:type="paragraph" w:customStyle="1" w:styleId="27">
    <w:name w:val="宋体小四标准"/>
    <w:basedOn w:val="1"/>
    <w:qFormat/>
    <w:uiPriority w:val="0"/>
    <w:pPr>
      <w:topLinePunct/>
      <w:spacing w:line="360" w:lineRule="auto"/>
      <w:ind w:firstLine="480" w:firstLineChars="200"/>
      <w:contextualSpacing/>
    </w:pPr>
    <w:rPr>
      <w:rFonts w:hint="eastAsia" w:ascii="宋体" w:hAnsi="宋体" w:eastAsia="宋体" w:cs="宋体"/>
      <w:snapToGrid w:val="0"/>
      <w:color w:val="auto"/>
      <w:sz w:val="24"/>
      <w:szCs w:val="21"/>
    </w:rPr>
  </w:style>
  <w:style w:type="paragraph" w:customStyle="1" w:styleId="28">
    <w:name w:val="汇报-大标题"/>
    <w:basedOn w:val="1"/>
    <w:qFormat/>
    <w:uiPriority w:val="0"/>
    <w:pPr>
      <w:keepNext/>
      <w:keepLines/>
      <w:spacing w:line="576" w:lineRule="exact"/>
      <w:jc w:val="center"/>
      <w:outlineLvl w:val="0"/>
    </w:pPr>
    <w:rPr>
      <w:rFonts w:hint="eastAsia" w:ascii="仿宋" w:hAnsi="仿宋" w:eastAsia="方正小标宋_GBK"/>
      <w:bCs/>
      <w:kern w:val="44"/>
      <w:sz w:val="44"/>
      <w:szCs w:val="44"/>
    </w:rPr>
  </w:style>
  <w:style w:type="paragraph" w:customStyle="1" w:styleId="29">
    <w:name w:val="汇报-正文"/>
    <w:basedOn w:val="1"/>
    <w:qFormat/>
    <w:uiPriority w:val="0"/>
    <w:pPr>
      <w:spacing w:line="576" w:lineRule="exact"/>
      <w:ind w:firstLine="640" w:firstLineChars="200"/>
      <w:jc w:val="left"/>
    </w:pPr>
    <w:rPr>
      <w:rFonts w:hint="eastAsia" w:ascii="方正仿宋_GBK" w:hAnsi="方正仿宋_GBK" w:eastAsia="方正仿宋_GBK"/>
      <w:sz w:val="32"/>
      <w:szCs w:val="44"/>
    </w:rPr>
  </w:style>
  <w:style w:type="paragraph" w:customStyle="1" w:styleId="30">
    <w:name w:val="汇报-一级标题"/>
    <w:basedOn w:val="1"/>
    <w:qFormat/>
    <w:uiPriority w:val="0"/>
    <w:pPr>
      <w:keepNext/>
      <w:keepLines/>
      <w:spacing w:line="576" w:lineRule="exact"/>
      <w:ind w:firstLine="640" w:firstLineChars="200"/>
      <w:jc w:val="left"/>
      <w:outlineLvl w:val="0"/>
    </w:pPr>
    <w:rPr>
      <w:rFonts w:hint="eastAsia" w:ascii="仿宋" w:hAnsi="仿宋" w:eastAsia="方正黑体_GBK"/>
      <w:bCs/>
      <w:kern w:val="44"/>
      <w:sz w:val="32"/>
      <w:szCs w:val="44"/>
    </w:rPr>
  </w:style>
  <w:style w:type="paragraph" w:customStyle="1" w:styleId="31">
    <w:name w:val="汇报-二级标题"/>
    <w:basedOn w:val="1"/>
    <w:qFormat/>
    <w:uiPriority w:val="0"/>
    <w:pPr>
      <w:keepNext/>
      <w:keepLines/>
      <w:spacing w:line="576" w:lineRule="exact"/>
      <w:ind w:firstLine="643" w:firstLineChars="200"/>
      <w:jc w:val="left"/>
      <w:outlineLvl w:val="1"/>
    </w:pPr>
    <w:rPr>
      <w:rFonts w:hint="eastAsia" w:ascii="仿宋" w:hAnsi="仿宋" w:eastAsia="方正楷体_GBK"/>
      <w:b/>
      <w:bCs/>
      <w:kern w:val="44"/>
      <w:sz w:val="32"/>
      <w:szCs w:val="44"/>
    </w:rPr>
  </w:style>
  <w:style w:type="paragraph" w:customStyle="1" w:styleId="32">
    <w:name w:val="汇报-三级标题"/>
    <w:basedOn w:val="1"/>
    <w:qFormat/>
    <w:uiPriority w:val="0"/>
    <w:pPr>
      <w:numPr>
        <w:ilvl w:val="0"/>
        <w:numId w:val="2"/>
      </w:numPr>
      <w:spacing w:line="576" w:lineRule="exact"/>
      <w:ind w:firstLine="640" w:firstLineChars="200"/>
      <w:jc w:val="left"/>
      <w:outlineLvl w:val="2"/>
    </w:pPr>
    <w:rPr>
      <w:rFonts w:hint="eastAsia" w:ascii="方正仿宋_GBK" w:hAnsi="方正仿宋_GBK" w:eastAsia="方正仿宋_GBK"/>
      <w:b/>
      <w:bCs/>
      <w:sz w:val="32"/>
      <w:szCs w:val="44"/>
    </w:rPr>
  </w:style>
  <w:style w:type="character" w:customStyle="1" w:styleId="33">
    <w:name w:val="font21"/>
    <w:basedOn w:val="9"/>
    <w:qFormat/>
    <w:uiPriority w:val="0"/>
    <w:rPr>
      <w:rFonts w:hint="default" w:ascii="仿宋" w:hAnsi="仿宋" w:eastAsia="仿宋" w:cs="仿宋"/>
      <w:color w:val="000000"/>
      <w:sz w:val="24"/>
      <w:szCs w:val="24"/>
      <w:u w:val="none"/>
    </w:rPr>
  </w:style>
  <w:style w:type="table" w:customStyle="1" w:styleId="34">
    <w:name w:val="Table Normal"/>
    <w:unhideWhenUsed/>
    <w:qFormat/>
    <w:uiPriority w:val="0"/>
    <w:tblPr>
      <w:tblCellMar>
        <w:top w:w="0" w:type="dxa"/>
        <w:left w:w="0" w:type="dxa"/>
        <w:bottom w:w="0" w:type="dxa"/>
        <w:right w:w="0" w:type="dxa"/>
      </w:tblCellMar>
    </w:tblPr>
  </w:style>
  <w:style w:type="paragraph" w:customStyle="1" w:styleId="35">
    <w:name w:val="Table Text"/>
    <w:basedOn w:val="1"/>
    <w:semiHidden/>
    <w:qFormat/>
    <w:uiPriority w:val="0"/>
    <w:rPr>
      <w:rFonts w:ascii="Arial" w:hAnsi="Arial" w:eastAsia="Arial" w:cs="Arial"/>
      <w:sz w:val="21"/>
      <w:szCs w:val="21"/>
      <w:lang w:val="en-US" w:eastAsia="en-US" w:bidi="ar-SA"/>
    </w:rPr>
  </w:style>
  <w:style w:type="paragraph" w:customStyle="1" w:styleId="36">
    <w:name w:val="图片"/>
    <w:next w:val="1"/>
    <w:qFormat/>
    <w:uiPriority w:val="0"/>
    <w:pPr>
      <w:spacing w:line="360" w:lineRule="auto"/>
      <w:jc w:val="center"/>
    </w:pPr>
    <w:rPr>
      <w:rFonts w:ascii="Calibri" w:hAnsi="Calibri" w:eastAsia="宋体" w:cs="Times New Roman"/>
      <w:kern w:val="2"/>
      <w:sz w:val="24"/>
      <w:szCs w:val="22"/>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7648</Words>
  <Characters>7916</Characters>
  <Lines>0</Lines>
  <Paragraphs>0</Paragraphs>
  <TotalTime>0</TotalTime>
  <ScaleCrop>false</ScaleCrop>
  <LinksUpToDate>false</LinksUpToDate>
  <CharactersWithSpaces>7956</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2025-08-15T09:18:00Z</dcterms:created>
  <dc:creator>刘欣悦 </dc:creator>
  <cp:lastModifiedBy>刘欣悦 </cp:lastModifiedBy>
  <dcterms:modified xsi:type="dcterms:W3CDTF">2025-08-22T16:03:38Z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3B0F39461F7DF0CB0F009F68F0E4C5E8_43</vt:lpwstr>
  </property>
  <property fmtid="{D5CDD505-2E9C-101B-9397-08002B2CF9AE}" pid="4" name="KSOTemplateDocerSaveRecord">
    <vt:lpwstr>eyJoZGlkIjoiYTc2ZGZiNzZiNDVlOGViOWVmM2JhOTY0NGJkNjUyYzgiLCJ1c2VySWQiOiIyNTYyNjc5NTUifQ==</vt:lpwstr>
  </property>
</Properties>
</file>