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565EE9">
      <w:pPr>
        <w:ind w:left="0" w:leftChars="0" w:firstLine="0" w:firstLineChars="0"/>
        <w:jc w:val="center"/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黄浦区政务服务中心智能帮办及</w:t>
      </w:r>
      <w:bookmarkStart w:id="3" w:name="_GoBack"/>
      <w:bookmarkEnd w:id="3"/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政策匹配系统建设项目</w:t>
      </w:r>
      <w:r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  <w:t>汇报</w:t>
      </w:r>
    </w:p>
    <w:p w14:paraId="5911F4E8">
      <w:pPr>
        <w:pStyle w:val="3"/>
        <w:bidi w:val="0"/>
      </w:pPr>
      <w:bookmarkStart w:id="0" w:name="_Toc170919632"/>
      <w:bookmarkStart w:id="1" w:name="_Toc170919617"/>
      <w:r>
        <w:rPr>
          <w:rFonts w:hint="eastAsia"/>
        </w:rPr>
        <w:t>项目建设的依据</w:t>
      </w:r>
      <w:bookmarkEnd w:id="0"/>
    </w:p>
    <w:p w14:paraId="20ED5F7F">
      <w:pPr>
        <w:bidi w:val="0"/>
        <w:rPr>
          <w:lang w:eastAsia="zh-CN"/>
        </w:rPr>
      </w:pPr>
      <w:r>
        <w:rPr>
          <w:rFonts w:hint="eastAsia"/>
          <w:lang w:val="en-US" w:eastAsia="zh-CN"/>
        </w:rPr>
        <w:t>本</w:t>
      </w:r>
      <w:r>
        <w:rPr>
          <w:rFonts w:hint="eastAsia"/>
          <w:lang w:eastAsia="zh-CN"/>
        </w:rPr>
        <w:t>项目提出的政策背景和直接相关的依据性文件，具体包括以下几点摘要：</w:t>
      </w:r>
    </w:p>
    <w:p w14:paraId="4D753E3D">
      <w:pPr>
        <w:bidi w:val="0"/>
        <w:rPr>
          <w:lang w:eastAsia="zh-CN"/>
        </w:rPr>
      </w:pPr>
      <w:r>
        <w:rPr>
          <w:rFonts w:hint="eastAsia"/>
          <w:lang w:eastAsia="zh-CN"/>
        </w:rPr>
        <w:t>国家政策导向：国务院《关于加快推进政务服务标准化规范化便利化的指导意见》（国发〔2022〕5号），提出推进各类与企业群众生活密切相关服务进驻政务服务平台，为项目提供了宏观政策导向。</w:t>
      </w:r>
    </w:p>
    <w:p w14:paraId="25E17F5B">
      <w:pPr>
        <w:bidi w:val="0"/>
        <w:rPr>
          <w:lang w:eastAsia="zh-CN"/>
        </w:rPr>
      </w:pPr>
      <w:r>
        <w:rPr>
          <w:rFonts w:hint="eastAsia"/>
          <w:lang w:eastAsia="zh-CN"/>
        </w:rPr>
        <w:t>中央对民营经济的支持：中共中央、国务院《关于促进民营经济发展壮大的意见》，强调加大对民营经济的政策支持，为项目中引入专业服务机构，服务民营企业提供了政策依据。</w:t>
      </w:r>
    </w:p>
    <w:p w14:paraId="56DF8DB0">
      <w:pPr>
        <w:bidi w:val="0"/>
        <w:rPr>
          <w:lang w:eastAsia="zh-CN"/>
        </w:rPr>
      </w:pPr>
      <w:r>
        <w:rPr>
          <w:rFonts w:hint="eastAsia"/>
          <w:lang w:eastAsia="zh-CN"/>
        </w:rPr>
        <w:t>上海市的地方政策与行动方案：《上海市优化政务服务提升行政效能深化“一网通办”改革行动方案（2024—2026年）》（沪府办发〔2024〕2号）提出全面拓展服务范围，深化“一网通办”改革，为项目具体实施路径指明方向。</w:t>
      </w:r>
    </w:p>
    <w:p w14:paraId="594B8BA7">
      <w:pPr>
        <w:bidi w:val="0"/>
        <w:rPr>
          <w:lang w:eastAsia="zh-CN"/>
        </w:rPr>
      </w:pPr>
      <w:r>
        <w:rPr>
          <w:rFonts w:hint="eastAsia"/>
          <w:lang w:eastAsia="zh-CN"/>
        </w:rPr>
        <w:t>国务院关于高效办成一件事的指导意见：《国务院关于进一步优化政务服务提升行政效能推动“高效办成一件事”的指导意见》（国发〔2024〕3号），强调打造定制化、套餐式、模块化的涉企服务场景，为项目提供了具体的服务模式指导。</w:t>
      </w:r>
    </w:p>
    <w:p w14:paraId="42396307">
      <w:pPr>
        <w:bidi w:val="0"/>
        <w:rPr>
          <w:lang w:eastAsia="zh-CN"/>
        </w:rPr>
      </w:pPr>
      <w:r>
        <w:rPr>
          <w:rFonts w:hint="eastAsia"/>
          <w:lang w:eastAsia="zh-CN"/>
        </w:rPr>
        <w:t>《上海市加快“人工智能+政务服务”改革推动“高效办成一件事”实施方案》（沪府办发〔2025〕7号），强化数据归集共享、模型算法和大数据分析支撑，精准匹配符合政策条件的企业和群众。</w:t>
      </w:r>
    </w:p>
    <w:p w14:paraId="2E98E9D2">
      <w:pPr>
        <w:bidi w:val="0"/>
        <w:rPr>
          <w:lang w:eastAsia="zh-CN"/>
        </w:rPr>
      </w:pPr>
      <w:r>
        <w:rPr>
          <w:rFonts w:hint="eastAsia"/>
          <w:lang w:eastAsia="zh-CN"/>
        </w:rPr>
        <w:t>上海市人民政府办公厅关于印发《2023年上海市全面深化“一网通办”改革工作要点》的通知（沪府办发〔2023〕3号）加强数据和算法支撑，依托“两页”实现智能匹配、自动送达、快速兑现。</w:t>
      </w:r>
    </w:p>
    <w:p w14:paraId="3B4EF4C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上海市人民政府办公厅关于印发《2025年上海市推进政府职能转变和行政审批制度改革工作要点》的通知（沪府办〔2025〕6号）持续提升政策申兑便利，推动更多惠企政策“免申即享”“直达快享”。深入实施重点企业“服务包”制度，加快完善招商引资和企业服务体制机制。持续清理妨碍统一市场和公平竞争的政策措施。</w:t>
      </w:r>
    </w:p>
    <w:p w14:paraId="5F1262AB">
      <w:pPr>
        <w:bidi w:val="0"/>
        <w:rPr>
          <w:lang w:eastAsia="zh-CN"/>
        </w:rPr>
      </w:pPr>
      <w:r>
        <w:rPr>
          <w:rFonts w:hint="eastAsia"/>
          <w:lang w:eastAsia="zh-CN"/>
        </w:rPr>
        <w:t>上海市人民政府办公厅关于印发《上海市坚持对标改革持续打造国际一流营商环境行动方案》的通知（沪府办发〔2024〕1号）持续提升政策申兑便利，推动更多惠企政策“免申即享”“直达快享”。深入实施重点企业“服务包”制度，加快完善招商引资和企业服务体制机制。</w:t>
      </w:r>
    </w:p>
    <w:p w14:paraId="5F60202C">
      <w:pPr>
        <w:bidi w:val="0"/>
        <w:rPr>
          <w:lang w:eastAsia="zh-CN"/>
        </w:rPr>
      </w:pPr>
      <w:r>
        <w:rPr>
          <w:rFonts w:hint="eastAsia"/>
          <w:lang w:eastAsia="zh-CN"/>
        </w:rPr>
        <w:t>上海市人民政府办公厅关于印发《上海市聚焦提升企业感受 持续打造国际一流营商环境行动方案》的通知（沪府办发〔2025〕1号）落实政策发布前对政策申报条件、申请材料、评审规则等审查要点进行全量精准标注的工作要求，保障政策精准推送和申报提醒等智能服务。优化“一网通办”惠企政策精准服务平台。</w:t>
      </w:r>
    </w:p>
    <w:p w14:paraId="05BF20F6">
      <w:pPr>
        <w:bidi w:val="0"/>
        <w:rPr>
          <w:lang w:eastAsia="zh-CN"/>
        </w:rPr>
      </w:pPr>
      <w:r>
        <w:rPr>
          <w:rFonts w:hint="eastAsia"/>
          <w:lang w:eastAsia="zh-CN"/>
        </w:rPr>
        <w:t>2024年9月27日上海市第十六届 人民代表大会常务委员会第十六次会议《上海市优化营商环境条例》（2024修正）本市建立惠企政策全流程服务工作机制。</w:t>
      </w:r>
    </w:p>
    <w:p w14:paraId="10604334">
      <w:pPr>
        <w:bidi w:val="0"/>
        <w:rPr>
          <w:lang w:eastAsia="zh-CN"/>
        </w:rPr>
      </w:pPr>
      <w:r>
        <w:rPr>
          <w:rFonts w:hint="eastAsia"/>
          <w:lang w:eastAsia="zh-CN"/>
        </w:rPr>
        <w:t>黄浦区地方政策与实施方案：黄浦区人民政府办公室发布的《2024年黄浦区推进政府职能转变和行政审批制度改革工作要点》（黄府办字〔2024〕9号），明确提升政务服务中心提供专业服务能力，推动服务包制度升级，与项目目标紧密相连。</w:t>
      </w:r>
    </w:p>
    <w:p w14:paraId="22256FB7">
      <w:pPr>
        <w:bidi w:val="0"/>
        <w:rPr>
          <w:lang w:eastAsia="zh-CN"/>
        </w:rPr>
      </w:pPr>
      <w:r>
        <w:rPr>
          <w:rFonts w:hint="eastAsia"/>
          <w:lang w:eastAsia="zh-CN"/>
        </w:rPr>
        <w:t>这些文件作为项目实施的重要依据，不仅为项目确立了合法性、合理性，而且提供了明确的政策导向和实施框架，确保项目与国家和地方战略部署保持一致，针对性地解决企业需求，优化黄浦区营商环境。所有相关的依据性文件均应作为项目建议书的附件提供，以供查阅和审查。</w:t>
      </w:r>
    </w:p>
    <w:p w14:paraId="1C1719BE">
      <w:pPr>
        <w:pStyle w:val="3"/>
        <w:bidi w:val="0"/>
        <w:rPr>
          <w:lang w:eastAsia="zh-CN"/>
        </w:rPr>
      </w:pPr>
      <w:r>
        <w:rPr>
          <w:rFonts w:hint="eastAsia"/>
          <w:lang w:eastAsia="zh-CN"/>
        </w:rPr>
        <w:t>建设目标</w:t>
      </w:r>
      <w:bookmarkEnd w:id="1"/>
    </w:p>
    <w:p w14:paraId="3D434E63">
      <w:pPr>
        <w:rPr>
          <w:lang w:val="en-US" w:eastAsia="zh-CN"/>
        </w:rPr>
      </w:pPr>
      <w:r>
        <w:rPr>
          <w:rFonts w:hint="eastAsia"/>
          <w:lang w:val="en-US" w:eastAsia="zh-CN"/>
        </w:rPr>
        <w:t>本项目</w:t>
      </w:r>
      <w:r>
        <w:rPr>
          <w:lang w:val="en-US" w:eastAsia="zh-CN"/>
        </w:rPr>
        <w:t>在原有帮办系统基础上进行升级，优化页面设计，完善系统功能，便利店适配pad和手机端，新增政策匹配，通过建设专业、高效、便捷的帮办服务模式，帮助用户解决事务办理过程中的各类问题，节省时间和精力成本，提升办事体验。</w:t>
      </w:r>
    </w:p>
    <w:p w14:paraId="5A2306ED">
      <w:pPr>
        <w:rPr>
          <w:lang w:val="en-US" w:eastAsia="zh-CN"/>
        </w:rPr>
      </w:pPr>
      <w:r>
        <w:rPr>
          <w:lang w:val="en-US" w:eastAsia="zh-CN"/>
        </w:rPr>
        <w:t>本项目进行帮办升级，打造更全面、更好用的帮办系统，持续优化群众办事体验；拓展便利店pad端和手机端，为办事人带来更便捷的服务体验；新增政策匹配建设，通过引入大模型、大数据、深度学习、知识图谱等先进技术，构建全面的企业画像库与政策库，在智能化政策文本解读与政策要素提取以及自动化政策匹配，实现政策与企业的双向精准匹配。大大减少了企业人工政策查找负担，以智能化政策匹配与精准推荐，完成从“人找政策”到“政策找人”的转变。大幅提高企业获取惠企政策和解读的效率，实现“一企一策”精准服务并优化区域营商环境。助力提高黄浦惠企政策精准化服务的效率和水平，同时贯彻国家要求，推进政务服务标准化规范化便利化，探索具有黄浦特色的新型帮办服务。</w:t>
      </w:r>
    </w:p>
    <w:p w14:paraId="7445D6AE">
      <w:pPr>
        <w:pStyle w:val="3"/>
        <w:bidi w:val="0"/>
      </w:pPr>
      <w:bookmarkStart w:id="2" w:name="_Toc170919677"/>
      <w:r>
        <w:rPr>
          <w:rFonts w:hint="eastAsia"/>
          <w:lang w:eastAsia="zh-CN"/>
        </w:rPr>
        <w:t>建设内容</w:t>
      </w:r>
      <w:bookmarkEnd w:id="2"/>
    </w:p>
    <w:p w14:paraId="3649C966">
      <w:pPr>
        <w:rPr>
          <w:rFonts w:cs="Times New Roman"/>
        </w:rPr>
      </w:pPr>
      <w:r>
        <w:rPr>
          <w:rFonts w:hint="eastAsia" w:cs="Times New Roman"/>
        </w:rPr>
        <w:t>本项目在优化</w:t>
      </w:r>
      <w:r>
        <w:rPr>
          <w:rFonts w:hint="eastAsia" w:cs="Times New Roman"/>
          <w:lang w:val="en-US" w:eastAsia="zh-CN"/>
        </w:rPr>
        <w:t>帮办、便利店系统的基础上</w:t>
      </w:r>
      <w:r>
        <w:rPr>
          <w:rFonts w:hint="eastAsia" w:cs="Times New Roman"/>
        </w:rPr>
        <w:t>，</w:t>
      </w:r>
      <w:r>
        <w:rPr>
          <w:rFonts w:hint="eastAsia" w:cs="Times New Roman"/>
          <w:lang w:val="en-US" w:eastAsia="zh-CN"/>
        </w:rPr>
        <w:t>依托企业和个人专属服务空间，</w:t>
      </w:r>
      <w:r>
        <w:rPr>
          <w:rFonts w:hint="eastAsia" w:cs="Times New Roman"/>
        </w:rPr>
        <w:t>建设</w:t>
      </w:r>
      <w:r>
        <w:rPr>
          <w:rFonts w:hint="eastAsia" w:cs="Times New Roman"/>
          <w:lang w:eastAsia="zh-CN"/>
        </w:rPr>
        <w:t>、</w:t>
      </w:r>
      <w:r>
        <w:rPr>
          <w:rFonts w:hint="eastAsia" w:cs="Times New Roman"/>
          <w:lang w:val="en-US" w:eastAsia="zh-CN"/>
        </w:rPr>
        <w:t>完善普惠政策库和企业画像库</w:t>
      </w:r>
      <w:r>
        <w:rPr>
          <w:rFonts w:hint="eastAsia" w:cs="Times New Roman"/>
        </w:rPr>
        <w:t>，</w:t>
      </w:r>
      <w:r>
        <w:rPr>
          <w:rFonts w:hint="eastAsia" w:cs="Times New Roman"/>
          <w:lang w:val="en-US" w:eastAsia="zh-CN"/>
        </w:rPr>
        <w:t>通过使用DeepSeek通过数据共享、大数据分析、人工智能辅助，精准匹配符合条件的企业群众进行技术赋能，实现</w:t>
      </w:r>
      <w:r>
        <w:rPr>
          <w:rFonts w:hint="eastAsia" w:cs="Times New Roman"/>
        </w:rPr>
        <w:t>快速、智能和精确匹配出相对应的服务政策清单，为使用者匹配就业、创业、灵活就业、能力提升等各式政策服务内容。</w:t>
      </w:r>
    </w:p>
    <w:p w14:paraId="2E0CF8CD">
      <w:pPr>
        <w:numPr>
          <w:ilvl w:val="0"/>
          <w:numId w:val="2"/>
        </w:numPr>
        <w:ind w:firstLine="880"/>
        <w:rPr>
          <w:rFonts w:hint="eastAsia" w:cs="Times New Roman"/>
        </w:rPr>
      </w:pPr>
      <w:r>
        <w:rPr>
          <w:rFonts w:hint="eastAsia" w:cs="Times New Roman"/>
        </w:rPr>
        <w:t>本次页面优化包括海关事务网页化改造、黄浦外籍人士服务工作台、职业技能独立活动、企业信息录入、工程建设项目审批审查中心独立板块、办事指南的展示，通过不断优化帮办系统页面，在系统操作和页面设计方面不断优化用户的办事体验。</w:t>
      </w:r>
    </w:p>
    <w:p w14:paraId="32DFE7C1">
      <w:pPr>
        <w:numPr>
          <w:ilvl w:val="0"/>
          <w:numId w:val="2"/>
        </w:numPr>
        <w:ind w:firstLine="880"/>
        <w:rPr>
          <w:rFonts w:cs="Times New Roman"/>
        </w:rPr>
      </w:pPr>
      <w:r>
        <w:rPr>
          <w:rFonts w:hint="eastAsia" w:cs="Times New Roman"/>
        </w:rPr>
        <w:t>功能</w:t>
      </w:r>
      <w:r>
        <w:rPr>
          <w:rFonts w:hint="eastAsia" w:cs="Times New Roman"/>
        </w:rPr>
        <w:t>完善</w:t>
      </w:r>
      <w:r>
        <w:rPr>
          <w:rFonts w:hint="eastAsia" w:cs="Times New Roman"/>
          <w:lang w:eastAsia="zh-CN"/>
        </w:rPr>
        <w:t>，</w:t>
      </w:r>
      <w:r>
        <w:rPr>
          <w:rFonts w:hint="eastAsia" w:cs="Times New Roman"/>
        </w:rPr>
        <w:t>围绕用户需求与系统目标，在现有帮办基础上进一步完善私信传输、过程留痕、统计分析、帮办联办、外滩融易行、海关事务留言板、帮办取号池改造、行政许可事项更新功能。</w:t>
      </w:r>
    </w:p>
    <w:p w14:paraId="45944B12">
      <w:pPr>
        <w:numPr>
          <w:ilvl w:val="0"/>
          <w:numId w:val="2"/>
        </w:numPr>
        <w:ind w:firstLine="880"/>
        <w:rPr>
          <w:rFonts w:cs="Times New Roman"/>
        </w:rPr>
      </w:pPr>
      <w:r>
        <w:rPr>
          <w:rFonts w:hint="eastAsia" w:cs="Times New Roman"/>
        </w:rPr>
        <w:t>便利店适配</w:t>
      </w:r>
      <w:r>
        <w:rPr>
          <w:rFonts w:hint="eastAsia" w:cs="Times New Roman"/>
          <w:lang w:eastAsia="zh-CN"/>
        </w:rPr>
        <w:t>，</w:t>
      </w:r>
      <w:r>
        <w:rPr>
          <w:rFonts w:hint="eastAsia" w:cs="Times New Roman"/>
        </w:rPr>
        <w:t>便利店正式版进行PAD端和手机端适配优化。对现有便利店页面进行全面的PAD、手机端适配，确保适配后的页面能够正常展示，</w:t>
      </w:r>
      <w:r>
        <w:rPr>
          <w:rFonts w:hint="eastAsia" w:cs="Times New Roman"/>
        </w:rPr>
        <w:t>并且</w:t>
      </w:r>
      <w:r>
        <w:rPr>
          <w:rFonts w:hint="eastAsia" w:cs="Times New Roman"/>
        </w:rPr>
        <w:t>用户可以点击使用，从而提升用户体验，增强便利店服务在移动端的可用性和便捷性。</w:t>
      </w:r>
    </w:p>
    <w:p w14:paraId="502EDBB8">
      <w:pPr>
        <w:numPr>
          <w:ilvl w:val="0"/>
          <w:numId w:val="2"/>
        </w:numPr>
        <w:ind w:firstLine="880"/>
        <w:rPr>
          <w:rFonts w:cs="Times New Roman"/>
        </w:rPr>
      </w:pPr>
      <w:r>
        <w:rPr>
          <w:rFonts w:hint="eastAsia" w:cs="Times New Roman"/>
        </w:rPr>
        <w:t>政策</w:t>
      </w:r>
      <w:r>
        <w:rPr>
          <w:rFonts w:hint="eastAsia" w:cs="Times New Roman"/>
        </w:rPr>
        <w:t>匹配</w:t>
      </w:r>
      <w:r>
        <w:rPr>
          <w:rFonts w:hint="eastAsia" w:cs="Times New Roman"/>
          <w:lang w:eastAsia="zh-CN"/>
        </w:rPr>
        <w:t>，</w:t>
      </w:r>
      <w:r>
        <w:rPr>
          <w:rFonts w:hint="eastAsia" w:cs="Times New Roman"/>
        </w:rPr>
        <w:t>构建政务服务政策匹配系统，实现政策解析、政策匹配、政策推荐、政策查询、政策问答等政策服务功能，帮助企业或个人快速、准确地找到适用于自身情况的政策信息，并实现政策与需求精准匹配的数字化平台。</w:t>
      </w:r>
    </w:p>
    <w:p w14:paraId="5DFA77D3">
      <w:pPr>
        <w:numPr>
          <w:ilvl w:val="0"/>
          <w:numId w:val="2"/>
        </w:numPr>
        <w:ind w:firstLine="880"/>
        <w:rPr>
          <w:rFonts w:hint="eastAsia"/>
          <w:lang w:val="en-US" w:eastAsia="zh-CN"/>
        </w:rPr>
      </w:pPr>
      <w:r>
        <w:rPr>
          <w:rFonts w:hint="eastAsia" w:cs="Times New Roman"/>
        </w:rPr>
        <w:t>数据互联</w:t>
      </w:r>
      <w:r>
        <w:rPr>
          <w:rFonts w:hint="eastAsia"/>
        </w:rPr>
        <w:t>互通</w:t>
      </w:r>
      <w:r>
        <w:rPr>
          <w:rFonts w:hint="eastAsia"/>
          <w:lang w:eastAsia="zh-CN"/>
        </w:rPr>
        <w:t>，</w:t>
      </w:r>
      <w:r>
        <w:rPr>
          <w:rFonts w:hint="eastAsia" w:cs="Times New Roman"/>
        </w:rPr>
        <w:t>为保障数据的正常运行，帮办系统与随申办企业云APP端黄浦旗舰店进行数据对接，进行数据互联互通，向其他系统共享办件类型数据与办不成事数据。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decorative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A7F8194F-65D8-40B8-AE2F-697F96F00EC1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0DC159A5-ACD4-42A8-973E-8123DB0B604D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640"/>
      </w:pPr>
      <w:r>
        <w:separator/>
      </w:r>
    </w:p>
  </w:footnote>
  <w:footnote w:type="continuationSeparator" w:id="1">
    <w:p>
      <w:pPr>
        <w:spacing w:line="360" w:lineRule="auto"/>
        <w:ind w:firstLine="6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602C42"/>
    <w:multiLevelType w:val="multilevel"/>
    <w:tmpl w:val="B1602C42"/>
    <w:lvl w:ilvl="0" w:tentative="0">
      <w:start w:val="1"/>
      <w:numFmt w:val="chineseCounting"/>
      <w:pStyle w:val="3"/>
      <w:suff w:val="nothing"/>
      <w:lvlText w:val="%1、"/>
      <w:lvlJc w:val="left"/>
      <w:pPr>
        <w:ind w:left="0" w:firstLine="0"/>
      </w:pPr>
      <w:rPr>
        <w:rFonts w:hint="eastAsia" w:ascii="黑体" w:hAnsi="黑体" w:eastAsia="黑体" w:cs="黑体"/>
        <w:sz w:val="32"/>
        <w:szCs w:val="32"/>
      </w:rPr>
    </w:lvl>
    <w:lvl w:ilvl="1" w:tentative="0">
      <w:start w:val="1"/>
      <w:numFmt w:val="decimal"/>
      <w:pStyle w:val="4"/>
      <w:suff w:val="nothing"/>
      <w:lvlText w:val="%2."/>
      <w:lvlJc w:val="left"/>
      <w:pPr>
        <w:tabs>
          <w:tab w:val="left" w:pos="0"/>
        </w:tabs>
        <w:ind w:left="0" w:firstLine="0"/>
      </w:pPr>
      <w:rPr>
        <w:rFonts w:hint="eastAsia" w:ascii="楷体" w:hAnsi="楷体" w:eastAsia="楷体"/>
        <w:sz w:val="32"/>
        <w:szCs w:val="32"/>
      </w:rPr>
    </w:lvl>
    <w:lvl w:ilvl="2" w:tentative="0">
      <w:start w:val="1"/>
      <w:numFmt w:val="decimal"/>
      <w:pStyle w:val="5"/>
      <w:suff w:val="nothing"/>
      <w:lvlText w:val="%2.%3."/>
      <w:lvlJc w:val="left"/>
      <w:pPr>
        <w:ind w:left="0" w:firstLine="400"/>
      </w:pPr>
      <w:rPr>
        <w:rFonts w:hint="eastAsia" w:ascii="宋体" w:hAnsi="宋体" w:eastAsia="宋体" w:cs="宋体"/>
        <w:b/>
        <w:bCs/>
        <w:sz w:val="28"/>
        <w:szCs w:val="28"/>
      </w:rPr>
    </w:lvl>
    <w:lvl w:ilvl="3" w:tentative="0">
      <w:start w:val="1"/>
      <w:numFmt w:val="decimal"/>
      <w:pStyle w:val="6"/>
      <w:suff w:val="nothing"/>
      <w:lvlText w:val="%2.%3.%4."/>
      <w:lvlJc w:val="left"/>
      <w:pPr>
        <w:ind w:left="0" w:firstLine="402"/>
      </w:pPr>
      <w:rPr>
        <w:rFonts w:hint="eastAsia" w:ascii="宋体" w:hAnsi="宋体" w:eastAsia="宋体" w:cs="宋体"/>
        <w:b/>
        <w:bCs/>
        <w:sz w:val="28"/>
        <w:szCs w:val="28"/>
      </w:rPr>
    </w:lvl>
    <w:lvl w:ilvl="4" w:tentative="0">
      <w:start w:val="1"/>
      <w:numFmt w:val="decimal"/>
      <w:pStyle w:val="7"/>
      <w:suff w:val="nothing"/>
      <w:lvlText w:val="%2.%3.%4.%5."/>
      <w:lvlJc w:val="left"/>
      <w:pPr>
        <w:ind w:left="0" w:firstLine="402"/>
      </w:pPr>
      <w:rPr>
        <w:rFonts w:hint="eastAsia" w:ascii="宋体" w:hAnsi="宋体" w:eastAsia="宋体" w:cs="宋体"/>
        <w:b/>
        <w:bCs/>
        <w:sz w:val="28"/>
        <w:szCs w:val="28"/>
      </w:rPr>
    </w:lvl>
    <w:lvl w:ilvl="5" w:tentative="0">
      <w:start w:val="1"/>
      <w:numFmt w:val="decimal"/>
      <w:pStyle w:val="8"/>
      <w:suff w:val="nothing"/>
      <w:lvlText w:val="%2.%3.%4.%5.%6."/>
      <w:lvlJc w:val="left"/>
      <w:pPr>
        <w:ind w:left="0" w:firstLine="402"/>
      </w:pPr>
      <w:rPr>
        <w:rFonts w:hint="eastAsia" w:ascii="宋体" w:hAnsi="宋体" w:eastAsia="宋体" w:cs="宋体"/>
        <w:b/>
        <w:bCs/>
        <w:sz w:val="28"/>
        <w:szCs w:val="28"/>
      </w:rPr>
    </w:lvl>
    <w:lvl w:ilvl="6" w:tentative="0">
      <w:start w:val="1"/>
      <w:numFmt w:val="decimalFullWidth"/>
      <w:pStyle w:val="9"/>
      <w:suff w:val="nothing"/>
      <w:lvlText w:val="%2.%3.%4.%5.%6.%7.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">
    <w:nsid w:val="B999C728"/>
    <w:multiLevelType w:val="singleLevel"/>
    <w:tmpl w:val="B999C728"/>
    <w:lvl w:ilvl="0" w:tentative="0">
      <w:start w:val="1"/>
      <w:numFmt w:val="decimal"/>
      <w:suff w:val="nothing"/>
      <w:lvlText w:val="（%1）"/>
      <w:lvlJc w:val="left"/>
      <w:rPr>
        <w:rFonts w:hint="default" w:ascii="仿宋_GB2312" w:hAnsi="仿宋_GB2312" w:eastAsia="仿宋_GB2312" w:cs="仿宋_GB2312"/>
        <w:sz w:val="32"/>
        <w:szCs w:val="32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300297"/>
    <w:rsid w:val="29694D19"/>
    <w:rsid w:val="4FCE6EF1"/>
    <w:rsid w:val="5730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360" w:lineRule="auto"/>
      <w:ind w:firstLine="880" w:firstLineChars="200"/>
      <w:jc w:val="both"/>
    </w:pPr>
    <w:rPr>
      <w:rFonts w:eastAsia="仿宋_GB2312" w:asciiTheme="minorAscii" w:hAnsiTheme="minorAscii" w:cstheme="minorBidi"/>
      <w:kern w:val="2"/>
      <w:sz w:val="32"/>
      <w:szCs w:val="24"/>
      <w:lang w:val="en-US" w:eastAsia="zh-CN" w:bidi="ar-SA"/>
    </w:rPr>
  </w:style>
  <w:style w:type="paragraph" w:styleId="3">
    <w:name w:val="heading 1"/>
    <w:basedOn w:val="1"/>
    <w:next w:val="1"/>
    <w:link w:val="14"/>
    <w:qFormat/>
    <w:uiPriority w:val="0"/>
    <w:pPr>
      <w:keepNext/>
      <w:keepLines/>
      <w:numPr>
        <w:ilvl w:val="0"/>
        <w:numId w:val="1"/>
      </w:numPr>
      <w:tabs>
        <w:tab w:val="left" w:pos="0"/>
      </w:tabs>
      <w:spacing w:before="480" w:beforeLines="0" w:beforeAutospacing="0" w:after="360" w:afterLines="0" w:afterAutospacing="0" w:line="480" w:lineRule="exact"/>
      <w:ind w:left="0" w:firstLine="0"/>
      <w:jc w:val="left"/>
      <w:outlineLvl w:val="0"/>
    </w:pPr>
    <w:rPr>
      <w:rFonts w:ascii="Times New Roman" w:hAnsi="Times New Roman" w:eastAsia="黑体" w:cs="Arial"/>
      <w:color w:val="333333"/>
      <w:kern w:val="44"/>
      <w:sz w:val="32"/>
      <w:szCs w:val="28"/>
      <w:shd w:val="clear" w:color="auto" w:fill="F7F8FA"/>
    </w:rPr>
  </w:style>
  <w:style w:type="paragraph" w:styleId="4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tabs>
        <w:tab w:val="left" w:pos="420"/>
        <w:tab w:val="clear" w:pos="0"/>
      </w:tabs>
      <w:spacing w:before="260" w:beforeLines="0" w:beforeAutospacing="0" w:after="260" w:afterLines="0" w:afterAutospacing="0" w:line="413" w:lineRule="auto"/>
      <w:ind w:left="0" w:firstLine="0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0" w:firstLine="400"/>
      <w:outlineLvl w:val="2"/>
    </w:pPr>
    <w:rPr>
      <w:b/>
      <w:sz w:val="32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0" w:firstLine="402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0" w:firstLine="402"/>
      <w:outlineLvl w:val="4"/>
    </w:pPr>
    <w:rPr>
      <w:b/>
      <w:sz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0" w:firstLine="402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0" w:firstLine="402"/>
      <w:outlineLvl w:val="6"/>
    </w:pPr>
    <w:rPr>
      <w:rFonts w:ascii="Times New Roman" w:hAnsi="Times New Roman" w:eastAsia="宋体"/>
      <w:b/>
      <w:sz w:val="28"/>
      <w:szCs w:val="22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0" w:firstLine="402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0" w:firstLine="402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2"/>
    <w:basedOn w:val="1"/>
    <w:next w:val="1"/>
    <w:qFormat/>
    <w:uiPriority w:val="39"/>
    <w:pPr>
      <w:ind w:left="200" w:leftChars="200" w:firstLine="0" w:firstLineChars="0"/>
    </w:pPr>
    <w:rPr>
      <w:rFonts w:eastAsia="黑体" w:asciiTheme="minorHAnsi"/>
      <w:smallCaps/>
      <w:szCs w:val="20"/>
    </w:rPr>
  </w:style>
  <w:style w:type="character" w:customStyle="1" w:styleId="14">
    <w:name w:val="标题 1 Char"/>
    <w:link w:val="3"/>
    <w:qFormat/>
    <w:uiPriority w:val="0"/>
    <w:rPr>
      <w:rFonts w:ascii="Times New Roman" w:hAnsi="Times New Roman" w:eastAsia="黑体" w:cs="Arial"/>
      <w:color w:val="333333"/>
      <w:kern w:val="44"/>
      <w:sz w:val="32"/>
      <w:szCs w:val="28"/>
      <w:shd w:val="clear" w:color="auto" w:fill="F7F8F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2025-07-01T09:24:00Z</dcterms:created>
  <dc:creator>安格瑞</dc:creator>
  <cp:lastModifiedBy>安格瑞</cp:lastModifiedBy>
  <dcterms:modified xsi:type="dcterms:W3CDTF">2025-07-01T09:33:34Z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6F3423680BCA401CB46AEE4E17804A31_11</vt:lpwstr>
  </property>
  <property fmtid="{D5CDD505-2E9C-101B-9397-08002B2CF9AE}" pid="4" name="KSOTemplateDocerSaveRecord">
    <vt:lpwstr>eyJoZGlkIjoiMGJiNjhlODE2ZGRlMWRhNTI5Njk3NjRkNzEzMGQ2MDciLCJ1c2VySWQiOiIyNTE0MjczMTQifQ==</vt:lpwstr>
  </property>
</Properties>
</file>