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lineRule="auto"/>
        <w:jc w:val="center"/>
      </w:pPr>
      <w:r>
        <w:drawing>
          <wp:inline distT="0" distB="0" distL="0" distR="0">
            <wp:extent cx="1228725"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28725" cy="638175"/>
                    </a:xfrm>
                    <a:prstGeom prst="rect">
                      <a:avLst/>
                    </a:prstGeom>
                  </pic:spPr>
                </pic:pic>
              </a:graphicData>
            </a:graphic>
          </wp:inline>
        </w:drawing>
      </w:r>
    </w:p>
    <w:tbl>
      <w:tblPr>
        <w:tblW w:type="dxa" w:w="10739"/>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0"/>
        <w:gridCol w:w="2849"/>
        <w:gridCol w:w="2430"/>
        <w:gridCol w:w="3450"/>
      </w:tblGrid>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Title</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Mid-Month and Month-End Financial Reporting Procedure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Code</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FIN-RPT-PROC-01</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Type</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Procedure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Parent Document</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To be assigned</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Process Covered</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Executive Financial Reporting to the CEO and COO</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Area</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Finance / Financial Reporting</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Unit</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Finance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Owner</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Finance Controller</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Version</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0.1</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Status / Effective Date</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Draft for Review / Upon Approval</w:t>
            </w:r>
          </w:p>
        </w:tc>
      </w:tr>
    </w:tbl>
    <w:p>
      <w:pPr>
        <w:spacing w:after="60" w:line="240"/>
      </w:pPr>
    </w:p>
    <w:p>
      <w:pPr>
        <w:keepNext/>
        <w:spacing w:after="0" w:line="276" w:lineRule="auto"/>
      </w:pPr>
      <w:r>
        <w:rPr>
          <w:rFonts w:ascii="Arial" w:cs="Arial" w:eastAsia="Arial" w:hAnsi="Arial"/>
          <w:b/>
          <w:bCs/>
          <w:color w:val="5B9BD5"/>
          <w:sz w:val="26"/>
          <w:szCs w:val="26"/>
        </w:rPr>
        <w:t xml:space="preserve">1. Purpose</w:t>
      </w:r>
    </w:p>
    <w:p>
      <w:pPr>
        <w:spacing w:line="276" w:lineRule="auto"/>
      </w:pPr>
      <w:r>
        <w:rPr>
          <w:rFonts w:ascii="Arial" w:cs="Arial" w:eastAsia="Arial" w:hAnsi="Arial"/>
          <w:b/>
          <w:bCs/>
        </w:rPr>
        <w:t xml:space="preserve">1.1</w:t>
      </w:r>
      <w:r>
        <w:rPr>
          <w:rFonts w:ascii="Arial" w:cs="Arial" w:eastAsia="Arial" w:hAnsi="Arial"/>
        </w:rPr>
        <w:t xml:space="preserve"> </w:t>
      </w:r>
      <w:r>
        <w:rPr>
          <w:rFonts w:ascii="Arial" w:cs="Arial" w:eastAsia="Arial" w:hAnsi="Arial"/>
        </w:rPr>
        <w:t xml:space="preserve">This procedure establishes a consistent process for analyzing and communicating financial and operational performance to the Chief Executive Officer (CEO) and Chief Operating Officer (COO) at mid-month and at month-end.</w:t>
      </w:r>
    </w:p>
    <w:p>
      <w:pPr>
        <w:spacing w:line="276" w:lineRule="auto"/>
      </w:pPr>
      <w:r>
        <w:rPr>
          <w:rFonts w:ascii="Arial" w:cs="Arial" w:eastAsia="Arial" w:hAnsi="Arial"/>
          <w:b/>
          <w:bCs/>
        </w:rPr>
        <w:t xml:space="preserve">1.2</w:t>
      </w:r>
      <w:r>
        <w:rPr>
          <w:rFonts w:ascii="Arial" w:cs="Arial" w:eastAsia="Arial" w:hAnsi="Arial"/>
        </w:rPr>
        <w:t xml:space="preserve"> </w:t>
      </w:r>
      <w:r>
        <w:rPr>
          <w:rFonts w:ascii="Arial" w:cs="Arial" w:eastAsia="Arial" w:hAnsi="Arial"/>
        </w:rPr>
        <w:t xml:space="preserve">Financial reporting is intended to give executive leadership timely insight into revenue performance, profitability, cash and liquidity, expense trends, payroll and personnel costs, marketing investment, hired-case volume, contract value, average contract value, case mix, collections and revenue realization, budget performance, operational developments affecting financial results, emerging trends and risks, and matters requiring management attention.</w:t>
      </w:r>
    </w:p>
    <w:p>
      <w:pPr>
        <w:spacing w:line="276" w:lineRule="auto"/>
      </w:pPr>
      <w:r>
        <w:rPr>
          <w:rFonts w:ascii="Arial" w:cs="Arial" w:eastAsia="Arial" w:hAnsi="Arial"/>
          <w:b/>
          <w:bCs/>
        </w:rPr>
        <w:t xml:space="preserve">1.3</w:t>
      </w:r>
      <w:r>
        <w:rPr>
          <w:rFonts w:ascii="Arial" w:cs="Arial" w:eastAsia="Arial" w:hAnsi="Arial"/>
        </w:rPr>
        <w:t xml:space="preserve"> </w:t>
      </w:r>
      <w:r>
        <w:rPr>
          <w:rFonts w:ascii="Arial" w:cs="Arial" w:eastAsia="Arial" w:hAnsi="Arial"/>
        </w:rPr>
        <w:t xml:space="preserve">This procedure explains the overall approach and the analytical framework. The detailed working files, report templates, and source extracts are maintained by the Finance Controller and are not repeated here.</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42"/>
      </w:tblGrid>
      <w:tr>
        <w:trPr>
          <w:cantSplit/>
        </w:trPr>
        <w:tc>
          <w:tcPr>
            <w:tcW w:type="dxa" w:w="10742"/>
            <w:shd w:fill="DBE5F1" w:color="auto" w:val="clear"/>
            <w:tcMar>
              <w:top w:type="dxa" w:w="80"/>
              <w:left w:type="dxa" w:w="140"/>
              <w:bottom w:type="dxa" w:w="80"/>
              <w:right w:type="dxa" w:w="140"/>
            </w:tcMar>
            <w:vAlign w:val="top"/>
          </w:tcPr>
          <w:p>
            <w:pPr>
              <w:spacing w:after="40" w:before="40" w:line="276" w:lineRule="auto"/>
              <w:jc w:val="center"/>
            </w:pPr>
            <w:r>
              <w:rPr>
                <w:rFonts w:ascii="Arial" w:cs="Arial" w:eastAsia="Arial" w:hAnsi="Arial"/>
                <w:b/>
                <w:bCs/>
                <w:i/>
                <w:iCs/>
                <w:sz w:val="21"/>
                <w:szCs w:val="21"/>
              </w:rPr>
              <w:t xml:space="preserve">The objective is not simply to distribute financial statements. The Controller should explain what the financial and operating information, taken together, appears to be telling us about the business.</w:t>
            </w:r>
          </w:p>
        </w:tc>
      </w:tr>
    </w:tbl>
    <w:p>
      <w:pPr>
        <w:spacing w:after="100" w:line="240"/>
      </w:pPr>
    </w:p>
    <w:p>
      <w:pPr>
        <w:keepNext/>
        <w:spacing w:after="0" w:line="276" w:lineRule="auto"/>
      </w:pPr>
      <w:r>
        <w:rPr>
          <w:rFonts w:ascii="Arial" w:cs="Arial" w:eastAsia="Arial" w:hAnsi="Arial"/>
          <w:b/>
          <w:bCs/>
          <w:color w:val="5B9BD5"/>
          <w:sz w:val="26"/>
          <w:szCs w:val="26"/>
        </w:rPr>
        <w:t xml:space="preserve">2. Scope</w:t>
      </w:r>
    </w:p>
    <w:p>
      <w:pPr>
        <w:spacing w:line="276" w:lineRule="auto"/>
      </w:pPr>
      <w:r>
        <w:rPr>
          <w:rFonts w:ascii="Arial" w:cs="Arial" w:eastAsia="Arial" w:hAnsi="Arial"/>
          <w:b/>
          <w:bCs/>
        </w:rPr>
        <w:t xml:space="preserve">2.1</w:t>
      </w:r>
      <w:r>
        <w:rPr>
          <w:rFonts w:ascii="Arial" w:cs="Arial" w:eastAsia="Arial" w:hAnsi="Arial"/>
        </w:rPr>
        <w:t xml:space="preserve"> </w:t>
      </w:r>
      <w:r>
        <w:rPr>
          <w:rFonts w:ascii="Arial" w:cs="Arial" w:eastAsia="Arial" w:hAnsi="Arial"/>
        </w:rPr>
        <w:t xml:space="preserve">This procedure applies to two recurring executive financial reporting cycles: Mid-Month Financial Reporting, an interim assessment of financial and operational performance through approximately the middle of the month, and Month-End Financial Reporting, a more complete assessment following completion of the monthly accounting close.</w:t>
      </w:r>
    </w:p>
    <w:p>
      <w:pPr>
        <w:spacing w:line="276" w:lineRule="auto"/>
      </w:pPr>
      <w:r>
        <w:rPr>
          <w:rFonts w:ascii="Arial" w:cs="Arial" w:eastAsia="Arial" w:hAnsi="Arial"/>
          <w:b/>
          <w:bCs/>
        </w:rPr>
        <w:t xml:space="preserve">2.2</w:t>
      </w:r>
      <w:r>
        <w:rPr>
          <w:rFonts w:ascii="Arial" w:cs="Arial" w:eastAsia="Arial" w:hAnsi="Arial"/>
        </w:rPr>
        <w:t xml:space="preserve"> </w:t>
      </w:r>
      <w:r>
        <w:rPr>
          <w:rFonts w:ascii="Arial" w:cs="Arial" w:eastAsia="Arial" w:hAnsi="Arial"/>
        </w:rPr>
        <w:t xml:space="preserve">Both cycles incorporate, as available, Financial Statements, Hired Cases data, the Executive Dashboard, budget information, cash and collections information, and relevant operational developments. The Controller may incorporate additional information when necessary to explain financial results.</w:t>
      </w:r>
    </w:p>
    <w:p>
      <w:pPr>
        <w:spacing w:line="276" w:lineRule="auto"/>
      </w:pPr>
      <w:r>
        <w:rPr>
          <w:rFonts w:ascii="Arial" w:cs="Arial" w:eastAsia="Arial" w:hAnsi="Arial"/>
          <w:b/>
          <w:bCs/>
        </w:rPr>
        <w:t xml:space="preserve">2.3</w:t>
      </w:r>
      <w:r>
        <w:rPr>
          <w:rFonts w:ascii="Arial" w:cs="Arial" w:eastAsia="Arial" w:hAnsi="Arial"/>
        </w:rPr>
        <w:t xml:space="preserve"> </w:t>
      </w:r>
      <w:r>
        <w:rPr>
          <w:rFonts w:ascii="Arial" w:cs="Arial" w:eastAsia="Arial" w:hAnsi="Arial"/>
        </w:rPr>
        <w:t xml:space="preserve">The preparation of the financial statements themselves, the month-end accounting close, and bank and credit card reconciliation are not covered here. They follow their own procedures.</w:t>
      </w:r>
    </w:p>
    <w:p>
      <w:pPr>
        <w:keepNext/>
        <w:spacing w:after="0" w:line="276" w:lineRule="auto"/>
      </w:pPr>
      <w:r>
        <w:rPr>
          <w:rFonts w:ascii="Arial" w:cs="Arial" w:eastAsia="Arial" w:hAnsi="Arial"/>
          <w:b/>
          <w:bCs/>
          <w:color w:val="5B9BD5"/>
          <w:sz w:val="26"/>
          <w:szCs w:val="26"/>
        </w:rPr>
        <w:t xml:space="preserve">3. Sources of Information</w:t>
      </w:r>
    </w:p>
    <w:p>
      <w:pPr>
        <w:spacing w:line="276" w:lineRule="auto"/>
      </w:pPr>
      <w:r>
        <w:rPr>
          <w:rFonts w:ascii="Arial" w:cs="Arial" w:eastAsia="Arial" w:hAnsi="Arial"/>
          <w:b/>
          <w:bCs/>
        </w:rPr>
        <w:t xml:space="preserve">3.1</w:t>
      </w:r>
      <w:r>
        <w:rPr>
          <w:rFonts w:ascii="Arial" w:cs="Arial" w:eastAsia="Arial" w:hAnsi="Arial"/>
        </w:rPr>
        <w:t xml:space="preserve"> </w:t>
      </w:r>
      <w:r>
        <w:rPr>
          <w:rFonts w:ascii="Arial" w:cs="Arial" w:eastAsia="Arial" w:hAnsi="Arial"/>
        </w:rPr>
        <w:t xml:space="preserve">Financial Statements - the Profit &amp; Loss Statement, Balance Sheet, Profit &amp; Loss by Month, Year-to-Date Profit &amp; Loss, comparative financial statements, budget-versus-actual reports, and supporting general ledger information when additional investigation is required. Financial statements provide the primary record of actual financial performance.</w:t>
      </w:r>
    </w:p>
    <w:p>
      <w:pPr>
        <w:spacing w:line="276" w:lineRule="auto"/>
      </w:pPr>
      <w:r>
        <w:rPr>
          <w:rFonts w:ascii="Arial" w:cs="Arial" w:eastAsia="Arial" w:hAnsi="Arial"/>
          <w:b/>
          <w:bCs/>
        </w:rPr>
        <w:t xml:space="preserve">3.2</w:t>
      </w:r>
      <w:r>
        <w:rPr>
          <w:rFonts w:ascii="Arial" w:cs="Arial" w:eastAsia="Arial" w:hAnsi="Arial"/>
        </w:rPr>
        <w:t xml:space="preserve"> </w:t>
      </w:r>
      <w:r>
        <w:rPr>
          <w:rFonts w:ascii="Arial" w:cs="Arial" w:eastAsia="Arial" w:hAnsi="Arial"/>
        </w:rPr>
        <w:t xml:space="preserve">Hired Cases data - the number of cases hired, total contract value, average contract value, case type and mix, changes from prior reporting periods and months, unusual concentrations in specific matter types, and trends in the quality and value of new business.</w:t>
      </w:r>
    </w:p>
    <w:p>
      <w:pPr>
        <w:spacing w:line="276" w:lineRule="auto"/>
      </w:pPr>
      <w:r>
        <w:rPr>
          <w:rFonts w:ascii="Arial" w:cs="Arial" w:eastAsia="Arial" w:hAnsi="Arial"/>
          <w:b/>
          <w:bCs/>
        </w:rPr>
        <w:t xml:space="preserve">3.3</w:t>
      </w:r>
      <w:r>
        <w:rPr>
          <w:rFonts w:ascii="Arial" w:cs="Arial" w:eastAsia="Arial" w:hAnsi="Arial"/>
        </w:rPr>
        <w:t xml:space="preserve"> </w:t>
      </w:r>
      <w:r>
        <w:rPr>
          <w:rFonts w:ascii="Arial" w:cs="Arial" w:eastAsia="Arial" w:hAnsi="Arial"/>
        </w:rPr>
        <w:t xml:space="preserve">Executive Dashboard - operating and performance indicators that provide context to financial results, including improving or deteriorating metrics, unusual movements, potential correlations, and operating metrics that conflict with or explain financial results.</w:t>
      </w:r>
    </w:p>
    <w:p>
      <w:pPr>
        <w:spacing w:line="276" w:lineRule="auto"/>
      </w:pPr>
      <w:r>
        <w:rPr>
          <w:rFonts w:ascii="Arial" w:cs="Arial" w:eastAsia="Arial" w:hAnsi="Arial"/>
          <w:b/>
          <w:bCs/>
        </w:rPr>
        <w:t xml:space="preserve">3.4</w:t>
      </w:r>
      <w:r>
        <w:rPr>
          <w:rFonts w:ascii="Arial" w:cs="Arial" w:eastAsia="Arial" w:hAnsi="Arial"/>
        </w:rPr>
        <w:t xml:space="preserve"> </w:t>
      </w:r>
      <w:r>
        <w:rPr>
          <w:rFonts w:ascii="Arial" w:cs="Arial" w:eastAsia="Arial" w:hAnsi="Arial"/>
        </w:rPr>
        <w:t xml:space="preserve">Budget information - monthly, quarter-to-date, and year-to-date budget, and relevant departmental or operational targets.</w:t>
      </w:r>
    </w:p>
    <w:p>
      <w:pPr>
        <w:spacing w:line="276" w:lineRule="auto"/>
      </w:pPr>
      <w:r>
        <w:rPr>
          <w:rFonts w:ascii="Arial" w:cs="Arial" w:eastAsia="Arial" w:hAnsi="Arial"/>
          <w:b/>
          <w:bCs/>
        </w:rPr>
        <w:t xml:space="preserve">3.5</w:t>
      </w:r>
      <w:r>
        <w:rPr>
          <w:rFonts w:ascii="Arial" w:cs="Arial" w:eastAsia="Arial" w:hAnsi="Arial"/>
        </w:rPr>
        <w:t xml:space="preserve"> </w:t>
      </w:r>
      <w:r>
        <w:rPr>
          <w:rFonts w:ascii="Arial" w:cs="Arial" w:eastAsia="Arial" w:hAnsi="Arial"/>
        </w:rPr>
        <w:t xml:space="preserve">Cash and collections information - cash balances and movements, delinquent balances, payment plans, recurring payment activity, and collections staffing and disruptions.</w:t>
      </w:r>
    </w:p>
    <w:p>
      <w:pPr>
        <w:spacing w:line="276" w:lineRule="auto"/>
      </w:pPr>
      <w:r>
        <w:rPr>
          <w:rFonts w:ascii="Arial" w:cs="Arial" w:eastAsia="Arial" w:hAnsi="Arial"/>
          <w:b/>
          <w:bCs/>
        </w:rPr>
        <w:t xml:space="preserve">3.6</w:t>
      </w:r>
      <w:r>
        <w:rPr>
          <w:rFonts w:ascii="Arial" w:cs="Arial" w:eastAsia="Arial" w:hAnsi="Arial"/>
        </w:rPr>
        <w:t xml:space="preserve"> </w:t>
      </w:r>
      <w:r>
        <w:rPr>
          <w:rFonts w:ascii="Arial" w:cs="Arial" w:eastAsia="Arial" w:hAnsi="Arial"/>
        </w:rPr>
        <w:t xml:space="preserve">Operational developments - staffing changes, marketing channel changes, and other known events affecting financial results.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42"/>
      </w:tblGrid>
      <w:tr>
        <w:trPr>
          <w:cantSplit/>
        </w:trPr>
        <w:tc>
          <w:tcPr>
            <w:tcW w:type="dxa" w:w="10742"/>
            <w:shd w:fill="DBE5F1" w:color="auto" w:val="clear"/>
            <w:tcMar>
              <w:top w:type="dxa" w:w="80"/>
              <w:left w:type="dxa" w:w="140"/>
              <w:bottom w:type="dxa" w:w="80"/>
              <w:right w:type="dxa" w:w="140"/>
            </w:tcMar>
            <w:vAlign w:val="top"/>
          </w:tcPr>
          <w:p>
            <w:pPr>
              <w:spacing w:after="40" w:before="40" w:line="276" w:lineRule="auto"/>
              <w:jc w:val="center"/>
            </w:pPr>
            <w:r>
              <w:rPr>
                <w:rFonts w:ascii="Arial" w:cs="Arial" w:eastAsia="Arial" w:hAnsi="Arial"/>
                <w:b/>
                <w:bCs/>
                <w:i/>
                <w:iCs/>
                <w:sz w:val="21"/>
                <w:szCs w:val="21"/>
              </w:rPr>
              <w:t xml:space="preserve">Dashboard information should not simply be repeated. Ask: What operating activity helps explain what Finance is seeing in the financial statements?</w:t>
            </w:r>
          </w:p>
        </w:tc>
      </w:tr>
    </w:tbl>
    <w:p>
      <w:pPr>
        <w:spacing w:after="100" w:line="240"/>
      </w:pPr>
    </w:p>
    <w:p>
      <w:pPr>
        <w:keepNext/>
        <w:spacing w:after="0" w:line="276" w:lineRule="auto"/>
      </w:pPr>
      <w:r>
        <w:rPr>
          <w:rFonts w:ascii="Arial" w:cs="Arial" w:eastAsia="Arial" w:hAnsi="Arial"/>
          <w:b/>
          <w:bCs/>
          <w:color w:val="5B9BD5"/>
          <w:sz w:val="26"/>
          <w:szCs w:val="26"/>
        </w:rPr>
        <w:t xml:space="preserve">4. Terms and Definitions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8442"/>
      </w:tblGrid>
      <w:tr>
        <w:trPr>
          <w:cantSplit/>
          <w:tblHeader/>
        </w:trPr>
        <w:tc>
          <w:tcPr>
            <w:tcW w:type="dxa" w:w="23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TERM</w:t>
            </w:r>
          </w:p>
        </w:tc>
        <w:tc>
          <w:tcPr>
            <w:tcW w:type="dxa" w:w="84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DEFINITION</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Mid-Month Reporting</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An interim assessment of financial and operational activity through approximately the 15th of the month, subject to the timing and availability of source information. It is never presented as completed monthly results.</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Month-End Reporting</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comprehensive assessment of actual monthly performance prepared after the monthly books are substantially complete and the Controller has performed the month-end review.</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Hired Cases</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New client matters signed during the period, measured by count, total contract value, average contract value, and case mix.</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Contract Value</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total agreed fee value of cases hired during the period.</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Average Contract Value</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Total contract value divided by the number of cases hired.</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Case Mix</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distribution of hired cases across matter types, which affects both future revenue and the value of new business.</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Executive Dashboard</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firm's set of operating and performance indicators used to give context to financial results.</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Fact</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statement directly supported by financial or operating data. Example: revenue declined from the prior month.</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Observation</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relationship identified through analysis. Example: revenue declined while hired-case contract value improved.</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Conclusion / Interpretation</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Controller's assessment of what may explain an observed relationship. It is never presented as established fact when the data does not demonstrate causation.</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Materiality</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threshold at which a matter is financially or operationally significant, outside normal expectations, indicative of a trend, relevant to budget achievement, likely to affect future performance, or appropriate for CEO or COO action or awareness.</w:t>
            </w:r>
          </w:p>
        </w:tc>
      </w:tr>
    </w:tbl>
    <w:p>
      <w:pPr>
        <w:spacing w:after="100" w:line="240"/>
      </w:pPr>
    </w:p>
    <w:p>
      <w:pPr>
        <w:keepNext/>
        <w:spacing w:after="0" w:line="276" w:lineRule="auto"/>
      </w:pPr>
      <w:r>
        <w:rPr>
          <w:rFonts w:ascii="Arial" w:cs="Arial" w:eastAsia="Arial" w:hAnsi="Arial"/>
          <w:b/>
          <w:bCs/>
          <w:color w:val="5B9BD5"/>
          <w:sz w:val="26"/>
          <w:szCs w:val="26"/>
        </w:rPr>
        <w:t xml:space="preserve">5. Roles and Responsibilities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3"/>
        <w:gridCol w:w="7619"/>
      </w:tblGrid>
      <w:tr>
        <w:trPr>
          <w:cantSplit/>
          <w:tblHeader/>
        </w:trPr>
        <w:tc>
          <w:tcPr>
            <w:tcW w:type="dxa" w:w="3123"/>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ROLE</w:t>
            </w:r>
          </w:p>
        </w:tc>
        <w:tc>
          <w:tcPr>
            <w:tcW w:type="dxa" w:w="7619"/>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RESPONSIBILITY</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Finance Controller (Process Owner and Primary Preparer)</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Prepares both the mid-month and month-end financial analysis and communicates the resulting observations to the CEO and COO. As the highest-level finance position in the company, determines which financial developments are material, which trends warrant executive attention, what additional analysis is necessary, whether apparent relationships are supported by available information, how financial and operational information should be connected, which risks should be highlighted, and which matters require management attention.</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Staff Accountant</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Provides supporting information or research at the Controller's request. Does not serve as a required preparer, reviewer, or approval level.</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Chief Executive Officer (CEO) / Chief Operating Officer (COO)</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Receive the mid-month and month-end executive reports, act on matters requiring management decision, and set executive priorities that inform what the reports emphasize.</w:t>
            </w:r>
          </w:p>
        </w:tc>
      </w:tr>
    </w:tbl>
    <w:p>
      <w:pPr>
        <w:spacing w:after="100" w:line="240"/>
      </w:pPr>
    </w:p>
    <w:p>
      <w:pPr>
        <w:keepNext/>
        <w:spacing w:after="0" w:line="276" w:lineRule="auto"/>
      </w:pPr>
      <w:r>
        <w:rPr>
          <w:rFonts w:ascii="Arial" w:cs="Arial" w:eastAsia="Arial" w:hAnsi="Arial"/>
          <w:b/>
          <w:bCs/>
          <w:color w:val="5B9BD5"/>
          <w:sz w:val="26"/>
          <w:szCs w:val="26"/>
        </w:rPr>
        <w:t xml:space="preserve">6. Procedure</w:t>
      </w:r>
    </w:p>
    <w:p>
      <w:pPr>
        <w:spacing w:line="276" w:lineRule="auto"/>
      </w:pPr>
      <w:r>
        <w:rPr>
          <w:rFonts w:ascii="Arial" w:cs="Arial" w:eastAsia="Arial" w:hAnsi="Arial"/>
        </w:rPr>
        <w:t xml:space="preserve">Executive reporting runs twice each month. The same analytical framework is used for both cycles, while recognizing the greater uncertainty inherent in partial-month results. The full cycle is shown in Annex A - Mid-Month and Month-End Financial Reporting Workflow.</w:t>
      </w:r>
    </w:p>
    <w:p>
      <w:pPr>
        <w:keepNext/>
        <w:spacing w:line="276" w:lineRule="auto"/>
      </w:pPr>
      <w:r>
        <w:rPr>
          <w:rFonts w:ascii="Arial" w:cs="Arial" w:eastAsia="Arial" w:hAnsi="Arial"/>
          <w:b/>
          <w:bCs/>
          <w:sz w:val="24"/>
          <w:szCs w:val="24"/>
          <w:u w:val="single"/>
        </w:rPr>
        <w:t xml:space="preserve">6.1 Run the mid-month cycle.</w:t>
      </w:r>
    </w:p>
    <w:p>
      <w:pPr>
        <w:spacing w:line="276" w:lineRule="auto"/>
      </w:pPr>
      <w:r>
        <w:rPr>
          <w:rFonts w:ascii="Arial" w:cs="Arial" w:eastAsia="Arial" w:hAnsi="Arial"/>
          <w:b/>
          <w:bCs/>
        </w:rPr>
        <w:t xml:space="preserve">6.1.1</w:t>
      </w:r>
      <w:r>
        <w:rPr>
          <w:rFonts w:ascii="Arial" w:cs="Arial" w:eastAsia="Arial" w:hAnsi="Arial"/>
        </w:rPr>
        <w:t xml:space="preserve"> </w:t>
      </w:r>
      <w:r>
        <w:rPr>
          <w:rFonts w:ascii="Arial" w:cs="Arial" w:eastAsia="Arial" w:hAnsi="Arial"/>
        </w:rPr>
        <w:t xml:space="preserve">Mid-month reporting normally evaluates financial and operational activity through approximately the 15th of the month, subject to the timing and availability of source information.</w:t>
      </w:r>
    </w:p>
    <w:p>
      <w:pPr>
        <w:spacing w:line="276" w:lineRule="auto"/>
      </w:pPr>
      <w:r>
        <w:rPr>
          <w:rFonts w:ascii="Arial" w:cs="Arial" w:eastAsia="Arial" w:hAnsi="Arial"/>
          <w:b/>
          <w:bCs/>
        </w:rPr>
        <w:t xml:space="preserve">6.1.2</w:t>
      </w:r>
      <w:r>
        <w:rPr>
          <w:rFonts w:ascii="Arial" w:cs="Arial" w:eastAsia="Arial" w:hAnsi="Arial"/>
        </w:rPr>
        <w:t xml:space="preserve"> </w:t>
      </w:r>
      <w:r>
        <w:rPr>
          <w:rFonts w:ascii="Arial" w:cs="Arial" w:eastAsia="Arial" w:hAnsi="Arial"/>
        </w:rPr>
        <w:t xml:space="preserve">Its purpose is to provide an early assessment of the direction of the month and to identify emerging financial trends, meaningful expense changes, revenue performance, hired-case production, contract value, operational developments, potential risks, areas warranting monitoring during the remainder of the month, and issues that may require management attention before month-end.</w:t>
      </w:r>
    </w:p>
    <w:p>
      <w:pPr>
        <w:spacing w:line="276" w:lineRule="auto"/>
      </w:pPr>
      <w:r>
        <w:rPr>
          <w:rFonts w:ascii="Arial" w:cs="Arial" w:eastAsia="Arial" w:hAnsi="Arial"/>
          <w:b/>
          <w:bCs/>
        </w:rPr>
        <w:t xml:space="preserve">6.1.3</w:t>
      </w:r>
      <w:r>
        <w:rPr>
          <w:rFonts w:ascii="Arial" w:cs="Arial" w:eastAsia="Arial" w:hAnsi="Arial"/>
        </w:rPr>
        <w:t xml:space="preserve"> </w:t>
      </w:r>
      <w:r>
        <w:rPr>
          <w:rFonts w:ascii="Arial" w:cs="Arial" w:eastAsia="Arial" w:hAnsi="Arial"/>
        </w:rPr>
        <w:t xml:space="preserve">Because mid-month information is incomplete, additional care is taken before drawing conclusions. The Controller considers whether major recurring revenue activity has posted, payroll timing, marketing-payment timing, large recurring vendor payments, collection cycles, unposted credit card activity, large expenditures expected later in the month, and other timing factors.</w:t>
      </w:r>
    </w:p>
    <w:p>
      <w:pPr>
        <w:spacing w:line="276" w:lineRule="auto"/>
      </w:pPr>
      <w:r>
        <w:rPr>
          <w:rFonts w:ascii="Arial" w:cs="Arial" w:eastAsia="Arial" w:hAnsi="Arial"/>
          <w:b/>
          <w:bCs/>
        </w:rPr>
        <w:t xml:space="preserve">6.1.4</w:t>
      </w:r>
      <w:r>
        <w:rPr>
          <w:rFonts w:ascii="Arial" w:cs="Arial" w:eastAsia="Arial" w:hAnsi="Arial"/>
        </w:rPr>
        <w:t xml:space="preserve"> </w:t>
      </w:r>
      <w:r>
        <w:rPr>
          <w:rFonts w:ascii="Arial" w:cs="Arial" w:eastAsia="Arial" w:hAnsi="Arial"/>
        </w:rPr>
        <w:t xml:space="preserve">Mid-month reporting focuses on the direction of performance, material developments, emerging trends, unusual activity, operational developments, potential risks, and items to monitor through month-end.</w:t>
      </w:r>
    </w:p>
    <w:p>
      <w:pPr>
        <w:spacing w:line="276" w:lineRule="auto"/>
      </w:pPr>
      <w:r>
        <w:rPr>
          <w:rFonts w:ascii="Arial" w:cs="Arial" w:eastAsia="Arial" w:hAnsi="Arial"/>
          <w:b/>
          <w:bCs/>
        </w:rPr>
        <w:t xml:space="preserve">6.1.5</w:t>
      </w:r>
      <w:r>
        <w:rPr>
          <w:rFonts w:ascii="Arial" w:cs="Arial" w:eastAsia="Arial" w:hAnsi="Arial"/>
        </w:rPr>
        <w:t xml:space="preserve"> </w:t>
      </w:r>
      <w:r>
        <w:rPr>
          <w:rFonts w:ascii="Arial" w:cs="Arial" w:eastAsia="Arial" w:hAnsi="Arial"/>
        </w:rPr>
        <w:t xml:space="preserve">Mid-month results are not presented as completed monthly results and are not extrapolated into a full-month forecast unless a reasonable analytical basis exists.</w:t>
      </w:r>
    </w:p>
    <w:p>
      <w:pPr>
        <w:keepNext/>
        <w:spacing w:line="276" w:lineRule="auto"/>
      </w:pPr>
      <w:r>
        <w:rPr>
          <w:rFonts w:ascii="Arial" w:cs="Arial" w:eastAsia="Arial" w:hAnsi="Arial"/>
          <w:b/>
          <w:bCs/>
          <w:sz w:val="24"/>
          <w:szCs w:val="24"/>
          <w:u w:val="single"/>
        </w:rPr>
        <w:t xml:space="preserve">6.2 Run the month-end cycle.</w:t>
      </w:r>
    </w:p>
    <w:p>
      <w:pPr>
        <w:spacing w:line="276" w:lineRule="auto"/>
      </w:pPr>
      <w:r>
        <w:rPr>
          <w:rFonts w:ascii="Arial" w:cs="Arial" w:eastAsia="Arial" w:hAnsi="Arial"/>
          <w:b/>
          <w:bCs/>
        </w:rPr>
        <w:t xml:space="preserve">6.2.1</w:t>
      </w:r>
      <w:r>
        <w:rPr>
          <w:rFonts w:ascii="Arial" w:cs="Arial" w:eastAsia="Arial" w:hAnsi="Arial"/>
        </w:rPr>
        <w:t xml:space="preserve"> </w:t>
      </w:r>
      <w:r>
        <w:rPr>
          <w:rFonts w:ascii="Arial" w:cs="Arial" w:eastAsia="Arial" w:hAnsi="Arial"/>
        </w:rPr>
        <w:t xml:space="preserve">Month-end reporting occurs after the monthly books are substantially complete and the Controller has performed the appropriate month-end review.</w:t>
      </w:r>
    </w:p>
    <w:p>
      <w:pPr>
        <w:spacing w:line="276" w:lineRule="auto"/>
      </w:pPr>
      <w:r>
        <w:rPr>
          <w:rFonts w:ascii="Arial" w:cs="Arial" w:eastAsia="Arial" w:hAnsi="Arial"/>
          <w:b/>
          <w:bCs/>
        </w:rPr>
        <w:t xml:space="preserve">6.2.2</w:t>
      </w:r>
      <w:r>
        <w:rPr>
          <w:rFonts w:ascii="Arial" w:cs="Arial" w:eastAsia="Arial" w:hAnsi="Arial"/>
        </w:rPr>
        <w:t xml:space="preserve"> </w:t>
      </w:r>
      <w:r>
        <w:rPr>
          <w:rFonts w:ascii="Arial" w:cs="Arial" w:eastAsia="Arial" w:hAnsi="Arial"/>
        </w:rPr>
        <w:t xml:space="preserve">Before analysis begins, the Controller confirms, as applicable, that bank and credit card activity has been recorded, necessary reconciliations have been completed, material accruals or adjustments have been considered, significant transactions have been investigated, financial statements have been reviewed for reasonableness, and Hired Cases and Dashboard information reflects the completed month.</w:t>
      </w:r>
    </w:p>
    <w:p>
      <w:pPr>
        <w:spacing w:line="276" w:lineRule="auto"/>
      </w:pPr>
      <w:r>
        <w:rPr>
          <w:rFonts w:ascii="Arial" w:cs="Arial" w:eastAsia="Arial" w:hAnsi="Arial"/>
          <w:b/>
          <w:bCs/>
        </w:rPr>
        <w:t xml:space="preserve">6.2.3</w:t>
      </w:r>
      <w:r>
        <w:rPr>
          <w:rFonts w:ascii="Arial" w:cs="Arial" w:eastAsia="Arial" w:hAnsi="Arial"/>
        </w:rPr>
        <w:t xml:space="preserve"> </w:t>
      </w:r>
      <w:r>
        <w:rPr>
          <w:rFonts w:ascii="Arial" w:cs="Arial" w:eastAsia="Arial" w:hAnsi="Arial"/>
        </w:rPr>
        <w:t xml:space="preserve">Its purpose is to provide a more comprehensive assessment of actual monthly financial performance and to determine whether trends identified earlier in the month materialized, improved, worsened, changed direction, or remain unresolved.</w:t>
      </w:r>
    </w:p>
    <w:p>
      <w:pPr>
        <w:spacing w:line="276" w:lineRule="auto"/>
      </w:pPr>
      <w:r>
        <w:rPr>
          <w:rFonts w:ascii="Arial" w:cs="Arial" w:eastAsia="Arial" w:hAnsi="Arial"/>
          <w:b/>
          <w:bCs/>
        </w:rPr>
        <w:t xml:space="preserve">6.2.4</w:t>
      </w:r>
      <w:r>
        <w:rPr>
          <w:rFonts w:ascii="Arial" w:cs="Arial" w:eastAsia="Arial" w:hAnsi="Arial"/>
        </w:rPr>
        <w:t xml:space="preserve"> </w:t>
      </w:r>
      <w:r>
        <w:rPr>
          <w:rFonts w:ascii="Arial" w:cs="Arial" w:eastAsia="Arial" w:hAnsi="Arial"/>
        </w:rPr>
        <w:t xml:space="preserve">Month-end reporting also assesses implications for subsequent months, quarters, and budget performance, and provides a stronger conclusion regarding actual monthly performance.</w:t>
      </w:r>
    </w:p>
    <w:p>
      <w:pPr>
        <w:keepNext/>
        <w:spacing w:line="276" w:lineRule="auto"/>
      </w:pPr>
      <w:r>
        <w:rPr>
          <w:rFonts w:ascii="Arial" w:cs="Arial" w:eastAsia="Arial" w:hAnsi="Arial"/>
          <w:b/>
          <w:bCs/>
          <w:sz w:val="24"/>
          <w:szCs w:val="24"/>
          <w:u w:val="single"/>
        </w:rPr>
        <w:t xml:space="preserve">6.3 Analyze revenue.</w:t>
      </w:r>
    </w:p>
    <w:p>
      <w:pPr>
        <w:spacing w:line="276" w:lineRule="auto"/>
      </w:pPr>
      <w:r>
        <w:rPr>
          <w:rFonts w:ascii="Arial" w:cs="Arial" w:eastAsia="Arial" w:hAnsi="Arial"/>
          <w:b/>
          <w:bCs/>
        </w:rPr>
        <w:t xml:space="preserve">6.3.1</w:t>
      </w:r>
      <w:r>
        <w:rPr>
          <w:rFonts w:ascii="Arial" w:cs="Arial" w:eastAsia="Arial" w:hAnsi="Arial"/>
        </w:rPr>
        <w:t xml:space="preserve"> </w:t>
      </w:r>
      <w:r>
        <w:rPr>
          <w:rFonts w:ascii="Arial" w:cs="Arial" w:eastAsia="Arial" w:hAnsi="Arial"/>
        </w:rPr>
        <w:t xml:space="preserve">Evaluate current-period revenue, prior-month revenue, historical monthly trends, year-over-year performance where available, year-to-date revenue, budget performance, recent directional trends, and known events affecting revenue.</w:t>
      </w:r>
    </w:p>
    <w:p>
      <w:pPr>
        <w:spacing w:line="276" w:lineRule="auto"/>
      </w:pPr>
      <w:r>
        <w:rPr>
          <w:rFonts w:ascii="Arial" w:cs="Arial" w:eastAsia="Arial" w:hAnsi="Arial"/>
          <w:b/>
          <w:bCs/>
        </w:rPr>
        <w:t xml:space="preserve">6.3.2</w:t>
      </w:r>
      <w:r>
        <w:rPr>
          <w:rFonts w:ascii="Arial" w:cs="Arial" w:eastAsia="Arial" w:hAnsi="Arial"/>
        </w:rPr>
        <w:t xml:space="preserve"> </w:t>
      </w:r>
      <w:r>
        <w:rPr>
          <w:rFonts w:ascii="Arial" w:cs="Arial" w:eastAsia="Arial" w:hAnsi="Arial"/>
        </w:rPr>
        <w:t xml:space="preserve">Compare revenue with hired-case activity. Consider whether case production is moving in the same direction as revenue, whether contract value or average contract value is changing, whether case mix may affect future revenue, whether collections or payment timing are influencing recognized revenue, and whether an operational factor explains a divergence between new business and revenue.</w:t>
      </w:r>
    </w:p>
    <w:p>
      <w:pPr>
        <w:keepNext/>
        <w:spacing w:line="276" w:lineRule="auto"/>
      </w:pPr>
      <w:r>
        <w:rPr>
          <w:rFonts w:ascii="Arial" w:cs="Arial" w:eastAsia="Arial" w:hAnsi="Arial"/>
          <w:b/>
          <w:bCs/>
          <w:sz w:val="24"/>
          <w:szCs w:val="24"/>
          <w:u w:val="single"/>
        </w:rPr>
        <w:t xml:space="preserve">6.4 Analyze profitability.</w:t>
      </w:r>
    </w:p>
    <w:p>
      <w:pPr>
        <w:spacing w:line="276" w:lineRule="auto"/>
      </w:pPr>
      <w:r>
        <w:rPr>
          <w:rFonts w:ascii="Arial" w:cs="Arial" w:eastAsia="Arial" w:hAnsi="Arial"/>
          <w:b/>
          <w:bCs/>
        </w:rPr>
        <w:t xml:space="preserve">6.4.1</w:t>
      </w:r>
      <w:r>
        <w:rPr>
          <w:rFonts w:ascii="Arial" w:cs="Arial" w:eastAsia="Arial" w:hAnsi="Arial"/>
        </w:rPr>
        <w:t xml:space="preserve"> </w:t>
      </w:r>
      <w:r>
        <w:rPr>
          <w:rFonts w:ascii="Arial" w:cs="Arial" w:eastAsia="Arial" w:hAnsi="Arial"/>
        </w:rPr>
        <w:t xml:space="preserve">Review gross profit where applicable, operating income, net income, net margin, month-over-month changes, year-to-date profitability, budget expectations, and major expenses affecting profitability.</w:t>
      </w:r>
    </w:p>
    <w:p>
      <w:pPr>
        <w:spacing w:line="276" w:lineRule="auto"/>
      </w:pPr>
      <w:r>
        <w:rPr>
          <w:rFonts w:ascii="Arial" w:cs="Arial" w:eastAsia="Arial" w:hAnsi="Arial"/>
          <w:b/>
          <w:bCs/>
        </w:rPr>
        <w:t xml:space="preserve">6.4.2</w:t>
      </w:r>
      <w:r>
        <w:rPr>
          <w:rFonts w:ascii="Arial" w:cs="Arial" w:eastAsia="Arial" w:hAnsi="Arial"/>
        </w:rPr>
        <w:t xml:space="preserve"> </w:t>
      </w:r>
      <w:r>
        <w:rPr>
          <w:rFonts w:ascii="Arial" w:cs="Arial" w:eastAsia="Arial" w:hAnsi="Arial"/>
        </w:rPr>
        <w:t xml:space="preserve">Distinguish changes caused primarily by revenue, operating expenses, payroll, marketing, timing differences, one-time transactions, and other identifiable factors.</w:t>
      </w:r>
    </w:p>
    <w:p>
      <w:pPr>
        <w:keepNext/>
        <w:spacing w:line="276" w:lineRule="auto"/>
      </w:pPr>
      <w:r>
        <w:rPr>
          <w:rFonts w:ascii="Arial" w:cs="Arial" w:eastAsia="Arial" w:hAnsi="Arial"/>
          <w:b/>
          <w:bCs/>
          <w:sz w:val="24"/>
          <w:szCs w:val="24"/>
          <w:u w:val="single"/>
        </w:rPr>
        <w:t xml:space="preserve">6.5 Analyze payroll and personnel costs.</w:t>
      </w:r>
    </w:p>
    <w:p>
      <w:pPr>
        <w:spacing w:line="276" w:lineRule="auto"/>
      </w:pPr>
      <w:r>
        <w:rPr>
          <w:rFonts w:ascii="Arial" w:cs="Arial" w:eastAsia="Arial" w:hAnsi="Arial"/>
          <w:b/>
          <w:bCs/>
        </w:rPr>
        <w:t xml:space="preserve">6.5.1</w:t>
      </w:r>
      <w:r>
        <w:rPr>
          <w:rFonts w:ascii="Arial" w:cs="Arial" w:eastAsia="Arial" w:hAnsi="Arial"/>
        </w:rPr>
        <w:t xml:space="preserve"> </w:t>
      </w:r>
      <w:r>
        <w:rPr>
          <w:rFonts w:ascii="Arial" w:cs="Arial" w:eastAsia="Arial" w:hAnsi="Arial"/>
        </w:rPr>
        <w:t xml:space="preserve">Evaluate payroll, contractor costs, payroll taxes and benefits when relevant, total labor investment, labor costs relative to revenue, changes from prior periods, and significant staffing developments. Material increases or decreases are investigated and explained.</w:t>
      </w:r>
    </w:p>
    <w:p>
      <w:pPr>
        <w:spacing w:line="276" w:lineRule="auto"/>
      </w:pPr>
      <w:r>
        <w:rPr>
          <w:rFonts w:ascii="Arial" w:cs="Arial" w:eastAsia="Arial" w:hAnsi="Arial"/>
          <w:b/>
          <w:bCs/>
        </w:rPr>
        <w:t xml:space="preserve">6.5.2</w:t>
      </w:r>
      <w:r>
        <w:rPr>
          <w:rFonts w:ascii="Arial" w:cs="Arial" w:eastAsia="Arial" w:hAnsi="Arial"/>
        </w:rPr>
        <w:t xml:space="preserve"> </w:t>
      </w:r>
      <w:r>
        <w:rPr>
          <w:rFonts w:ascii="Arial" w:cs="Arial" w:eastAsia="Arial" w:hAnsi="Arial"/>
        </w:rPr>
        <w:t xml:space="preserve">When staffing investment increases, consider whether the company is realizing corresponding improvements in productivity, case throughput, collections, revenue, and operational capacity.</w:t>
      </w:r>
    </w:p>
    <w:p>
      <w:pPr>
        <w:keepNext/>
        <w:spacing w:line="276" w:lineRule="auto"/>
      </w:pPr>
      <w:r>
        <w:rPr>
          <w:rFonts w:ascii="Arial" w:cs="Arial" w:eastAsia="Arial" w:hAnsi="Arial"/>
          <w:b/>
          <w:bCs/>
          <w:sz w:val="24"/>
          <w:szCs w:val="24"/>
          <w:u w:val="single"/>
        </w:rPr>
        <w:t xml:space="preserve">6.6 Analyze marketing.</w:t>
      </w:r>
    </w:p>
    <w:p>
      <w:pPr>
        <w:spacing w:line="276" w:lineRule="auto"/>
      </w:pPr>
      <w:r>
        <w:rPr>
          <w:rFonts w:ascii="Arial" w:cs="Arial" w:eastAsia="Arial" w:hAnsi="Arial"/>
          <w:b/>
          <w:bCs/>
        </w:rPr>
        <w:t xml:space="preserve">6.6.1</w:t>
      </w:r>
      <w:r>
        <w:rPr>
          <w:rFonts w:ascii="Arial" w:cs="Arial" w:eastAsia="Arial" w:hAnsi="Arial"/>
        </w:rPr>
        <w:t xml:space="preserve"> </w:t>
      </w:r>
      <w:r>
        <w:rPr>
          <w:rFonts w:ascii="Arial" w:cs="Arial" w:eastAsia="Arial" w:hAnsi="Arial"/>
        </w:rPr>
        <w:t xml:space="preserve">Evaluate total marketing expense, material advertising channels, marketing expense as a percentage of revenue, changes from prior months, budget performance, hired cases generated during the period, contract value, and the apparent relationship between marketing investment and business generation.</w:t>
      </w:r>
    </w:p>
    <w:p>
      <w:pPr>
        <w:spacing w:line="276" w:lineRule="auto"/>
      </w:pPr>
      <w:r>
        <w:rPr>
          <w:rFonts w:ascii="Arial" w:cs="Arial" w:eastAsia="Arial" w:hAnsi="Arial"/>
          <w:b/>
          <w:bCs/>
        </w:rPr>
        <w:t xml:space="preserve">6.6.2</w:t>
      </w:r>
      <w:r>
        <w:rPr>
          <w:rFonts w:ascii="Arial" w:cs="Arial" w:eastAsia="Arial" w:hAnsi="Arial"/>
        </w:rPr>
        <w:t xml:space="preserve"> </w:t>
      </w:r>
      <w:r>
        <w:rPr>
          <w:rFonts w:ascii="Arial" w:cs="Arial" w:eastAsia="Arial" w:hAnsi="Arial"/>
        </w:rPr>
        <w:t xml:space="preserve">Finance identifies the financial relationship between company investment and measurable operating results. It does not independently evaluate Marketing strategy.</w:t>
      </w:r>
    </w:p>
    <w:p>
      <w:pPr>
        <w:keepNext/>
        <w:spacing w:line="276" w:lineRule="auto"/>
      </w:pPr>
      <w:r>
        <w:rPr>
          <w:rFonts w:ascii="Arial" w:cs="Arial" w:eastAsia="Arial" w:hAnsi="Arial"/>
          <w:b/>
          <w:bCs/>
          <w:sz w:val="24"/>
          <w:szCs w:val="24"/>
          <w:u w:val="single"/>
        </w:rPr>
        <w:t xml:space="preserve">6.7 Analyze cash and liquidity.</w:t>
      </w:r>
    </w:p>
    <w:p>
      <w:pPr>
        <w:spacing w:line="276" w:lineRule="auto"/>
      </w:pPr>
      <w:r>
        <w:rPr>
          <w:rFonts w:ascii="Arial" w:cs="Arial" w:eastAsia="Arial" w:hAnsi="Arial"/>
          <w:b/>
          <w:bCs/>
        </w:rPr>
        <w:t xml:space="preserve">6.7.1</w:t>
      </w:r>
      <w:r>
        <w:rPr>
          <w:rFonts w:ascii="Arial" w:cs="Arial" w:eastAsia="Arial" w:hAnsi="Arial"/>
        </w:rPr>
        <w:t xml:space="preserve"> </w:t>
      </w:r>
      <w:r>
        <w:rPr>
          <w:rFonts w:ascii="Arial" w:cs="Arial" w:eastAsia="Arial" w:hAnsi="Arial"/>
        </w:rPr>
        <w:t xml:space="preserve">Consider cash balances, material cash movements, significant deposits and withdrawals, current liabilities, known significant obligations, unusual cash activity, and overall liquidity.</w:t>
      </w:r>
    </w:p>
    <w:p>
      <w:pPr>
        <w:spacing w:line="276" w:lineRule="auto"/>
      </w:pPr>
      <w:r>
        <w:rPr>
          <w:rFonts w:ascii="Arial" w:cs="Arial" w:eastAsia="Arial" w:hAnsi="Arial"/>
          <w:b/>
          <w:bCs/>
        </w:rPr>
        <w:t xml:space="preserve">6.7.2</w:t>
      </w:r>
      <w:r>
        <w:rPr>
          <w:rFonts w:ascii="Arial" w:cs="Arial" w:eastAsia="Arial" w:hAnsi="Arial"/>
        </w:rPr>
        <w:t xml:space="preserve"> </w:t>
      </w:r>
      <w:r>
        <w:rPr>
          <w:rFonts w:ascii="Arial" w:cs="Arial" w:eastAsia="Arial" w:hAnsi="Arial"/>
        </w:rPr>
        <w:t xml:space="preserve">Material changes in cash are investigated and, where important, explained to executive leadership.</w:t>
      </w:r>
    </w:p>
    <w:p>
      <w:pPr>
        <w:keepNext/>
        <w:spacing w:line="276" w:lineRule="auto"/>
      </w:pPr>
      <w:r>
        <w:rPr>
          <w:rFonts w:ascii="Arial" w:cs="Arial" w:eastAsia="Arial" w:hAnsi="Arial"/>
          <w:b/>
          <w:bCs/>
          <w:sz w:val="24"/>
          <w:szCs w:val="24"/>
          <w:u w:val="single"/>
        </w:rPr>
        <w:t xml:space="preserve">6.8 Analyze collections and revenue realization.</w:t>
      </w:r>
    </w:p>
    <w:p>
      <w:pPr>
        <w:spacing w:line="276" w:lineRule="auto"/>
      </w:pPr>
      <w:r>
        <w:rPr>
          <w:rFonts w:ascii="Arial" w:cs="Arial" w:eastAsia="Arial" w:hAnsi="Arial"/>
          <w:b/>
          <w:bCs/>
        </w:rPr>
        <w:t xml:space="preserve">6.8.1</w:t>
      </w:r>
      <w:r>
        <w:rPr>
          <w:rFonts w:ascii="Arial" w:cs="Arial" w:eastAsia="Arial" w:hAnsi="Arial"/>
        </w:rPr>
        <w:t xml:space="preserve"> </w:t>
      </w:r>
      <w:r>
        <w:rPr>
          <w:rFonts w:ascii="Arial" w:cs="Arial" w:eastAsia="Arial" w:hAnsi="Arial"/>
        </w:rPr>
        <w:t xml:space="preserve">Collections are considered separately from hired-case production when appropriate. Evaluate collections performance, delinquent balances, payment plans, recurring payment activity, collections staffing, significant operational disruptions, timing of payments, and potential risks to future cash and revenue.</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42"/>
      </w:tblGrid>
      <w:tr>
        <w:trPr>
          <w:cantSplit/>
        </w:trPr>
        <w:tc>
          <w:tcPr>
            <w:tcW w:type="dxa" w:w="10742"/>
            <w:shd w:fill="DBE5F1" w:color="auto" w:val="clear"/>
            <w:tcMar>
              <w:top w:type="dxa" w:w="80"/>
              <w:left w:type="dxa" w:w="140"/>
              <w:bottom w:type="dxa" w:w="80"/>
              <w:right w:type="dxa" w:w="140"/>
            </w:tcMar>
            <w:vAlign w:val="top"/>
          </w:tcPr>
          <w:p>
            <w:pPr>
              <w:spacing w:after="40" w:before="40" w:line="276" w:lineRule="auto"/>
              <w:jc w:val="center"/>
            </w:pPr>
            <w:r>
              <w:rPr>
                <w:rFonts w:ascii="Arial" w:cs="Arial" w:eastAsia="Arial" w:hAnsi="Arial"/>
                <w:b/>
                <w:bCs/>
                <w:i/>
                <w:iCs/>
                <w:sz w:val="21"/>
                <w:szCs w:val="21"/>
              </w:rPr>
              <w:t xml:space="preserve">Financial results should be interpreted in the context of the operating events that produced them.</w:t>
            </w:r>
          </w:p>
        </w:tc>
      </w:tr>
    </w:tbl>
    <w:p>
      <w:pPr>
        <w:spacing w:after="100" w:line="240"/>
      </w:pPr>
    </w:p>
    <w:p>
      <w:pPr>
        <w:keepNext/>
        <w:spacing w:line="276" w:lineRule="auto"/>
      </w:pPr>
      <w:r>
        <w:rPr>
          <w:rFonts w:ascii="Arial" w:cs="Arial" w:eastAsia="Arial" w:hAnsi="Arial"/>
          <w:b/>
          <w:bCs/>
          <w:sz w:val="24"/>
          <w:szCs w:val="24"/>
          <w:u w:val="single"/>
        </w:rPr>
        <w:t xml:space="preserve">6.9 Perform the cross-source analysis.</w:t>
      </w:r>
    </w:p>
    <w:p>
      <w:pPr>
        <w:spacing w:line="276" w:lineRule="auto"/>
      </w:pPr>
      <w:r>
        <w:rPr>
          <w:rFonts w:ascii="Arial" w:cs="Arial" w:eastAsia="Arial" w:hAnsi="Arial"/>
          <w:b/>
          <w:bCs/>
        </w:rPr>
        <w:t xml:space="preserve">6.9.1</w:t>
      </w:r>
      <w:r>
        <w:rPr>
          <w:rFonts w:ascii="Arial" w:cs="Arial" w:eastAsia="Arial" w:hAnsi="Arial"/>
        </w:rPr>
        <w:t xml:space="preserve"> </w:t>
      </w:r>
      <w:r>
        <w:rPr>
          <w:rFonts w:ascii="Arial" w:cs="Arial" w:eastAsia="Arial" w:hAnsi="Arial"/>
        </w:rPr>
        <w:t xml:space="preserve">After reviewing individual reports, assess the relationships among the data. Focus on relationships, trends, and reasonable explanations rather than reporting metrics independently.</w:t>
      </w:r>
    </w:p>
    <w:p>
      <w:pPr>
        <w:spacing w:line="276" w:lineRule="auto"/>
      </w:pPr>
      <w:r>
        <w:rPr>
          <w:rFonts w:ascii="Arial" w:cs="Arial" w:eastAsia="Arial" w:hAnsi="Arial"/>
          <w:b/>
          <w:bCs/>
        </w:rPr>
        <w:t xml:space="preserve">6.9.2</w:t>
      </w:r>
      <w:r>
        <w:rPr>
          <w:rFonts w:ascii="Arial" w:cs="Arial" w:eastAsia="Arial" w:hAnsi="Arial"/>
        </w:rPr>
        <w:t xml:space="preserve"> </w:t>
      </w:r>
      <w:r>
        <w:rPr>
          <w:rFonts w:ascii="Arial" w:cs="Arial" w:eastAsia="Arial" w:hAnsi="Arial"/>
          <w:b/>
          <w:bCs/>
        </w:rPr>
        <w:t xml:space="preserve">Revenue vs. Hired Cases.</w:t>
      </w:r>
      <w:r>
        <w:rPr>
          <w:rFonts w:ascii="Arial" w:cs="Arial" w:eastAsia="Arial" w:hAnsi="Arial"/>
        </w:rPr>
        <w:t xml:space="preserve"> Are hired cases increasing while revenue is decreasing? Is total contract value improving? Is average contract value improving? Has case mix changed? Could collections or timing explain the divergence?</w:t>
      </w:r>
    </w:p>
    <w:p>
      <w:pPr>
        <w:spacing w:line="276" w:lineRule="auto"/>
      </w:pPr>
      <w:r>
        <w:rPr>
          <w:rFonts w:ascii="Arial" w:cs="Arial" w:eastAsia="Arial" w:hAnsi="Arial"/>
          <w:b/>
          <w:bCs/>
        </w:rPr>
        <w:t xml:space="preserve">6.9.3</w:t>
      </w:r>
      <w:r>
        <w:rPr>
          <w:rFonts w:ascii="Arial" w:cs="Arial" w:eastAsia="Arial" w:hAnsi="Arial"/>
        </w:rPr>
        <w:t xml:space="preserve"> </w:t>
      </w:r>
      <w:r>
        <w:rPr>
          <w:rFonts w:ascii="Arial" w:cs="Arial" w:eastAsia="Arial" w:hAnsi="Arial"/>
          <w:b/>
          <w:bCs/>
        </w:rPr>
        <w:t xml:space="preserve">Marketing vs. Case Production.</w:t>
      </w:r>
      <w:r>
        <w:rPr>
          <w:rFonts w:ascii="Arial" w:cs="Arial" w:eastAsia="Arial" w:hAnsi="Arial"/>
        </w:rPr>
        <w:t xml:space="preserve"> Is marketing spending increasing? Is hired-case volume responding? Is contract value responding? Is average case value improving or weakening?</w:t>
      </w:r>
    </w:p>
    <w:p>
      <w:pPr>
        <w:spacing w:line="276" w:lineRule="auto"/>
      </w:pPr>
      <w:r>
        <w:rPr>
          <w:rFonts w:ascii="Arial" w:cs="Arial" w:eastAsia="Arial" w:hAnsi="Arial"/>
          <w:b/>
          <w:bCs/>
        </w:rPr>
        <w:t xml:space="preserve">6.9.4</w:t>
      </w:r>
      <w:r>
        <w:rPr>
          <w:rFonts w:ascii="Arial" w:cs="Arial" w:eastAsia="Arial" w:hAnsi="Arial"/>
        </w:rPr>
        <w:t xml:space="preserve"> </w:t>
      </w:r>
      <w:r>
        <w:rPr>
          <w:rFonts w:ascii="Arial" w:cs="Arial" w:eastAsia="Arial" w:hAnsi="Arial"/>
          <w:b/>
          <w:bCs/>
        </w:rPr>
        <w:t xml:space="preserve">Personnel Cost vs. Operating Performance.</w:t>
      </w:r>
      <w:r>
        <w:rPr>
          <w:rFonts w:ascii="Arial" w:cs="Arial" w:eastAsia="Arial" w:hAnsi="Arial"/>
        </w:rPr>
        <w:t xml:space="preserve"> Are increased personnel costs generating measurable improvements? Have staffing changes affected revenue-generating functions? Are labor costs increasing faster than revenue?</w:t>
      </w:r>
    </w:p>
    <w:p>
      <w:pPr>
        <w:spacing w:line="276" w:lineRule="auto"/>
      </w:pPr>
      <w:r>
        <w:rPr>
          <w:rFonts w:ascii="Arial" w:cs="Arial" w:eastAsia="Arial" w:hAnsi="Arial"/>
          <w:b/>
          <w:bCs/>
        </w:rPr>
        <w:t xml:space="preserve">6.9.5</w:t>
      </w:r>
      <w:r>
        <w:rPr>
          <w:rFonts w:ascii="Arial" w:cs="Arial" w:eastAsia="Arial" w:hAnsi="Arial"/>
        </w:rPr>
        <w:t xml:space="preserve"> </w:t>
      </w:r>
      <w:r>
        <w:rPr>
          <w:rFonts w:ascii="Arial" w:cs="Arial" w:eastAsia="Arial" w:hAnsi="Arial"/>
          <w:b/>
          <w:bCs/>
        </w:rPr>
        <w:t xml:space="preserve">Dashboard vs. Financial Statements.</w:t>
      </w:r>
      <w:r>
        <w:rPr>
          <w:rFonts w:ascii="Arial" w:cs="Arial" w:eastAsia="Arial" w:hAnsi="Arial"/>
        </w:rPr>
        <w:t xml:space="preserve"> Do operating indicators support the financial results? Do they conflict with the financial results? Does a disconnect identify an emerging issue?</w:t>
      </w:r>
    </w:p>
    <w:p>
      <w:pPr>
        <w:spacing w:line="276" w:lineRule="auto"/>
      </w:pPr>
      <w:r>
        <w:rPr>
          <w:rFonts w:ascii="Arial" w:cs="Arial" w:eastAsia="Arial" w:hAnsi="Arial"/>
          <w:b/>
          <w:bCs/>
        </w:rPr>
        <w:t xml:space="preserve">6.9.6</w:t>
      </w:r>
      <w:r>
        <w:rPr>
          <w:rFonts w:ascii="Arial" w:cs="Arial" w:eastAsia="Arial" w:hAnsi="Arial"/>
        </w:rPr>
        <w:t xml:space="preserve"> </w:t>
      </w:r>
      <w:r>
        <w:rPr>
          <w:rFonts w:ascii="Arial" w:cs="Arial" w:eastAsia="Arial" w:hAnsi="Arial"/>
        </w:rPr>
        <w:t xml:space="preserve">The Controller distinguishes between volume and value. A higher number of cases does not automatically indicate stronger production if average contract value or case mix deteriorates. Lower volume may still represent strong production if average contract value or total contract value improves.</w:t>
      </w:r>
    </w:p>
    <w:p>
      <w:pPr>
        <w:keepNext/>
        <w:spacing w:line="276" w:lineRule="auto"/>
      </w:pPr>
      <w:r>
        <w:rPr>
          <w:rFonts w:ascii="Arial" w:cs="Arial" w:eastAsia="Arial" w:hAnsi="Arial"/>
          <w:b/>
          <w:bCs/>
          <w:sz w:val="24"/>
          <w:szCs w:val="24"/>
          <w:u w:val="single"/>
        </w:rPr>
        <w:t xml:space="preserve">6.10 Compare mid-month to month-end.</w:t>
      </w:r>
    </w:p>
    <w:p>
      <w:pPr>
        <w:spacing w:line="276" w:lineRule="auto"/>
      </w:pPr>
      <w:r>
        <w:rPr>
          <w:rFonts w:ascii="Arial" w:cs="Arial" w:eastAsia="Arial" w:hAnsi="Arial"/>
          <w:b/>
          <w:bCs/>
        </w:rPr>
        <w:t xml:space="preserve">6.10.1</w:t>
      </w:r>
      <w:r>
        <w:rPr>
          <w:rFonts w:ascii="Arial" w:cs="Arial" w:eastAsia="Arial" w:hAnsi="Arial"/>
        </w:rPr>
        <w:t xml:space="preserve"> </w:t>
      </w:r>
      <w:r>
        <w:rPr>
          <w:rFonts w:ascii="Arial" w:cs="Arial" w:eastAsia="Arial" w:hAnsi="Arial"/>
        </w:rPr>
        <w:t xml:space="preserve">At month-end, significant mid-month observations are revisited to determine what actually occurred. This creates continuity between reporting periods rather than treating each report as a standalone analysis.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6742"/>
      </w:tblGrid>
      <w:tr>
        <w:trPr>
          <w:cantSplit/>
          <w:tblHeader/>
        </w:trPr>
        <w:tc>
          <w:tcPr>
            <w:tcW w:type="dxa" w:w="40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MID-MONTH OBSERVATION</w:t>
            </w:r>
          </w:p>
        </w:tc>
        <w:tc>
          <w:tcPr>
            <w:tcW w:type="dxa" w:w="67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MONTH-END ASSESSMENT</w:t>
            </w:r>
          </w:p>
        </w:tc>
      </w:tr>
      <w:tr>
        <w:trPr>
          <w:cantSplit/>
        </w:trPr>
        <w:tc>
          <w:tcPr>
            <w:tcW w:type="dxa" w:w="40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Emerging favorable trend</w:t>
            </w:r>
          </w:p>
        </w:tc>
        <w:tc>
          <w:tcPr>
            <w:tcW w:type="dxa" w:w="67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Did it continue?</w:t>
            </w:r>
          </w:p>
        </w:tc>
      </w:tr>
      <w:tr>
        <w:trPr>
          <w:cantSplit/>
        </w:trPr>
        <w:tc>
          <w:tcPr>
            <w:tcW w:type="dxa" w:w="40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Emerging unfavorable trend</w:t>
            </w:r>
          </w:p>
        </w:tc>
        <w:tc>
          <w:tcPr>
            <w:tcW w:type="dxa" w:w="67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Did it worsen or recover?</w:t>
            </w:r>
          </w:p>
        </w:tc>
      </w:tr>
      <w:tr>
        <w:trPr>
          <w:cantSplit/>
        </w:trPr>
        <w:tc>
          <w:tcPr>
            <w:tcW w:type="dxa" w:w="40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Potential risk</w:t>
            </w:r>
          </w:p>
        </w:tc>
        <w:tc>
          <w:tcPr>
            <w:tcW w:type="dxa" w:w="67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Did it materialize?</w:t>
            </w:r>
          </w:p>
        </w:tc>
      </w:tr>
      <w:tr>
        <w:trPr>
          <w:cantSplit/>
        </w:trPr>
        <w:tc>
          <w:tcPr>
            <w:tcW w:type="dxa" w:w="40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Timing issue</w:t>
            </w:r>
          </w:p>
        </w:tc>
        <w:tc>
          <w:tcPr>
            <w:tcW w:type="dxa" w:w="67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Did subsequent activity resolve it?</w:t>
            </w:r>
          </w:p>
        </w:tc>
      </w:tr>
      <w:tr>
        <w:trPr>
          <w:cantSplit/>
        </w:trPr>
        <w:tc>
          <w:tcPr>
            <w:tcW w:type="dxa" w:w="40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Unusual expense</w:t>
            </w:r>
          </w:p>
        </w:tc>
        <w:tc>
          <w:tcPr>
            <w:tcW w:type="dxa" w:w="67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Was it isolated or recurring?</w:t>
            </w:r>
          </w:p>
        </w:tc>
      </w:tr>
      <w:tr>
        <w:trPr>
          <w:cantSplit/>
        </w:trPr>
        <w:tc>
          <w:tcPr>
            <w:tcW w:type="dxa" w:w="40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Revenue concern</w:t>
            </w:r>
          </w:p>
        </w:tc>
        <w:tc>
          <w:tcPr>
            <w:tcW w:type="dxa" w:w="67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Did second-half activity offset it?</w:t>
            </w:r>
          </w:p>
        </w:tc>
      </w:tr>
      <w:tr>
        <w:trPr>
          <w:cantSplit/>
        </w:trPr>
        <w:tc>
          <w:tcPr>
            <w:tcW w:type="dxa" w:w="40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Operational development</w:t>
            </w:r>
          </w:p>
        </w:tc>
        <w:tc>
          <w:tcPr>
            <w:tcW w:type="dxa" w:w="67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What financial impact became evident?</w:t>
            </w:r>
          </w:p>
        </w:tc>
      </w:tr>
    </w:tbl>
    <w:p>
      <w:pPr>
        <w:spacing w:after="100" w:line="240"/>
      </w:pPr>
    </w:p>
    <w:p>
      <w:pPr>
        <w:keepNext/>
        <w:spacing w:line="276" w:lineRule="auto"/>
      </w:pPr>
      <w:r>
        <w:rPr>
          <w:rFonts w:ascii="Arial" w:cs="Arial" w:eastAsia="Arial" w:hAnsi="Arial"/>
          <w:b/>
          <w:bCs/>
          <w:sz w:val="24"/>
          <w:szCs w:val="24"/>
          <w:u w:val="single"/>
        </w:rPr>
        <w:t xml:space="preserve">6.11 Integrate the budget.</w:t>
      </w:r>
    </w:p>
    <w:p>
      <w:pPr>
        <w:spacing w:line="276" w:lineRule="auto"/>
      </w:pPr>
      <w:r>
        <w:rPr>
          <w:rFonts w:ascii="Arial" w:cs="Arial" w:eastAsia="Arial" w:hAnsi="Arial"/>
          <w:b/>
          <w:bCs/>
        </w:rPr>
        <w:t xml:space="preserve">6.11.1</w:t>
      </w:r>
      <w:r>
        <w:rPr>
          <w:rFonts w:ascii="Arial" w:cs="Arial" w:eastAsia="Arial" w:hAnsi="Arial"/>
        </w:rPr>
        <w:t xml:space="preserve"> </w:t>
      </w:r>
      <w:r>
        <w:rPr>
          <w:rFonts w:ascii="Arial" w:cs="Arial" w:eastAsia="Arial" w:hAnsi="Arial"/>
        </w:rPr>
        <w:t xml:space="preserve">At mid-month, budget reporting focuses primarily on whether current trends indicate potential risk to achieving the monthly or quarterly budget.</w:t>
      </w:r>
    </w:p>
    <w:p>
      <w:pPr>
        <w:spacing w:line="276" w:lineRule="auto"/>
      </w:pPr>
      <w:r>
        <w:rPr>
          <w:rFonts w:ascii="Arial" w:cs="Arial" w:eastAsia="Arial" w:hAnsi="Arial"/>
          <w:b/>
          <w:bCs/>
        </w:rPr>
        <w:t xml:space="preserve">6.11.2</w:t>
      </w:r>
      <w:r>
        <w:rPr>
          <w:rFonts w:ascii="Arial" w:cs="Arial" w:eastAsia="Arial" w:hAnsi="Arial"/>
        </w:rPr>
        <w:t xml:space="preserve"> </w:t>
      </w:r>
      <w:r>
        <w:rPr>
          <w:rFonts w:ascii="Arial" w:cs="Arial" w:eastAsia="Arial" w:hAnsi="Arial"/>
        </w:rPr>
        <w:t xml:space="preserve">At month-end, budget analysis evaluates actual performance against monthly budget, quarter-to-date expectations, year-to-date budget, and relevant departmental or operational targets. Material variances are explained when the underlying cause can reasonably be determined.</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42"/>
      </w:tblGrid>
      <w:tr>
        <w:trPr>
          <w:cantSplit/>
        </w:trPr>
        <w:tc>
          <w:tcPr>
            <w:tcW w:type="dxa" w:w="10742"/>
            <w:shd w:fill="DBE5F1" w:color="auto" w:val="clear"/>
            <w:tcMar>
              <w:top w:type="dxa" w:w="80"/>
              <w:left w:type="dxa" w:w="140"/>
              <w:bottom w:type="dxa" w:w="80"/>
              <w:right w:type="dxa" w:w="140"/>
            </w:tcMar>
            <w:vAlign w:val="top"/>
          </w:tcPr>
          <w:p>
            <w:pPr>
              <w:spacing w:after="40" w:before="40" w:line="276" w:lineRule="auto"/>
              <w:jc w:val="center"/>
            </w:pPr>
            <w:r>
              <w:rPr>
                <w:rFonts w:ascii="Arial" w:cs="Arial" w:eastAsia="Arial" w:hAnsi="Arial"/>
                <w:b/>
                <w:bCs/>
                <w:i/>
                <w:iCs/>
                <w:sz w:val="21"/>
                <w:szCs w:val="21"/>
              </w:rPr>
              <w:t xml:space="preserve">Do not stop at the variance. Explain what it means, what appears to be driving it, and what information may help management respond.</w:t>
            </w:r>
          </w:p>
        </w:tc>
      </w:tr>
    </w:tbl>
    <w:p>
      <w:pPr>
        <w:spacing w:after="100" w:line="240"/>
      </w:pPr>
    </w:p>
    <w:p>
      <w:pPr>
        <w:keepNext/>
        <w:spacing w:line="276" w:lineRule="auto"/>
      </w:pPr>
      <w:r>
        <w:rPr>
          <w:rFonts w:ascii="Arial" w:cs="Arial" w:eastAsia="Arial" w:hAnsi="Arial"/>
          <w:b/>
          <w:bCs/>
          <w:sz w:val="24"/>
          <w:szCs w:val="24"/>
          <w:u w:val="single"/>
        </w:rPr>
        <w:t xml:space="preserve">6.12 Draft the executive email.</w:t>
      </w:r>
    </w:p>
    <w:p>
      <w:pPr>
        <w:spacing w:line="276" w:lineRule="auto"/>
      </w:pPr>
      <w:r>
        <w:rPr>
          <w:rFonts w:ascii="Arial" w:cs="Arial" w:eastAsia="Arial" w:hAnsi="Arial"/>
          <w:b/>
          <w:bCs/>
        </w:rPr>
        <w:t xml:space="preserve">6.12.1</w:t>
      </w:r>
      <w:r>
        <w:rPr>
          <w:rFonts w:ascii="Arial" w:cs="Arial" w:eastAsia="Arial" w:hAnsi="Arial"/>
        </w:rPr>
        <w:t xml:space="preserve"> </w:t>
      </w:r>
      <w:r>
        <w:rPr>
          <w:rFonts w:ascii="Arial" w:cs="Arial" w:eastAsia="Arial" w:hAnsi="Arial"/>
        </w:rPr>
        <w:t xml:space="preserve">The mid-month email follows the structure below.</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3"/>
        <w:gridCol w:w="7619"/>
      </w:tblGrid>
      <w:tr>
        <w:trPr>
          <w:cantSplit/>
          <w:tblHeader/>
        </w:trPr>
        <w:tc>
          <w:tcPr>
            <w:tcW w:type="dxa" w:w="3123"/>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MID-MONTH EMAIL SECTION</w:t>
            </w:r>
          </w:p>
        </w:tc>
        <w:tc>
          <w:tcPr>
            <w:tcW w:type="dxa" w:w="7619"/>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CONTENT</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Opening</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Identify the reporting period and information reviewed.</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Current Financial Direction</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Summarize the most significant financial results through mid-month.</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Hired Cases and Operating Indicators</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Discuss case volume, contract value, average contract value, case mix, and significant Dashboard developments.</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Emerging Risks or Opportunities</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Identify developments warranting monitoring during the remainder of the month.</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Overall Mid-Month Assessment</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Answer: Where does the month appear to be heading, and what should leadership be watching? The tone explicitly recognizes that the results are interim.</w:t>
            </w:r>
          </w:p>
        </w:tc>
      </w:tr>
    </w:tbl>
    <w:p>
      <w:pPr>
        <w:spacing w:after="100" w:line="240"/>
      </w:pPr>
    </w:p>
    <w:p>
      <w:pPr>
        <w:spacing w:line="276" w:lineRule="auto"/>
      </w:pPr>
      <w:r>
        <w:rPr>
          <w:rFonts w:ascii="Arial" w:cs="Arial" w:eastAsia="Arial" w:hAnsi="Arial"/>
          <w:b/>
          <w:bCs/>
        </w:rPr>
        <w:t xml:space="preserve">6.12.2</w:t>
      </w:r>
      <w:r>
        <w:rPr>
          <w:rFonts w:ascii="Arial" w:cs="Arial" w:eastAsia="Arial" w:hAnsi="Arial"/>
        </w:rPr>
        <w:t xml:space="preserve"> </w:t>
      </w:r>
      <w:r>
        <w:rPr>
          <w:rFonts w:ascii="Arial" w:cs="Arial" w:eastAsia="Arial" w:hAnsi="Arial"/>
        </w:rPr>
        <w:t xml:space="preserve">The month-end email follows the structure below.</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3"/>
        <w:gridCol w:w="7619"/>
      </w:tblGrid>
      <w:tr>
        <w:trPr>
          <w:cantSplit/>
          <w:tblHeader/>
        </w:trPr>
        <w:tc>
          <w:tcPr>
            <w:tcW w:type="dxa" w:w="3123"/>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MONTH-END EMAIL SECTION</w:t>
            </w:r>
          </w:p>
        </w:tc>
        <w:tc>
          <w:tcPr>
            <w:tcW w:type="dxa" w:w="7619"/>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CONTENT</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Opening</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Identify the completed reporting period and supporting reports reviewed.</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Financial Results</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Address revenue, profitability, major expenses, cash, payroll, marketing, and other material results.</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Hired Cases and Operational Results</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Discuss cases hired, contract value, average contract value, case mix, Dashboard performance, and connections to financial performance.</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Mid-Month Follow-Up</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Address significant issues previously identified at mid-month where appropriate.</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Risks and Forward-Looking Considerations</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Identify matters likely to influence the following month, quarter, or broader financial outlook.</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Overall Month-End Assessment</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Answer: What does the completed month tell us about the financial and operational direction of the business?</w:t>
            </w:r>
          </w:p>
        </w:tc>
      </w:tr>
    </w:tbl>
    <w:p>
      <w:pPr>
        <w:spacing w:after="100" w:line="240"/>
      </w:pPr>
    </w:p>
    <w:p>
      <w:pPr>
        <w:spacing w:line="276" w:lineRule="auto"/>
      </w:pPr>
      <w:r>
        <w:rPr>
          <w:rFonts w:ascii="Arial" w:cs="Arial" w:eastAsia="Arial" w:hAnsi="Arial"/>
          <w:b/>
          <w:bCs/>
        </w:rPr>
        <w:t xml:space="preserve">6.12.3</w:t>
      </w:r>
      <w:r>
        <w:rPr>
          <w:rFonts w:ascii="Arial" w:cs="Arial" w:eastAsia="Arial" w:hAnsi="Arial"/>
        </w:rPr>
        <w:t xml:space="preserve"> </w:t>
      </w:r>
      <w:r>
        <w:rPr>
          <w:rFonts w:ascii="Arial" w:cs="Arial" w:eastAsia="Arial" w:hAnsi="Arial"/>
        </w:rPr>
        <w:t xml:space="preserve">Both reports are objective, analytical, concise, candid, balanced, fact-based, forward-looking when reasonably supportable, and written from the perspective of the Controller.</w:t>
      </w:r>
    </w:p>
    <w:p>
      <w:pPr>
        <w:spacing w:line="276" w:lineRule="auto"/>
      </w:pPr>
      <w:r>
        <w:rPr>
          <w:rFonts w:ascii="Arial" w:cs="Arial" w:eastAsia="Arial" w:hAnsi="Arial"/>
          <w:b/>
          <w:bCs/>
        </w:rPr>
        <w:t xml:space="preserve">6.12.4</w:t>
      </w:r>
      <w:r>
        <w:rPr>
          <w:rFonts w:ascii="Arial" w:cs="Arial" w:eastAsia="Arial" w:hAnsi="Arial"/>
        </w:rPr>
        <w:t xml:space="preserve"> </w:t>
      </w:r>
      <w:r>
        <w:rPr>
          <w:rFonts w:ascii="Arial" w:cs="Arial" w:eastAsia="Arial" w:hAnsi="Arial"/>
        </w:rPr>
        <w:t xml:space="preserve">The reports avoid simply restating numbers, overloading executives with accounting detail, making unsupported causal claims, being unnecessarily alarmist, or minimizing meaningful unfavorable developments. Positive developments are communicated when warranted even during a weak financial period, and favorable results do not prevent identification of developing risks.</w:t>
      </w:r>
    </w:p>
    <w:p>
      <w:pPr>
        <w:keepNext/>
        <w:spacing w:after="0" w:line="276" w:lineRule="auto"/>
      </w:pPr>
      <w:r>
        <w:rPr>
          <w:rFonts w:ascii="Arial" w:cs="Arial" w:eastAsia="Arial" w:hAnsi="Arial"/>
          <w:b/>
          <w:bCs/>
          <w:color w:val="5B9BD5"/>
          <w:sz w:val="26"/>
          <w:szCs w:val="26"/>
        </w:rPr>
        <w:t xml:space="preserve">7. Materiality and Executive Relevance</w:t>
      </w:r>
    </w:p>
    <w:p>
      <w:pPr>
        <w:spacing w:line="276" w:lineRule="auto"/>
      </w:pPr>
      <w:r>
        <w:rPr>
          <w:rFonts w:ascii="Arial" w:cs="Arial" w:eastAsia="Arial" w:hAnsi="Arial"/>
          <w:b/>
          <w:bCs/>
        </w:rPr>
        <w:t xml:space="preserve">7.1</w:t>
      </w:r>
      <w:r>
        <w:rPr>
          <w:rFonts w:ascii="Arial" w:cs="Arial" w:eastAsia="Arial" w:hAnsi="Arial"/>
        </w:rPr>
        <w:t xml:space="preserve"> </w:t>
      </w:r>
      <w:r>
        <w:rPr>
          <w:rFonts w:ascii="Arial" w:cs="Arial" w:eastAsia="Arial" w:hAnsi="Arial"/>
        </w:rPr>
        <w:t xml:space="preserve">The report does not attempt to identify every financial variance. It prioritizes matters that are financially or operationally significant, outside normal expectations, indicative of a trend, relevant to budget achievement, likely to affect future performance, relevant to current executive priorities, or appropriate for CEO or COO action or awareness.</w:t>
      </w:r>
    </w:p>
    <w:p>
      <w:pPr>
        <w:spacing w:line="276" w:lineRule="auto"/>
      </w:pPr>
      <w:r>
        <w:rPr>
          <w:rFonts w:ascii="Arial" w:cs="Arial" w:eastAsia="Arial" w:hAnsi="Arial"/>
          <w:b/>
          <w:bCs/>
        </w:rPr>
        <w:t xml:space="preserve">7.2</w:t>
      </w:r>
      <w:r>
        <w:rPr>
          <w:rFonts w:ascii="Arial" w:cs="Arial" w:eastAsia="Arial" w:hAnsi="Arial"/>
        </w:rPr>
        <w:t xml:space="preserve"> </w:t>
      </w:r>
      <w:r>
        <w:rPr>
          <w:rFonts w:ascii="Arial" w:cs="Arial" w:eastAsia="Arial" w:hAnsi="Arial"/>
        </w:rPr>
        <w:t xml:space="preserve">Routine fluctuations that are understood, expected, and immaterial generally do not require executive-level discussion.</w:t>
      </w:r>
    </w:p>
    <w:p>
      <w:pPr>
        <w:spacing w:line="276" w:lineRule="auto"/>
      </w:pPr>
      <w:r>
        <w:rPr>
          <w:rFonts w:ascii="Arial" w:cs="Arial" w:eastAsia="Arial" w:hAnsi="Arial"/>
          <w:b/>
          <w:bCs/>
        </w:rPr>
        <w:t xml:space="preserve">7.3</w:t>
      </w:r>
      <w:r>
        <w:rPr>
          <w:rFonts w:ascii="Arial" w:cs="Arial" w:eastAsia="Arial" w:hAnsi="Arial"/>
        </w:rPr>
        <w:t xml:space="preserve"> </w:t>
      </w:r>
      <w:r>
        <w:rPr>
          <w:rFonts w:ascii="Arial" w:cs="Arial" w:eastAsia="Arial" w:hAnsi="Arial"/>
        </w:rPr>
        <w:t xml:space="preserve">Reporting distinguishes among three levels of analysis: a fact, directly supported by financial or operating data; an observation, a relationship identified through analysis; and a conclusion or interpretation, the Controller's assessment of what may explain the relationship. An interpretation is never presented as established fact when the underlying data does not demonstrate causation.</w:t>
      </w:r>
    </w:p>
    <w:p>
      <w:pPr>
        <w:keepNext/>
        <w:spacing w:after="0" w:line="276" w:lineRule="auto"/>
      </w:pPr>
      <w:r>
        <w:rPr>
          <w:rFonts w:ascii="Arial" w:cs="Arial" w:eastAsia="Arial" w:hAnsi="Arial"/>
          <w:b/>
          <w:bCs/>
          <w:color w:val="5B9BD5"/>
          <w:sz w:val="26"/>
          <w:szCs w:val="26"/>
        </w:rPr>
        <w:t xml:space="preserve">8. Final Quality-Control Review</w:t>
      </w:r>
    </w:p>
    <w:p>
      <w:pPr>
        <w:spacing w:line="276" w:lineRule="auto"/>
      </w:pPr>
      <w:r>
        <w:rPr>
          <w:rFonts w:ascii="Arial" w:cs="Arial" w:eastAsia="Arial" w:hAnsi="Arial"/>
          <w:b/>
          <w:bCs/>
        </w:rPr>
        <w:t xml:space="preserve">8.1</w:t>
      </w:r>
      <w:r>
        <w:rPr>
          <w:rFonts w:ascii="Arial" w:cs="Arial" w:eastAsia="Arial" w:hAnsi="Arial"/>
        </w:rPr>
        <w:t xml:space="preserve"> </w:t>
      </w:r>
      <w:r>
        <w:rPr>
          <w:rFonts w:ascii="Arial" w:cs="Arial" w:eastAsia="Arial" w:hAnsi="Arial"/>
        </w:rPr>
        <w:t xml:space="preserve">Before either report is distributed, the Controller answers the following questions. The email communicates these answers rather than simply summarizing the underlying reports.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42"/>
      </w:tblGrid>
      <w:tr>
        <w:trPr>
          <w:cantSplit/>
          <w:tblHeader/>
        </w:trPr>
        <w:tc>
          <w:tcPr>
            <w:tcW w:type="dxa" w:w="700"/>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w:t>
            </w:r>
          </w:p>
        </w:tc>
        <w:tc>
          <w:tcPr>
            <w:tcW w:type="dxa" w:w="10042"/>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FINAL QUALITY-CONTROL QUESTIONS</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What changed?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Why does it appear to have changed?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Is the change significant?</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Is it a timing issue or a meaningful trend?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Do the Financial Statements, Hired Cases data, and Executive Dashboard tell a consistent story?</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If they do not, what might explain the difference?</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What could the development mean for future performance?</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Does the CEO or COO need to know or act on it?</w:t>
            </w:r>
          </w:p>
        </w:tc>
      </w:tr>
    </w:tbl>
    <w:p>
      <w:pPr>
        <w:spacing w:after="100" w:line="240"/>
      </w:pPr>
    </w:p>
    <w:p>
      <w:pPr>
        <w:keepNext/>
        <w:spacing w:after="0" w:line="276" w:lineRule="auto"/>
      </w:pPr>
      <w:r>
        <w:rPr>
          <w:rFonts w:ascii="Arial" w:cs="Arial" w:eastAsia="Arial" w:hAnsi="Arial"/>
          <w:b/>
          <w:bCs/>
          <w:color w:val="5B9BD5"/>
          <w:sz w:val="26"/>
          <w:szCs w:val="26"/>
        </w:rPr>
        <w:t xml:space="preserve">9. Follow-Up of Prior Observations</w:t>
      </w:r>
    </w:p>
    <w:p>
      <w:pPr>
        <w:spacing w:line="276" w:lineRule="auto"/>
      </w:pPr>
      <w:r>
        <w:rPr>
          <w:rFonts w:ascii="Arial" w:cs="Arial" w:eastAsia="Arial" w:hAnsi="Arial"/>
          <w:b/>
          <w:bCs/>
        </w:rPr>
        <w:t xml:space="preserve">9.1</w:t>
      </w:r>
      <w:r>
        <w:rPr>
          <w:rFonts w:ascii="Arial" w:cs="Arial" w:eastAsia="Arial" w:hAnsi="Arial"/>
        </w:rPr>
        <w:t xml:space="preserve"> </w:t>
      </w:r>
      <w:r>
        <w:rPr>
          <w:rFonts w:ascii="Arial" w:cs="Arial" w:eastAsia="Arial" w:hAnsi="Arial"/>
        </w:rPr>
        <w:t xml:space="preserve">Significant observations continue to be tracked until resolved, no longer material, incorporated into normal operating expectations, or replaced by more current information.</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42"/>
      </w:tblGrid>
      <w:tr>
        <w:trPr>
          <w:cantSplit/>
        </w:trPr>
        <w:tc>
          <w:tcPr>
            <w:tcW w:type="dxa" w:w="10742"/>
            <w:shd w:fill="DBE5F1" w:color="auto" w:val="clear"/>
            <w:tcMar>
              <w:top w:type="dxa" w:w="80"/>
              <w:left w:type="dxa" w:w="140"/>
              <w:bottom w:type="dxa" w:w="80"/>
              <w:right w:type="dxa" w:w="140"/>
            </w:tcMar>
            <w:vAlign w:val="top"/>
          </w:tcPr>
          <w:p>
            <w:pPr>
              <w:spacing w:after="40" w:before="40" w:line="276" w:lineRule="auto"/>
              <w:jc w:val="center"/>
            </w:pPr>
            <w:r>
              <w:rPr>
                <w:rFonts w:ascii="Arial" w:cs="Arial" w:eastAsia="Arial" w:hAnsi="Arial"/>
                <w:b/>
                <w:bCs/>
                <w:i/>
                <w:iCs/>
                <w:sz w:val="21"/>
                <w:szCs w:val="21"/>
              </w:rPr>
              <w:t xml:space="preserve">Reporting continuity: Mid-Month &gt; Month-End &gt; Following Mid-Month &gt; Following Month-End</w:t>
            </w:r>
          </w:p>
        </w:tc>
      </w:tr>
    </w:tbl>
    <w:p>
      <w:pPr>
        <w:spacing w:after="100" w:line="240"/>
      </w:pPr>
    </w:p>
    <w:p>
      <w:pPr>
        <w:keepNext/>
        <w:spacing w:after="0" w:line="276" w:lineRule="auto"/>
      </w:pPr>
      <w:r>
        <w:rPr>
          <w:rFonts w:ascii="Arial" w:cs="Arial" w:eastAsia="Arial" w:hAnsi="Arial"/>
          <w:b/>
          <w:bCs/>
          <w:color w:val="5B9BD5"/>
          <w:sz w:val="26"/>
          <w:szCs w:val="26"/>
        </w:rPr>
        <w:t xml:space="preserve">10. Mandatory Control Requirements</w:t>
      </w:r>
    </w:p>
    <w:p>
      <w:pPr>
        <w:spacing w:line="276" w:lineRule="auto"/>
      </w:pPr>
      <w:r>
        <w:rPr>
          <w:rFonts w:ascii="Arial" w:cs="Arial" w:eastAsia="Arial" w:hAnsi="Arial"/>
          <w:b/>
          <w:bCs/>
        </w:rPr>
        <w:t xml:space="preserve">10.1</w:t>
      </w:r>
      <w:r>
        <w:rPr>
          <w:rFonts w:ascii="Arial" w:cs="Arial" w:eastAsia="Arial" w:hAnsi="Arial"/>
        </w:rPr>
        <w:t xml:space="preserve"> </w:t>
      </w:r>
      <w:r>
        <w:rPr>
          <w:rFonts w:ascii="Arial" w:cs="Arial" w:eastAsia="Arial" w:hAnsi="Arial"/>
        </w:rPr>
        <w:t xml:space="preserve">Month-end analysis does not begin until the accounting records are substantially complete and the Controller's month-end review has been performed.</w:t>
      </w:r>
    </w:p>
    <w:p>
      <w:pPr>
        <w:spacing w:line="276" w:lineRule="auto"/>
      </w:pPr>
      <w:r>
        <w:rPr>
          <w:rFonts w:ascii="Arial" w:cs="Arial" w:eastAsia="Arial" w:hAnsi="Arial"/>
          <w:b/>
          <w:bCs/>
        </w:rPr>
        <w:t xml:space="preserve">10.2</w:t>
      </w:r>
      <w:r>
        <w:rPr>
          <w:rFonts w:ascii="Arial" w:cs="Arial" w:eastAsia="Arial" w:hAnsi="Arial"/>
        </w:rPr>
        <w:t xml:space="preserve"> </w:t>
      </w:r>
      <w:r>
        <w:rPr>
          <w:rFonts w:ascii="Arial" w:cs="Arial" w:eastAsia="Arial" w:hAnsi="Arial"/>
        </w:rPr>
        <w:t xml:space="preserve">Every number in an executive report agrees with the supporting report it came from.</w:t>
      </w:r>
    </w:p>
    <w:p>
      <w:pPr>
        <w:spacing w:line="276" w:lineRule="auto"/>
      </w:pPr>
      <w:r>
        <w:rPr>
          <w:rFonts w:ascii="Arial" w:cs="Arial" w:eastAsia="Arial" w:hAnsi="Arial"/>
          <w:b/>
          <w:bCs/>
        </w:rPr>
        <w:t xml:space="preserve">10.3</w:t>
      </w:r>
      <w:r>
        <w:rPr>
          <w:rFonts w:ascii="Arial" w:cs="Arial" w:eastAsia="Arial" w:hAnsi="Arial"/>
        </w:rPr>
        <w:t xml:space="preserve"> </w:t>
      </w:r>
      <w:r>
        <w:rPr>
          <w:rFonts w:ascii="Arial" w:cs="Arial" w:eastAsia="Arial" w:hAnsi="Arial"/>
        </w:rPr>
        <w:t xml:space="preserve">Facts, observations, and interpretations are kept distinct. Causation is never asserted where the data only shows a relationship.</w:t>
      </w:r>
    </w:p>
    <w:p>
      <w:pPr>
        <w:spacing w:line="276" w:lineRule="auto"/>
      </w:pPr>
      <w:r>
        <w:rPr>
          <w:rFonts w:ascii="Arial" w:cs="Arial" w:eastAsia="Arial" w:hAnsi="Arial"/>
          <w:b/>
          <w:bCs/>
        </w:rPr>
        <w:t xml:space="preserve">10.4</w:t>
      </w:r>
      <w:r>
        <w:rPr>
          <w:rFonts w:ascii="Arial" w:cs="Arial" w:eastAsia="Arial" w:hAnsi="Arial"/>
        </w:rPr>
        <w:t xml:space="preserve"> </w:t>
      </w:r>
      <w:r>
        <w:rPr>
          <w:rFonts w:ascii="Arial" w:cs="Arial" w:eastAsia="Arial" w:hAnsi="Arial"/>
        </w:rPr>
        <w:t xml:space="preserve">Mid-month results are labeled as interim and are not presented as completed monthly results.</w:t>
      </w:r>
    </w:p>
    <w:p>
      <w:pPr>
        <w:spacing w:line="276" w:lineRule="auto"/>
      </w:pPr>
      <w:r>
        <w:rPr>
          <w:rFonts w:ascii="Arial" w:cs="Arial" w:eastAsia="Arial" w:hAnsi="Arial"/>
          <w:b/>
          <w:bCs/>
        </w:rPr>
        <w:t xml:space="preserve">10.5</w:t>
      </w:r>
      <w:r>
        <w:rPr>
          <w:rFonts w:ascii="Arial" w:cs="Arial" w:eastAsia="Arial" w:hAnsi="Arial"/>
        </w:rPr>
        <w:t xml:space="preserve"> </w:t>
      </w:r>
      <w:r>
        <w:rPr>
          <w:rFonts w:ascii="Arial" w:cs="Arial" w:eastAsia="Arial" w:hAnsi="Arial"/>
        </w:rPr>
        <w:t xml:space="preserve">Significant mid-month observations are revisited at month-end, and significant observations are tracked until resolved.</w:t>
      </w:r>
    </w:p>
    <w:p>
      <w:pPr>
        <w:spacing w:line="276" w:lineRule="auto"/>
      </w:pPr>
      <w:r>
        <w:rPr>
          <w:rFonts w:ascii="Arial" w:cs="Arial" w:eastAsia="Arial" w:hAnsi="Arial"/>
          <w:b/>
          <w:bCs/>
        </w:rPr>
        <w:t xml:space="preserve">10.6</w:t>
      </w:r>
      <w:r>
        <w:rPr>
          <w:rFonts w:ascii="Arial" w:cs="Arial" w:eastAsia="Arial" w:hAnsi="Arial"/>
        </w:rPr>
        <w:t xml:space="preserve"> </w:t>
      </w:r>
      <w:r>
        <w:rPr>
          <w:rFonts w:ascii="Arial" w:cs="Arial" w:eastAsia="Arial" w:hAnsi="Arial"/>
        </w:rPr>
        <w:t xml:space="preserve">Material variances are explained, not merely reported, when the underlying cause can reasonably be determined.</w:t>
      </w:r>
    </w:p>
    <w:p>
      <w:pPr>
        <w:keepNext/>
        <w:spacing w:after="0" w:line="276" w:lineRule="auto"/>
      </w:pPr>
      <w:r>
        <w:rPr>
          <w:rFonts w:ascii="Arial" w:cs="Arial" w:eastAsia="Arial" w:hAnsi="Arial"/>
          <w:b/>
          <w:bCs/>
          <w:color w:val="5B9BD5"/>
          <w:sz w:val="26"/>
          <w:szCs w:val="26"/>
        </w:rPr>
        <w:t xml:space="preserve">11. Reporting Checklists</w:t>
      </w:r>
    </w:p>
    <w:p>
      <w:pPr>
        <w:keepNext/>
        <w:spacing w:line="276" w:lineRule="auto"/>
      </w:pPr>
      <w:r>
        <w:rPr>
          <w:rFonts w:ascii="Arial" w:cs="Arial" w:eastAsia="Arial" w:hAnsi="Arial"/>
          <w:b/>
          <w:bCs/>
          <w:sz w:val="24"/>
          <w:szCs w:val="24"/>
          <w:u w:val="single"/>
        </w:rPr>
        <w:t xml:space="preserve">11.1 Mid-month reporting checklist.</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42"/>
      </w:tblGrid>
      <w:tr>
        <w:trPr>
          <w:cantSplit/>
          <w:tblHeader/>
        </w:trPr>
        <w:tc>
          <w:tcPr>
            <w:tcW w:type="dxa" w:w="700"/>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w:t>
            </w:r>
          </w:p>
        </w:tc>
        <w:tc>
          <w:tcPr>
            <w:tcW w:type="dxa" w:w="10042"/>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SOURCE INFORMATION</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Interim Financial Statements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Hired Cases information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Executive Dashboard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Cash activity considered.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Collections information considered where relevant.</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Budget information considered.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Significant operational developments identified.</w:t>
            </w:r>
          </w:p>
        </w:tc>
      </w:tr>
    </w:tbl>
    <w:p>
      <w:pPr>
        <w:spacing w:after="100" w:line="240"/>
      </w:pP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42"/>
      </w:tblGrid>
      <w:tr>
        <w:trPr>
          <w:cantSplit/>
          <w:tblHeader/>
        </w:trPr>
        <w:tc>
          <w:tcPr>
            <w:tcW w:type="dxa" w:w="700"/>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w:t>
            </w:r>
          </w:p>
        </w:tc>
        <w:tc>
          <w:tcPr>
            <w:tcW w:type="dxa" w:w="10042"/>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ANALYSIS</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Revenue direction assessed.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Expense trends assessed.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Payroll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Marketing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Hired-case volume analyzed.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Contract value analyzed.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Average contract value analyzed.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Case mix considered.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Dashboard trends considered.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Cross-source relationships evaluated.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Timing differences considered.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Emerging risks identified.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Prior material observations followed up.</w:t>
            </w:r>
          </w:p>
        </w:tc>
      </w:tr>
    </w:tbl>
    <w:p>
      <w:pPr>
        <w:spacing w:after="100" w:line="240"/>
      </w:pP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42"/>
      </w:tblGrid>
      <w:tr>
        <w:trPr>
          <w:cantSplit/>
          <w:tblHeader/>
        </w:trPr>
        <w:tc>
          <w:tcPr>
            <w:tcW w:type="dxa" w:w="700"/>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w:t>
            </w:r>
          </w:p>
        </w:tc>
        <w:tc>
          <w:tcPr>
            <w:tcW w:type="dxa" w:w="10042"/>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COMMUNICATION</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Interim nature of results appropriately reflected.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Material observations supported.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Facts distinguished from interpretations.</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Executive implications explained.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Overall mid-month assessment included.</w:t>
            </w:r>
          </w:p>
        </w:tc>
      </w:tr>
    </w:tbl>
    <w:p>
      <w:pPr>
        <w:spacing w:after="100" w:line="240"/>
      </w:pPr>
    </w:p>
    <w:p>
      <w:pPr>
        <w:keepNext/>
        <w:spacing w:line="276" w:lineRule="auto"/>
      </w:pPr>
      <w:r>
        <w:rPr>
          <w:rFonts w:ascii="Arial" w:cs="Arial" w:eastAsia="Arial" w:hAnsi="Arial"/>
          <w:b/>
          <w:bCs/>
          <w:sz w:val="24"/>
          <w:szCs w:val="24"/>
          <w:u w:val="single"/>
        </w:rPr>
        <w:t xml:space="preserve">11.2 Month-end reporting checklist.</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42"/>
      </w:tblGrid>
      <w:tr>
        <w:trPr>
          <w:cantSplit/>
          <w:tblHeader/>
        </w:trPr>
        <w:tc>
          <w:tcPr>
            <w:tcW w:type="dxa" w:w="700"/>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w:t>
            </w:r>
          </w:p>
        </w:tc>
        <w:tc>
          <w:tcPr>
            <w:tcW w:type="dxa" w:w="10042"/>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ACCOUNTING READINESS</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Month-end financial statements substantially complete.</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Material bank and credit card activity recorded.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Necessary reconciliations completed.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Material adjustments considered.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Financial statements reviewed for reasonableness.</w:t>
            </w:r>
          </w:p>
        </w:tc>
      </w:tr>
    </w:tbl>
    <w:p>
      <w:pPr>
        <w:spacing w:after="100" w:line="240"/>
      </w:pP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42"/>
      </w:tblGrid>
      <w:tr>
        <w:trPr>
          <w:cantSplit/>
          <w:tblHeader/>
        </w:trPr>
        <w:tc>
          <w:tcPr>
            <w:tcW w:type="dxa" w:w="700"/>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w:t>
            </w:r>
          </w:p>
        </w:tc>
        <w:tc>
          <w:tcPr>
            <w:tcW w:type="dxa" w:w="10042"/>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ANALYSIS</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Monthly revenue analyzed.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Profitability analyzed.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Cash and liquidity assessed.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Payroll and personnel trends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Marketing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Budget variances considered.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Hired-case volume analyzed.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Contract value analyzed.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Average contract value analyzed.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Case mix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Executive Dashboard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Collections information considered.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Mid-month observations revisited.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Significant month-over-month trends identified.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Forward-looking risks identified.</w:t>
            </w:r>
          </w:p>
        </w:tc>
      </w:tr>
    </w:tbl>
    <w:p>
      <w:pPr>
        <w:spacing w:after="100" w:line="240"/>
      </w:pP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42"/>
      </w:tblGrid>
      <w:tr>
        <w:trPr>
          <w:cantSplit/>
          <w:tblHeader/>
        </w:trPr>
        <w:tc>
          <w:tcPr>
            <w:tcW w:type="dxa" w:w="700"/>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w:t>
            </w:r>
          </w:p>
        </w:tc>
        <w:tc>
          <w:tcPr>
            <w:tcW w:type="dxa" w:w="10042"/>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COMMUNICATION</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Numbers agree with supporting reports.</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Material conclusions are supportable.</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Unnecessary accounting detail removed.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Positive and negative developments appropriately balanced.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Forward-looking implications identified where appropriate.</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Overall month-end assessment included.</w:t>
            </w:r>
          </w:p>
        </w:tc>
      </w:tr>
    </w:tbl>
    <w:p>
      <w:pPr>
        <w:spacing w:after="100" w:line="240"/>
      </w:pPr>
    </w:p>
    <w:p>
      <w:pPr>
        <w:keepNext/>
        <w:spacing w:after="0" w:line="276" w:lineRule="auto"/>
      </w:pPr>
      <w:r>
        <w:rPr>
          <w:rFonts w:ascii="Arial" w:cs="Arial" w:eastAsia="Arial" w:hAnsi="Arial"/>
          <w:b/>
          <w:bCs/>
          <w:color w:val="5B9BD5"/>
          <w:sz w:val="26"/>
          <w:szCs w:val="26"/>
        </w:rPr>
        <w:t xml:space="preserve">12. Records Kept</w:t>
      </w:r>
    </w:p>
    <w:p>
      <w:pPr>
        <w:spacing w:line="276" w:lineRule="auto"/>
      </w:pPr>
      <w:r>
        <w:rPr>
          <w:rFonts w:ascii="Arial" w:cs="Arial" w:eastAsia="Arial" w:hAnsi="Arial"/>
          <w:b/>
          <w:bCs/>
        </w:rPr>
        <w:t xml:space="preserve">12.1</w:t>
      </w:r>
      <w:r>
        <w:rPr>
          <w:rFonts w:ascii="Arial" w:cs="Arial" w:eastAsia="Arial" w:hAnsi="Arial"/>
        </w:rPr>
        <w:t xml:space="preserve"> </w:t>
      </w:r>
      <w:r>
        <w:rPr>
          <w:rFonts w:ascii="Arial" w:cs="Arial" w:eastAsia="Arial" w:hAnsi="Arial"/>
        </w:rPr>
        <w:t xml:space="preserve">Financial Statements, Hired Cases reports, Executive Dashboard reports, and budget reports used in each analysis.</w:t>
      </w:r>
    </w:p>
    <w:p>
      <w:pPr>
        <w:spacing w:line="276" w:lineRule="auto"/>
      </w:pPr>
      <w:r>
        <w:rPr>
          <w:rFonts w:ascii="Arial" w:cs="Arial" w:eastAsia="Arial" w:hAnsi="Arial"/>
          <w:b/>
          <w:bCs/>
        </w:rPr>
        <w:t xml:space="preserve">12.2</w:t>
      </w:r>
      <w:r>
        <w:rPr>
          <w:rFonts w:ascii="Arial" w:cs="Arial" w:eastAsia="Arial" w:hAnsi="Arial"/>
        </w:rPr>
        <w:t xml:space="preserve"> </w:t>
      </w:r>
      <w:r>
        <w:rPr>
          <w:rFonts w:ascii="Arial" w:cs="Arial" w:eastAsia="Arial" w:hAnsi="Arial"/>
        </w:rPr>
        <w:t xml:space="preserve">Material supplemental analysis prepared for either report.</w:t>
      </w:r>
    </w:p>
    <w:p>
      <w:pPr>
        <w:spacing w:line="276" w:lineRule="auto"/>
      </w:pPr>
      <w:r>
        <w:rPr>
          <w:rFonts w:ascii="Arial" w:cs="Arial" w:eastAsia="Arial" w:hAnsi="Arial"/>
          <w:b/>
          <w:bCs/>
        </w:rPr>
        <w:t xml:space="preserve">12.3</w:t>
      </w:r>
      <w:r>
        <w:rPr>
          <w:rFonts w:ascii="Arial" w:cs="Arial" w:eastAsia="Arial" w:hAnsi="Arial"/>
        </w:rPr>
        <w:t xml:space="preserve"> </w:t>
      </w:r>
      <w:r>
        <w:rPr>
          <w:rFonts w:ascii="Arial" w:cs="Arial" w:eastAsia="Arial" w:hAnsi="Arial"/>
        </w:rPr>
        <w:t xml:space="preserve">The final mid-month and month-end emails provided to the CEO and COO.</w:t>
      </w:r>
    </w:p>
    <w:p>
      <w:pPr>
        <w:spacing w:line="276" w:lineRule="auto"/>
      </w:pPr>
      <w:r>
        <w:rPr>
          <w:rFonts w:ascii="Arial" w:cs="Arial" w:eastAsia="Arial" w:hAnsi="Arial"/>
          <w:b/>
          <w:bCs/>
        </w:rPr>
        <w:t xml:space="preserve">12.4</w:t>
      </w:r>
      <w:r>
        <w:rPr>
          <w:rFonts w:ascii="Arial" w:cs="Arial" w:eastAsia="Arial" w:hAnsi="Arial"/>
        </w:rPr>
        <w:t xml:space="preserve"> </w:t>
      </w:r>
      <w:r>
        <w:rPr>
          <w:rFonts w:ascii="Arial" w:cs="Arial" w:eastAsia="Arial" w:hAnsi="Arial"/>
        </w:rPr>
        <w:t xml:space="preserve">Source reports and final executive communications are retained consistent with the company's normal financial record-retention practices.</w:t>
      </w:r>
    </w:p>
    <w:p>
      <w:pPr>
        <w:keepNext/>
        <w:spacing w:after="0" w:line="276" w:lineRule="auto"/>
      </w:pPr>
      <w:r>
        <w:rPr>
          <w:rFonts w:ascii="Arial" w:cs="Arial" w:eastAsia="Arial" w:hAnsi="Arial"/>
          <w:b/>
          <w:bCs/>
          <w:color w:val="5B9BD5"/>
          <w:sz w:val="26"/>
          <w:szCs w:val="26"/>
        </w:rPr>
        <w:t xml:space="preserve">13. Schedule at a Glance</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00"/>
        <w:gridCol w:w="4142"/>
      </w:tblGrid>
      <w:tr>
        <w:trPr>
          <w:cantSplit/>
          <w:tblHeader/>
        </w:trPr>
        <w:tc>
          <w:tcPr>
            <w:tcW w:type="dxa" w:w="22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WHEN</w:t>
            </w:r>
          </w:p>
        </w:tc>
        <w:tc>
          <w:tcPr>
            <w:tcW w:type="dxa" w:w="44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WHAT</w:t>
            </w:r>
          </w:p>
        </w:tc>
        <w:tc>
          <w:tcPr>
            <w:tcW w:type="dxa" w:w="41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WHY</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Mid-month (about the 15th)</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Gather interim statements, Hired Cases, Dashboard, budget, cash, and collections information</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Early read on the direction of the month</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Mid-month</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Analyze, cross-reference, identify emerging trends and risks</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Leadership knows what to watch before month-end</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Mid-month</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Final quality-control review and mid-month email to the CEO and COO</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Interim assessment delivered</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After the monthly close</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Confirm the books are substantially complete and reviewed</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Month-end analysis rests on complete records</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Month-end</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Analyze, compare to prior periods and budget, revisit mid-month observations</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Actual monthly performance explained</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Month-end</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Final quality-control review and month-end email to the CEO and COO</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Completed-month assessment delivered</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Continuous</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Track significant observations until resolved</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Continuity between reporting periods</w:t>
            </w:r>
          </w:p>
        </w:tc>
      </w:tr>
    </w:tbl>
    <w:p>
      <w:pPr>
        <w:spacing w:after="100" w:line="240"/>
      </w:pPr>
    </w:p>
    <w:p>
      <w:pPr>
        <w:keepNext/>
        <w:spacing w:after="0" w:line="276" w:lineRule="auto"/>
      </w:pPr>
      <w:r>
        <w:rPr>
          <w:rFonts w:ascii="Arial" w:cs="Arial" w:eastAsia="Arial" w:hAnsi="Arial"/>
          <w:b/>
          <w:bCs/>
          <w:color w:val="5B9BD5"/>
          <w:sz w:val="26"/>
          <w:szCs w:val="26"/>
        </w:rPr>
        <w:t xml:space="preserve">14. Exceptions and Escalation</w:t>
      </w:r>
    </w:p>
    <w:p>
      <w:pPr>
        <w:spacing w:line="276" w:lineRule="auto"/>
      </w:pPr>
      <w:r>
        <w:rPr>
          <w:rFonts w:ascii="Arial" w:cs="Arial" w:eastAsia="Arial" w:hAnsi="Arial"/>
          <w:b/>
          <w:bCs/>
        </w:rPr>
        <w:t xml:space="preserve">14.1</w:t>
      </w:r>
      <w:r>
        <w:rPr>
          <w:rFonts w:ascii="Arial" w:cs="Arial" w:eastAsia="Arial" w:hAnsi="Arial"/>
        </w:rPr>
        <w:t xml:space="preserve"> </w:t>
      </w:r>
      <w:r>
        <w:rPr>
          <w:rFonts w:ascii="Arial" w:cs="Arial" w:eastAsia="Arial" w:hAnsi="Arial"/>
        </w:rPr>
        <w:t xml:space="preserve">If source information is unavailable or unreliable at the reporting date, the Controller states the limitation in the report rather than presenting incomplete results as complete.</w:t>
      </w:r>
    </w:p>
    <w:p>
      <w:pPr>
        <w:spacing w:line="276" w:lineRule="auto"/>
      </w:pPr>
      <w:r>
        <w:rPr>
          <w:rFonts w:ascii="Arial" w:cs="Arial" w:eastAsia="Arial" w:hAnsi="Arial"/>
          <w:b/>
          <w:bCs/>
        </w:rPr>
        <w:t xml:space="preserve">14.2</w:t>
      </w:r>
      <w:r>
        <w:rPr>
          <w:rFonts w:ascii="Arial" w:cs="Arial" w:eastAsia="Arial" w:hAnsi="Arial"/>
        </w:rPr>
        <w:t xml:space="preserve"> </w:t>
      </w:r>
      <w:r>
        <w:rPr>
          <w:rFonts w:ascii="Arial" w:cs="Arial" w:eastAsia="Arial" w:hAnsi="Arial"/>
        </w:rPr>
        <w:t xml:space="preserve">Matters requiring a management decision, investigation, or action outside the Finance function are escalated to the CEO or COO in the report or sooner when the matter is time-sensitive.</w:t>
      </w:r>
    </w:p>
    <w:p>
      <w:pPr>
        <w:keepNext/>
        <w:spacing w:after="0" w:line="276" w:lineRule="auto"/>
      </w:pPr>
      <w:r>
        <w:rPr>
          <w:rFonts w:ascii="Arial" w:cs="Arial" w:eastAsia="Arial" w:hAnsi="Arial"/>
          <w:b/>
          <w:bCs/>
          <w:color w:val="5B9BD5"/>
          <w:sz w:val="26"/>
          <w:szCs w:val="26"/>
        </w:rPr>
        <w:t xml:space="preserve">15. Document Maintenance</w:t>
      </w:r>
    </w:p>
    <w:p>
      <w:pPr>
        <w:spacing w:line="276" w:lineRule="auto"/>
      </w:pPr>
      <w:r>
        <w:rPr>
          <w:rFonts w:ascii="Arial" w:cs="Arial" w:eastAsia="Arial" w:hAnsi="Arial"/>
          <w:b/>
          <w:bCs/>
        </w:rPr>
        <w:t xml:space="preserve">15.1</w:t>
      </w:r>
      <w:r>
        <w:rPr>
          <w:rFonts w:ascii="Arial" w:cs="Arial" w:eastAsia="Arial" w:hAnsi="Arial"/>
        </w:rPr>
        <w:t xml:space="preserve"> </w:t>
      </w:r>
      <w:r>
        <w:rPr>
          <w:rFonts w:ascii="Arial" w:cs="Arial" w:eastAsia="Arial" w:hAnsi="Arial"/>
        </w:rPr>
        <w:t xml:space="preserve">The Finance Controller owns this procedure and modifies the reporting process as executive reporting expectations evolve, new KPIs are established, budgeting processes mature, Dashboard reporting changes, financial systems change, or additional operational information becomes available.</w:t>
      </w:r>
    </w:p>
    <w:p>
      <w:pPr>
        <w:spacing w:line="276" w:lineRule="auto"/>
      </w:pPr>
      <w:r>
        <w:rPr>
          <w:rFonts w:ascii="Arial" w:cs="Arial" w:eastAsia="Arial" w:hAnsi="Arial"/>
          <w:b/>
          <w:bCs/>
        </w:rPr>
        <w:t xml:space="preserve">15.2</w:t>
      </w:r>
      <w:r>
        <w:rPr>
          <w:rFonts w:ascii="Arial" w:cs="Arial" w:eastAsia="Arial" w:hAnsi="Arial"/>
        </w:rPr>
        <w:t xml:space="preserve"> </w:t>
      </w:r>
      <w:r>
        <w:rPr>
          <w:rFonts w:ascii="Arial" w:cs="Arial" w:eastAsia="Arial" w:hAnsi="Arial"/>
        </w:rPr>
        <w:t xml:space="preserve">This procedure is reviewed at least once a year. Each review is documented and results in either reconfirmation of the current version or a controlled revision.</w:t>
      </w:r>
    </w:p>
    <w:p>
      <w:pPr>
        <w:keepNext/>
        <w:spacing w:after="0" w:line="276" w:lineRule="auto"/>
      </w:pPr>
      <w:r>
        <w:rPr>
          <w:rFonts w:ascii="Arial" w:cs="Arial" w:eastAsia="Arial" w:hAnsi="Arial"/>
          <w:b/>
          <w:bCs/>
          <w:color w:val="5B9BD5"/>
          <w:sz w:val="26"/>
          <w:szCs w:val="26"/>
        </w:rPr>
        <w:t xml:space="preserve">16. Document Control</w:t>
      </w:r>
    </w:p>
    <w:p>
      <w:pPr>
        <w:spacing w:line="276" w:lineRule="auto"/>
      </w:pPr>
      <w:r>
        <w:rPr>
          <w:rFonts w:ascii="Arial" w:cs="Arial" w:eastAsia="Arial" w:hAnsi="Arial"/>
        </w:rPr>
        <w:t xml:space="preserve">This document forms part of the firm's controlled documentation system and is governed in accordance with ISO 9001 documentation-control discipline.</w:t>
      </w:r>
    </w:p>
    <w:tbl>
      <w:tblPr>
        <w:tblW w:type="dxa" w:w="107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9"/>
        <w:gridCol w:w="4590"/>
        <w:gridCol w:w="2595"/>
        <w:gridCol w:w="1756"/>
      </w:tblGrid>
      <w:tr>
        <w:trPr>
          <w:cantSplit/>
          <w:tblHeader/>
        </w:trPr>
        <w:tc>
          <w:tcPr>
            <w:tcW w:type="dxa" w:w="1799"/>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CONTROL STAGE</w:t>
            </w:r>
          </w:p>
        </w:tc>
        <w:tc>
          <w:tcPr>
            <w:tcW w:type="dxa" w:w="4590"/>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RESPONSIBILITY</w:t>
            </w:r>
          </w:p>
        </w:tc>
        <w:tc>
          <w:tcPr>
            <w:tcW w:type="dxa" w:w="2595"/>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RESPONSIBLE ROLE</w:t>
            </w:r>
          </w:p>
        </w:tc>
        <w:tc>
          <w:tcPr>
            <w:tcW w:type="dxa" w:w="1756"/>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SIGNATURE / APPROVAL DATE</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Author</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Drafted the content in alignment with controlled-documentation standards.</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Jeffrey Soto-Gil, Accounting Analyst</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Oct-09, 2026</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Process Owner Review</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Verifies Finance ownership, accuracy, and practical fit.</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Finance Controller</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Pending</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Executive Approval / Authorization</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Confirms readiness for release and use.</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Chief Operating Officer (COO) / Chief Executive Officer (CEO)</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Pending</w:t>
            </w:r>
          </w:p>
        </w:tc>
      </w:tr>
    </w:tbl>
    <w:p>
      <w:pPr>
        <w:spacing w:after="120" w:line="240"/>
      </w:pPr>
    </w:p>
    <w:p>
      <w:pPr>
        <w:keepNext/>
        <w:spacing w:after="0" w:line="276" w:lineRule="auto"/>
      </w:pPr>
      <w:r>
        <w:rPr>
          <w:rFonts w:ascii="Arial" w:cs="Arial" w:eastAsia="Arial" w:hAnsi="Arial"/>
          <w:b/>
          <w:bCs/>
          <w:color w:val="5B9BD5"/>
          <w:sz w:val="26"/>
          <w:szCs w:val="26"/>
        </w:rPr>
        <w:t xml:space="preserve">17. Version History</w:t>
      </w:r>
    </w:p>
    <w:tbl>
      <w:tblPr>
        <w:tblW w:type="dxa" w:w="107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9"/>
        <w:gridCol w:w="1170"/>
        <w:gridCol w:w="6274"/>
        <w:gridCol w:w="2217"/>
      </w:tblGrid>
      <w:tr>
        <w:trPr>
          <w:cantSplit/>
          <w:tblHeader/>
        </w:trPr>
        <w:tc>
          <w:tcPr>
            <w:tcW w:type="dxa" w:w="1079"/>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VERSION</w:t>
            </w:r>
          </w:p>
        </w:tc>
        <w:tc>
          <w:tcPr>
            <w:tcW w:type="dxa" w:w="1170"/>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DATE</w:t>
            </w:r>
          </w:p>
        </w:tc>
        <w:tc>
          <w:tcPr>
            <w:tcW w:type="dxa" w:w="6274"/>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CHANGE DESCRIPTION</w:t>
            </w:r>
          </w:p>
        </w:tc>
        <w:tc>
          <w:tcPr>
            <w:tcW w:type="dxa" w:w="2217"/>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PREPARED BY</w:t>
            </w:r>
          </w:p>
        </w:tc>
      </w:tr>
      <w:tr>
        <w:trPr>
          <w:cantSplit/>
        </w:trPr>
        <w:tc>
          <w:tcPr>
            <w:tcW w:type="dxa" w:w="1079"/>
            <w:tcMar>
              <w:top w:type="dxa" w:w="55"/>
              <w:left w:type="dxa" w:w="85"/>
              <w:bottom w:type="dxa" w:w="55"/>
              <w:right w:type="dxa" w:w="85"/>
            </w:tcMar>
            <w:vAlign w:val="top"/>
          </w:tcPr>
          <w:p>
            <w:pPr>
              <w:spacing w:after="0"/>
              <w:jc w:val="center"/>
            </w:pPr>
            <w:r>
              <w:rPr>
                <w:rFonts w:ascii="Arial" w:cs="Arial" w:eastAsia="Arial" w:hAnsi="Arial"/>
                <w:sz w:val="20"/>
                <w:szCs w:val="20"/>
              </w:rPr>
              <w:t xml:space="preserve">0.1</w:t>
            </w:r>
          </w:p>
        </w:tc>
        <w:tc>
          <w:tcPr>
            <w:tcW w:type="dxa" w:w="1170"/>
            <w:tcMar>
              <w:top w:type="dxa" w:w="55"/>
              <w:left w:type="dxa" w:w="85"/>
              <w:bottom w:type="dxa" w:w="55"/>
              <w:right w:type="dxa" w:w="85"/>
            </w:tcMar>
            <w:vAlign w:val="top"/>
          </w:tcPr>
          <w:p>
            <w:pPr>
              <w:spacing w:after="0"/>
              <w:jc w:val="center"/>
            </w:pPr>
            <w:r>
              <w:rPr>
                <w:rFonts w:ascii="Arial" w:cs="Arial" w:eastAsia="Arial" w:hAnsi="Arial"/>
                <w:sz w:val="20"/>
                <w:szCs w:val="20"/>
              </w:rPr>
              <w:t xml:space="preserve">Oct-09, 2026</w:t>
            </w:r>
          </w:p>
        </w:tc>
        <w:tc>
          <w:tcPr>
            <w:tcW w:type="dxa" w:w="6274"/>
            <w:tcMar>
              <w:top w:type="dxa" w:w="55"/>
              <w:left w:type="dxa" w:w="85"/>
              <w:bottom w:type="dxa" w:w="55"/>
              <w:right w:type="dxa" w:w="85"/>
            </w:tcMar>
            <w:vAlign w:val="top"/>
          </w:tcPr>
          <w:p>
            <w:pPr>
              <w:spacing w:after="0"/>
              <w:jc w:val="left"/>
            </w:pPr>
            <w:r>
              <w:rPr>
                <w:rFonts w:ascii="Arial" w:cs="Arial" w:eastAsia="Arial" w:hAnsi="Arial"/>
                <w:sz w:val="20"/>
                <w:szCs w:val="20"/>
              </w:rPr>
              <w:t xml:space="preserve">Initial procedure describing the mid-month and month-end executive financial reporting cycle to the CEO and COO.</w:t>
            </w:r>
          </w:p>
        </w:tc>
        <w:tc>
          <w:tcPr>
            <w:tcW w:type="dxa" w:w="2217"/>
            <w:tcMar>
              <w:top w:type="dxa" w:w="55"/>
              <w:left w:type="dxa" w:w="85"/>
              <w:bottom w:type="dxa" w:w="55"/>
              <w:right w:type="dxa" w:w="85"/>
            </w:tcMar>
            <w:vAlign w:val="top"/>
          </w:tcPr>
          <w:p>
            <w:pPr>
              <w:spacing w:after="0"/>
              <w:jc w:val="left"/>
            </w:pPr>
            <w:r>
              <w:rPr>
                <w:rFonts w:ascii="Arial" w:cs="Arial" w:eastAsia="Arial" w:hAnsi="Arial"/>
                <w:sz w:val="20"/>
                <w:szCs w:val="20"/>
              </w:rPr>
              <w:t xml:space="preserve">Jeffrey Soto-Gil, Accounting Analyst</w:t>
            </w:r>
          </w:p>
        </w:tc>
      </w:tr>
    </w:tbl>
    <w:p>
      <w:pPr>
        <w:spacing w:after="120" w:line="240"/>
      </w:pPr>
    </w:p>
    <w:p>
      <w:pPr>
        <w:spacing w:line="276" w:lineRule="auto"/>
      </w:pPr>
      <w:r>
        <w:rPr>
          <w:rFonts w:ascii="Arial" w:cs="Arial" w:eastAsia="Arial" w:hAnsi="Arial"/>
          <w:b/>
          <w:bCs/>
          <w:sz w:val="20"/>
          <w:szCs w:val="20"/>
        </w:rPr>
        <w:t xml:space="preserve">Confidentiality and Proprietary Notice</w:t>
      </w:r>
      <w:r>
        <w:br/>
      </w:r>
      <w:r>
        <w:rPr>
          <w:rFonts w:ascii="Arial" w:cs="Arial" w:eastAsia="Arial" w:hAnsi="Arial"/>
          <w:sz w:val="20"/>
          <w:szCs w:val="20"/>
        </w:rPr>
        <w:t xml:space="preserve">This document, including its content, structure, templates, workflows, protocols, tools, control logic, and supporting materials, is confidential and proprietary to Elizabeth Rosario Law (ERL) and is reserved for authorized internal business use. Copying, distribution, disclosure, transfer, reuse, modification, or use outside approved ERL systems requires prior written authorization from the Chief Executive Officer (CEO) or another duly designated approving authority.</w:t>
      </w:r>
    </w:p>
    <w:p>
      <w:pPr>
        <w:keepNext/>
        <w:pageBreakBefore/>
        <w:spacing w:after="0" w:line="276" w:lineRule="auto"/>
      </w:pPr>
      <w:r>
        <w:rPr>
          <w:rFonts w:ascii="Arial" w:cs="Arial" w:eastAsia="Arial" w:hAnsi="Arial"/>
          <w:b/>
          <w:bCs/>
          <w:color w:val="5B9BD5"/>
          <w:sz w:val="26"/>
          <w:szCs w:val="26"/>
        </w:rPr>
        <w:t xml:space="preserve">Annex A - Mid-Month and Month-End Financial Reporting Workflow</w:t>
      </w:r>
    </w:p>
    <w:p>
      <w:pPr>
        <w:spacing w:line="276" w:lineRule="auto"/>
      </w:pPr>
      <w:r>
        <w:rPr>
          <w:rFonts w:ascii="Arial" w:cs="Arial" w:eastAsia="Arial" w:hAnsi="Arial"/>
        </w:rPr>
        <w:t xml:space="preserve">The chart below shows the mid-month cycle and the month-end cycle described in Section 6, the materiality screen and final quality-control review in Sections 7 and 8, and the reporting continuity described in Section 9.</w:t>
      </w:r>
    </w:p>
    <w:p>
      <w:pPr>
        <w:spacing w:line="240" w:lineRule="auto"/>
        <w:jc w:val="center"/>
      </w:pPr>
      <w:r>
        <w:drawing>
          <wp:inline distT="0" distB="0" distL="0" distR="0">
            <wp:extent cx="6572250" cy="751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7515225"/>
                    </a:xfrm>
                    <a:prstGeom prst="rect">
                      <a:avLst/>
                    </a:prstGeom>
                  </pic:spPr>
                </pic:pic>
              </a:graphicData>
            </a:graphic>
          </wp:inline>
        </w:drawing>
      </w:r>
    </w:p>
    <w:sectPr>
      <w:headerReference w:type="default" r:id="rId7"/>
      <w:headerReference w:type="first" r:id="rId8"/>
      <w:footerReference w:type="default" r:id="rId9"/>
      <w:footerReference w:type="first" r:id="rId10"/>
      <w:pgSz w:w="12240" w:h="20160" w:orient="portrait"/>
      <w:pgMar w:top="648" w:right="749" w:bottom="691" w:left="749" w:header="331" w:footer="28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sz w:val="20"/>
        <w:szCs w:val="20"/>
      </w:rPr>
      <w:t xml:space="preserve">FIN-RPT-PROC-01 - Mid-Month and Month-End Financial Reporting Procedure</w:t>
    </w:r>
  </w:p>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7d7cacc1e5f6f5fe62d63c8f6e786a4accf00bb.png"/><Relationship Id="rId12" Type="http://schemas.openxmlformats.org/officeDocument/2006/relationships/image" Target="media/51780b6f83301e2d7edb8576b4da77d314c32b4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FIN-RPT-PROC-01 - Mid-Month and Month-End Financial Reporting Procedure</dc:title>
  <dc:creator>Jeffrey Soto-Gil, Accounting Analyst</dc:creator>
  <cp:lastModifiedBy>Un-named</cp:lastModifiedBy>
  <cp:revision>1</cp:revision>
  <dcterms:created xsi:type="dcterms:W3CDTF">2026-10-09T19:51:01.639Z</dcterms:created>
  <dcterms:modified xsi:type="dcterms:W3CDTF">2026-10-09T19:51:01.639Z</dcterms:modified>
</cp:coreProperties>
</file>

<file path=docProps/custom.xml><?xml version="1.0" encoding="utf-8"?>
<Properties xmlns="http://schemas.openxmlformats.org/officeDocument/2006/custom-properties" xmlns:vt="http://schemas.openxmlformats.org/officeDocument/2006/docPropsVTypes"/>
</file>