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40" w:lineRule="auto"/>
        <w:jc w:val="center"/>
      </w:pPr>
      <w:r>
        <w:drawing>
          <wp:inline distT="0" distB="0" distL="0" distR="0">
            <wp:extent cx="1228725"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28725" cy="638175"/>
                    </a:xfrm>
                    <a:prstGeom prst="rect">
                      <a:avLst/>
                    </a:prstGeom>
                  </pic:spPr>
                </pic:pic>
              </a:graphicData>
            </a:graphic>
          </wp:inline>
        </w:drawing>
      </w:r>
    </w:p>
    <w:tbl>
      <w:tblPr>
        <w:tblW w:type="dxa" w:w="10739"/>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0"/>
        <w:gridCol w:w="2849"/>
        <w:gridCol w:w="2430"/>
        <w:gridCol w:w="3450"/>
      </w:tblGrid>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Document Title</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Client Refund Procedure</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Document Code</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FIN-REF-PROC-01</w:t>
            </w:r>
          </w:p>
        </w:tc>
      </w:tr>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Document Type</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Procedure</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Parent Document</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To be assigned</w:t>
            </w:r>
          </w:p>
        </w:tc>
      </w:tr>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Process Covered</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Case Refunds and Consult Refunds</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Area</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Finance / Accounts Receivable</w:t>
            </w:r>
          </w:p>
        </w:tc>
      </w:tr>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Unit</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Finance</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Document Owner</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Finance Controller</w:t>
            </w:r>
          </w:p>
        </w:tc>
      </w:tr>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Version</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0.1</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Status / Effective Date</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Draft for Review / Upon Approval</w:t>
            </w:r>
          </w:p>
        </w:tc>
      </w:tr>
    </w:tbl>
    <w:p>
      <w:pPr>
        <w:spacing w:after="60" w:line="240"/>
      </w:pPr>
    </w:p>
    <w:p>
      <w:pPr>
        <w:keepNext/>
        <w:spacing w:after="0" w:line="276" w:lineRule="auto"/>
      </w:pPr>
      <w:r>
        <w:rPr>
          <w:rFonts w:ascii="Arial" w:cs="Arial" w:eastAsia="Arial" w:hAnsi="Arial"/>
          <w:b/>
          <w:bCs/>
          <w:color w:val="5B9BD5"/>
          <w:sz w:val="26"/>
          <w:szCs w:val="26"/>
        </w:rPr>
        <w:t xml:space="preserve">1. Purpose</w:t>
      </w:r>
    </w:p>
    <w:p>
      <w:pPr>
        <w:spacing w:line="276" w:lineRule="auto"/>
      </w:pPr>
      <w:r>
        <w:rPr>
          <w:rFonts w:ascii="Arial" w:cs="Arial" w:eastAsia="Arial" w:hAnsi="Arial"/>
          <w:b/>
          <w:bCs/>
        </w:rPr>
        <w:t xml:space="preserve">1.1</w:t>
      </w:r>
      <w:r>
        <w:rPr>
          <w:rFonts w:ascii="Arial" w:cs="Arial" w:eastAsia="Arial" w:hAnsi="Arial"/>
        </w:rPr>
        <w:t xml:space="preserve"> </w:t>
      </w:r>
      <w:r>
        <w:rPr>
          <w:rFonts w:ascii="Arial" w:cs="Arial" w:eastAsia="Arial" w:hAnsi="Arial"/>
        </w:rPr>
        <w:t xml:space="preserve">This procedure describes how Elizabeth Rosario Law (ERL) reviews, approves, pays, and documents refunds to clients and to consult prospects.</w:t>
      </w:r>
    </w:p>
    <w:p>
      <w:pPr>
        <w:spacing w:line="276" w:lineRule="auto"/>
      </w:pPr>
      <w:r>
        <w:rPr>
          <w:rFonts w:ascii="Arial" w:cs="Arial" w:eastAsia="Arial" w:hAnsi="Arial"/>
          <w:b/>
          <w:bCs/>
        </w:rPr>
        <w:t xml:space="preserve">1.2</w:t>
      </w:r>
      <w:r>
        <w:rPr>
          <w:rFonts w:ascii="Arial" w:cs="Arial" w:eastAsia="Arial" w:hAnsi="Arial"/>
        </w:rPr>
        <w:t xml:space="preserve"> </w:t>
      </w:r>
      <w:r>
        <w:rPr>
          <w:rFonts w:ascii="Arial" w:cs="Arial" w:eastAsia="Arial" w:hAnsi="Arial"/>
        </w:rPr>
        <w:t xml:space="preserve">Its goal is to make sure that no money leaves the firm without a Legal decision behind it, that every refund is paid in the right form, and that every refund can be traced on one tracker from approval to the moment the check is mailed or the e-check is sent.</w:t>
      </w:r>
    </w:p>
    <w:p>
      <w:pPr>
        <w:spacing w:line="276" w:lineRule="auto"/>
      </w:pPr>
      <w:r>
        <w:rPr>
          <w:rFonts w:ascii="Arial" w:cs="Arial" w:eastAsia="Arial" w:hAnsi="Arial"/>
          <w:b/>
          <w:bCs/>
        </w:rPr>
        <w:t xml:space="preserve">1.3</w:t>
      </w:r>
      <w:r>
        <w:rPr>
          <w:rFonts w:ascii="Arial" w:cs="Arial" w:eastAsia="Arial" w:hAnsi="Arial"/>
        </w:rPr>
        <w:t xml:space="preserve"> </w:t>
      </w:r>
      <w:r>
        <w:rPr>
          <w:rFonts w:ascii="Arial" w:cs="Arial" w:eastAsia="Arial" w:hAnsi="Arial"/>
        </w:rPr>
        <w:t xml:space="preserve">This procedure explains the overall approach. The refund tracker, the consult workbook, and the detailed working steps are maintained by the Accounting Analyst and the sales leads and are not repeated here.</w:t>
      </w:r>
    </w:p>
    <w:p>
      <w:pPr>
        <w:keepNext/>
        <w:spacing w:after="0" w:line="276" w:lineRule="auto"/>
      </w:pPr>
      <w:r>
        <w:rPr>
          <w:rFonts w:ascii="Arial" w:cs="Arial" w:eastAsia="Arial" w:hAnsi="Arial"/>
          <w:b/>
          <w:bCs/>
          <w:color w:val="5B9BD5"/>
          <w:sz w:val="26"/>
          <w:szCs w:val="26"/>
        </w:rPr>
        <w:t xml:space="preserve">2. Scope</w:t>
      </w:r>
    </w:p>
    <w:p>
      <w:pPr>
        <w:spacing w:line="276" w:lineRule="auto"/>
      </w:pPr>
      <w:r>
        <w:rPr>
          <w:rFonts w:ascii="Arial" w:cs="Arial" w:eastAsia="Arial" w:hAnsi="Arial"/>
          <w:b/>
          <w:bCs/>
        </w:rPr>
        <w:t xml:space="preserve">2.1</w:t>
      </w:r>
      <w:r>
        <w:rPr>
          <w:rFonts w:ascii="Arial" w:cs="Arial" w:eastAsia="Arial" w:hAnsi="Arial"/>
        </w:rPr>
        <w:t xml:space="preserve"> </w:t>
      </w:r>
      <w:r>
        <w:rPr>
          <w:rFonts w:ascii="Arial" w:cs="Arial" w:eastAsia="Arial" w:hAnsi="Arial"/>
        </w:rPr>
        <w:t xml:space="preserve">This procedure applies to every refund of client funds on an ERL legal matter (a case refund) and to every refund of a consultation fee (a consult refund).</w:t>
      </w:r>
    </w:p>
    <w:p>
      <w:pPr>
        <w:spacing w:line="276" w:lineRule="auto"/>
      </w:pPr>
      <w:r>
        <w:rPr>
          <w:rFonts w:ascii="Arial" w:cs="Arial" w:eastAsia="Arial" w:hAnsi="Arial"/>
          <w:b/>
          <w:bCs/>
        </w:rPr>
        <w:t xml:space="preserve">2.2</w:t>
      </w:r>
      <w:r>
        <w:rPr>
          <w:rFonts w:ascii="Arial" w:cs="Arial" w:eastAsia="Arial" w:hAnsi="Arial"/>
        </w:rPr>
        <w:t xml:space="preserve"> </w:t>
      </w:r>
      <w:r>
        <w:rPr>
          <w:rFonts w:ascii="Arial" w:cs="Arial" w:eastAsia="Arial" w:hAnsi="Arial"/>
        </w:rPr>
        <w:t xml:space="preserve">It covers Legal review, the MD's approved amount and explanation, the MyCase note, the closed-case spreadsheet, Finance's payment of the approved amount by check or e-check, the consult-refund workbook maintained by the sales leads, the refund tracker, and the handoff of checks to mail out.</w:t>
      </w:r>
    </w:p>
    <w:p>
      <w:pPr>
        <w:spacing w:line="276" w:lineRule="auto"/>
      </w:pPr>
      <w:r>
        <w:rPr>
          <w:rFonts w:ascii="Arial" w:cs="Arial" w:eastAsia="Arial" w:hAnsi="Arial"/>
          <w:b/>
          <w:bCs/>
        </w:rPr>
        <w:t xml:space="preserve">2.3</w:t>
      </w:r>
      <w:r>
        <w:rPr>
          <w:rFonts w:ascii="Arial" w:cs="Arial" w:eastAsia="Arial" w:hAnsi="Arial"/>
        </w:rPr>
        <w:t xml:space="preserve"> </w:t>
      </w:r>
      <w:r>
        <w:rPr>
          <w:rFonts w:ascii="Arial" w:cs="Arial" w:eastAsia="Arial" w:hAnsi="Arial"/>
        </w:rPr>
        <w:t xml:space="preserve">Chargebacks and card disputes, trust-account (IOLTA) accounting, and collections follow-up are not covered here. They follow their own procedures, including FIN-CHB-PROC-01 - Chargeback Dispute Response Procedure and FIN-AR-PROC-01 - Accounts Receivable Monitoring Procedure.</w:t>
      </w:r>
    </w:p>
    <w:p>
      <w:pPr>
        <w:keepNext/>
        <w:spacing w:after="0" w:line="276" w:lineRule="auto"/>
      </w:pPr>
      <w:r>
        <w:rPr>
          <w:rFonts w:ascii="Arial" w:cs="Arial" w:eastAsia="Arial" w:hAnsi="Arial"/>
          <w:b/>
          <w:bCs/>
          <w:color w:val="5B9BD5"/>
          <w:sz w:val="26"/>
          <w:szCs w:val="26"/>
        </w:rPr>
        <w:t xml:space="preserve">3. Sources of Information</w:t>
      </w:r>
    </w:p>
    <w:p>
      <w:pPr>
        <w:spacing w:line="276" w:lineRule="auto"/>
      </w:pPr>
      <w:r>
        <w:rPr>
          <w:rFonts w:ascii="Arial" w:cs="Arial" w:eastAsia="Arial" w:hAnsi="Arial"/>
          <w:b/>
          <w:bCs/>
        </w:rPr>
        <w:t xml:space="preserve">3.1</w:t>
      </w:r>
      <w:r>
        <w:rPr>
          <w:rFonts w:ascii="Arial" w:cs="Arial" w:eastAsia="Arial" w:hAnsi="Arial"/>
        </w:rPr>
        <w:t xml:space="preserve"> </w:t>
      </w:r>
      <w:r>
        <w:rPr>
          <w:rFonts w:ascii="Arial" w:cs="Arial" w:eastAsia="Arial" w:hAnsi="Arial"/>
        </w:rPr>
        <w:t xml:space="preserve">MyCase - the client's case record, where the Managing Director Attorney (MD) leaves the note with the approved refund amount and explanation.</w:t>
      </w:r>
    </w:p>
    <w:p>
      <w:pPr>
        <w:spacing w:line="276" w:lineRule="auto"/>
      </w:pPr>
      <w:r>
        <w:rPr>
          <w:rFonts w:ascii="Arial" w:cs="Arial" w:eastAsia="Arial" w:hAnsi="Arial"/>
          <w:b/>
          <w:bCs/>
        </w:rPr>
        <w:t xml:space="preserve">3.2</w:t>
      </w:r>
      <w:r>
        <w:rPr>
          <w:rFonts w:ascii="Arial" w:cs="Arial" w:eastAsia="Arial" w:hAnsi="Arial"/>
        </w:rPr>
        <w:t xml:space="preserve"> </w:t>
      </w:r>
      <w:r>
        <w:rPr>
          <w:rFonts w:ascii="Arial" w:cs="Arial" w:eastAsia="Arial" w:hAnsi="Arial"/>
        </w:rPr>
        <w:t xml:space="preserve">Closed-case spreadsheet (2026 Closed) - the case-connected spreadsheet where the MD logs the case once the refund is approved.</w:t>
      </w:r>
    </w:p>
    <w:p>
      <w:pPr>
        <w:spacing w:line="276" w:lineRule="auto"/>
      </w:pPr>
      <w:r>
        <w:rPr>
          <w:rFonts w:ascii="Arial" w:cs="Arial" w:eastAsia="Arial" w:hAnsi="Arial"/>
          <w:b/>
          <w:bCs/>
        </w:rPr>
        <w:t xml:space="preserve">3.3</w:t>
      </w:r>
      <w:r>
        <w:rPr>
          <w:rFonts w:ascii="Arial" w:cs="Arial" w:eastAsia="Arial" w:hAnsi="Arial"/>
        </w:rPr>
        <w:t xml:space="preserve"> </w:t>
      </w:r>
      <w:r>
        <w:rPr>
          <w:rFonts w:ascii="Arial" w:cs="Arial" w:eastAsia="Arial" w:hAnsi="Arial"/>
        </w:rPr>
        <w:t xml:space="preserve">Consult-refund workbook - the workbook maintained by the sales leads listing consults that need to be refunded.</w:t>
      </w:r>
    </w:p>
    <w:p>
      <w:pPr>
        <w:spacing w:line="276" w:lineRule="auto"/>
      </w:pPr>
      <w:r>
        <w:rPr>
          <w:rFonts w:ascii="Arial" w:cs="Arial" w:eastAsia="Arial" w:hAnsi="Arial"/>
          <w:b/>
          <w:bCs/>
        </w:rPr>
        <w:t xml:space="preserve">3.4</w:t>
      </w:r>
      <w:r>
        <w:rPr>
          <w:rFonts w:ascii="Arial" w:cs="Arial" w:eastAsia="Arial" w:hAnsi="Arial"/>
        </w:rPr>
        <w:t xml:space="preserve"> </w:t>
      </w:r>
      <w:r>
        <w:rPr>
          <w:rFonts w:ascii="Arial" w:cs="Arial" w:eastAsia="Arial" w:hAnsi="Arial"/>
        </w:rPr>
        <w:t xml:space="preserve">Refund tracker - the Finance spreadsheet on which every refund is logged for tracking and documentation purposes.</w:t>
      </w:r>
    </w:p>
    <w:p>
      <w:pPr>
        <w:spacing w:line="276" w:lineRule="auto"/>
      </w:pPr>
      <w:r>
        <w:rPr>
          <w:rFonts w:ascii="Arial" w:cs="Arial" w:eastAsia="Arial" w:hAnsi="Arial"/>
          <w:b/>
          <w:bCs/>
        </w:rPr>
        <w:t xml:space="preserve">3.5</w:t>
      </w:r>
      <w:r>
        <w:rPr>
          <w:rFonts w:ascii="Arial" w:cs="Arial" w:eastAsia="Arial" w:hAnsi="Arial"/>
        </w:rPr>
        <w:t xml:space="preserve"> </w:t>
      </w:r>
      <w:r>
        <w:rPr>
          <w:rFonts w:ascii="Arial" w:cs="Arial" w:eastAsia="Arial" w:hAnsi="Arial"/>
        </w:rPr>
        <w:t xml:space="preserve">Bank and payment records - the check register and e-check confirmations that prove the refund was paid.</w:t>
      </w:r>
    </w:p>
    <w:p>
      <w:pPr>
        <w:keepNext/>
        <w:spacing w:after="0" w:line="276" w:lineRule="auto"/>
      </w:pPr>
      <w:r>
        <w:rPr>
          <w:rFonts w:ascii="Arial" w:cs="Arial" w:eastAsia="Arial" w:hAnsi="Arial"/>
          <w:b/>
          <w:bCs/>
          <w:color w:val="5B9BD5"/>
          <w:sz w:val="26"/>
          <w:szCs w:val="26"/>
        </w:rPr>
        <w:t xml:space="preserve">4. Terms and Definitions</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8442"/>
      </w:tblGrid>
      <w:tr>
        <w:trPr>
          <w:cantSplit/>
          <w:tblHeader/>
        </w:trPr>
        <w:tc>
          <w:tcPr>
            <w:tcW w:type="dxa" w:w="2300"/>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TERM</w:t>
            </w:r>
          </w:p>
        </w:tc>
        <w:tc>
          <w:tcPr>
            <w:tcW w:type="dxa" w:w="8442"/>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DEFINITION</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Case Refund</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 refund of funds paid by a client on an ERL legal matter. It requires Legal review and an MD-approved amount before Finance pays it.</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Consult Refund</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 refund of a consultation fee to a prospect who did not proceed. It is identified on the consult-refund workbook and paid by e-check.</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MD (Managing Director Attorney)</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Managing Director Attorney, who gives the approved refund amount and the explanation for it.</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Approved Amount</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refund figure set by the MD. Finance refunds this amount and no other.</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Check</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standard form of refund, written by Finance and handed to mail out once documented.</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E-check</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An electronic check. Used for special requests, hard circumstances, and all consult refunds.</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Closed-Case Spreadsheet</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case-connected "2026 Closed" spreadsheet where the MD records the case at approval.</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Refund Tracker</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Finance spreadsheet that records every refund: case or consult, amount, form of payment, date, and status, for tracking and documentation purposes.</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Consult-Refund Workbook</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workbook kept current by the sales leads that lists each consult to be refunded.</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Mail Out</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firm's outgoing-mail function to which written checks are handed.</w:t>
            </w:r>
          </w:p>
        </w:tc>
      </w:tr>
    </w:tbl>
    <w:p>
      <w:pPr>
        <w:spacing w:after="100" w:line="240"/>
      </w:pPr>
    </w:p>
    <w:p>
      <w:pPr>
        <w:keepNext/>
        <w:spacing w:after="0" w:line="276" w:lineRule="auto"/>
      </w:pPr>
      <w:r>
        <w:rPr>
          <w:rFonts w:ascii="Arial" w:cs="Arial" w:eastAsia="Arial" w:hAnsi="Arial"/>
          <w:b/>
          <w:bCs/>
          <w:color w:val="5B9BD5"/>
          <w:sz w:val="26"/>
          <w:szCs w:val="26"/>
        </w:rPr>
        <w:t xml:space="preserve">5. Roles and Responsibilities</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3"/>
        <w:gridCol w:w="7619"/>
      </w:tblGrid>
      <w:tr>
        <w:trPr>
          <w:cantSplit/>
          <w:tblHeader/>
        </w:trPr>
        <w:tc>
          <w:tcPr>
            <w:tcW w:type="dxa" w:w="3123"/>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ROLE</w:t>
            </w:r>
          </w:p>
        </w:tc>
        <w:tc>
          <w:tcPr>
            <w:tcW w:type="dxa" w:w="7619"/>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RESPONSIBILITY</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Legal</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Reviews the client account when a case refund is requested.</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MD (Managing Director Attorney)</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Gives the approved refund amount and the explanation; leaves the note in MyCase; logs the case in the closed-case spreadsheet.</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Sales Leads</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Maintain the consult-refund workbook so that every consult needing a refund is listed and current.</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Accounting Analyst (Finance)</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Takes the approved amount; reviews the consult-refund workbook; pays each refund by check or e-check; logs every refund on the refund tracker; hands written checks to mail out.</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Finance Controller</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Owns this procedure, reviews the refund tracker, and approves any exception, such as an e-check outside the stated circumstances.</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Chief Operating Officer (COO) / Chief Executive Officer (CEO)</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Receive refund results in the monthly reporting and approve policy-level changes to who may approve refunds and how they are paid.</w:t>
            </w:r>
          </w:p>
        </w:tc>
      </w:tr>
    </w:tbl>
    <w:p>
      <w:pPr>
        <w:spacing w:after="100" w:line="240"/>
      </w:pPr>
    </w:p>
    <w:p>
      <w:pPr>
        <w:keepNext/>
        <w:spacing w:after="0" w:line="276" w:lineRule="auto"/>
      </w:pPr>
      <w:r>
        <w:rPr>
          <w:rFonts w:ascii="Arial" w:cs="Arial" w:eastAsia="Arial" w:hAnsi="Arial"/>
          <w:b/>
          <w:bCs/>
          <w:color w:val="5B9BD5"/>
          <w:sz w:val="26"/>
          <w:szCs w:val="26"/>
        </w:rPr>
        <w:t xml:space="preserve">6. Procedure</w:t>
      </w:r>
    </w:p>
    <w:p>
      <w:pPr>
        <w:spacing w:line="276" w:lineRule="auto"/>
      </w:pPr>
      <w:r>
        <w:rPr>
          <w:rFonts w:ascii="Arial" w:cs="Arial" w:eastAsia="Arial" w:hAnsi="Arial"/>
        </w:rPr>
        <w:t xml:space="preserve">Refunds follow two paths that end on the same tracker: case refunds, which start with Legal, and consult refunds, which start with the sales leads' workbook. The full flow is shown in Annex A - Client Refund Workflow.</w:t>
      </w:r>
    </w:p>
    <w:p>
      <w:pPr>
        <w:keepNext/>
        <w:spacing w:line="276" w:lineRule="auto"/>
      </w:pPr>
      <w:r>
        <w:rPr>
          <w:rFonts w:ascii="Arial" w:cs="Arial" w:eastAsia="Arial" w:hAnsi="Arial"/>
          <w:b/>
          <w:bCs/>
          <w:sz w:val="24"/>
          <w:szCs w:val="24"/>
          <w:u w:val="single"/>
        </w:rPr>
        <w:t xml:space="preserve">6.1 Legal reviews the account.</w:t>
      </w:r>
    </w:p>
    <w:p>
      <w:pPr>
        <w:spacing w:line="276" w:lineRule="auto"/>
      </w:pPr>
      <w:r>
        <w:rPr>
          <w:rFonts w:ascii="Arial" w:cs="Arial" w:eastAsia="Arial" w:hAnsi="Arial"/>
          <w:b/>
          <w:bCs/>
        </w:rPr>
        <w:t xml:space="preserve">6.1.1</w:t>
      </w:r>
      <w:r>
        <w:rPr>
          <w:rFonts w:ascii="Arial" w:cs="Arial" w:eastAsia="Arial" w:hAnsi="Arial"/>
        </w:rPr>
        <w:t xml:space="preserve"> </w:t>
      </w:r>
      <w:r>
        <w:rPr>
          <w:rFonts w:ascii="Arial" w:cs="Arial" w:eastAsia="Arial" w:hAnsi="Arial"/>
        </w:rPr>
        <w:t xml:space="preserve">When a refund is requested on a client matter, the account is reviewed by Legal before any amount is discussed with Finance.</w:t>
      </w:r>
    </w:p>
    <w:p>
      <w:pPr>
        <w:keepNext/>
        <w:spacing w:line="276" w:lineRule="auto"/>
      </w:pPr>
      <w:r>
        <w:rPr>
          <w:rFonts w:ascii="Arial" w:cs="Arial" w:eastAsia="Arial" w:hAnsi="Arial"/>
          <w:b/>
          <w:bCs/>
          <w:sz w:val="24"/>
          <w:szCs w:val="24"/>
          <w:u w:val="single"/>
        </w:rPr>
        <w:t xml:space="preserve">6.2 The MD gives the approved amount and explanation.</w:t>
      </w:r>
    </w:p>
    <w:p>
      <w:pPr>
        <w:spacing w:line="276" w:lineRule="auto"/>
      </w:pPr>
      <w:r>
        <w:rPr>
          <w:rFonts w:ascii="Arial" w:cs="Arial" w:eastAsia="Arial" w:hAnsi="Arial"/>
          <w:b/>
          <w:bCs/>
        </w:rPr>
        <w:t xml:space="preserve">6.2.1</w:t>
      </w:r>
      <w:r>
        <w:rPr>
          <w:rFonts w:ascii="Arial" w:cs="Arial" w:eastAsia="Arial" w:hAnsi="Arial"/>
        </w:rPr>
        <w:t xml:space="preserve"> </w:t>
      </w:r>
      <w:r>
        <w:rPr>
          <w:rFonts w:ascii="Arial" w:cs="Arial" w:eastAsia="Arial" w:hAnsi="Arial"/>
        </w:rPr>
        <w:t xml:space="preserve">The MD / attorney gives the refund amount and the explanation for it. This is the only amount Finance will pay.</w:t>
      </w:r>
    </w:p>
    <w:p>
      <w:pPr>
        <w:spacing w:line="276" w:lineRule="auto"/>
      </w:pPr>
      <w:r>
        <w:rPr>
          <w:rFonts w:ascii="Arial" w:cs="Arial" w:eastAsia="Arial" w:hAnsi="Arial"/>
          <w:b/>
          <w:bCs/>
        </w:rPr>
        <w:t xml:space="preserve">6.2.2</w:t>
      </w:r>
      <w:r>
        <w:rPr>
          <w:rFonts w:ascii="Arial" w:cs="Arial" w:eastAsia="Arial" w:hAnsi="Arial"/>
        </w:rPr>
        <w:t xml:space="preserve"> </w:t>
      </w:r>
      <w:r>
        <w:rPr>
          <w:rFonts w:ascii="Arial" w:cs="Arial" w:eastAsia="Arial" w:hAnsi="Arial"/>
        </w:rPr>
        <w:t xml:space="preserve">The MD leaves a note in MyCase on the client's case recording the amount and the explanation.</w:t>
      </w:r>
    </w:p>
    <w:p>
      <w:pPr>
        <w:spacing w:line="276" w:lineRule="auto"/>
      </w:pPr>
      <w:r>
        <w:rPr>
          <w:rFonts w:ascii="Arial" w:cs="Arial" w:eastAsia="Arial" w:hAnsi="Arial"/>
          <w:b/>
          <w:bCs/>
        </w:rPr>
        <w:t xml:space="preserve">6.2.3</w:t>
      </w:r>
      <w:r>
        <w:rPr>
          <w:rFonts w:ascii="Arial" w:cs="Arial" w:eastAsia="Arial" w:hAnsi="Arial"/>
        </w:rPr>
        <w:t xml:space="preserve"> </w:t>
      </w:r>
      <w:r>
        <w:rPr>
          <w:rFonts w:ascii="Arial" w:cs="Arial" w:eastAsia="Arial" w:hAnsi="Arial"/>
        </w:rPr>
        <w:t xml:space="preserve">The MD logs the case in the case-connected closed-case spreadsheet (2026 Closed).</w:t>
      </w:r>
    </w:p>
    <w:p>
      <w:pPr>
        <w:keepNext/>
        <w:spacing w:line="276" w:lineRule="auto"/>
      </w:pPr>
      <w:r>
        <w:rPr>
          <w:rFonts w:ascii="Arial" w:cs="Arial" w:eastAsia="Arial" w:hAnsi="Arial"/>
          <w:b/>
          <w:bCs/>
          <w:sz w:val="24"/>
          <w:szCs w:val="24"/>
          <w:u w:val="single"/>
        </w:rPr>
        <w:t xml:space="preserve">6.3 Finance pays the approved amount.</w:t>
      </w:r>
    </w:p>
    <w:p>
      <w:pPr>
        <w:spacing w:line="276" w:lineRule="auto"/>
      </w:pPr>
      <w:r>
        <w:rPr>
          <w:rFonts w:ascii="Arial" w:cs="Arial" w:eastAsia="Arial" w:hAnsi="Arial"/>
          <w:b/>
          <w:bCs/>
        </w:rPr>
        <w:t xml:space="preserve">6.3.1</w:t>
      </w:r>
      <w:r>
        <w:rPr>
          <w:rFonts w:ascii="Arial" w:cs="Arial" w:eastAsia="Arial" w:hAnsi="Arial"/>
        </w:rPr>
        <w:t xml:space="preserve"> </w:t>
      </w:r>
      <w:r>
        <w:rPr>
          <w:rFonts w:ascii="Arial" w:cs="Arial" w:eastAsia="Arial" w:hAnsi="Arial"/>
        </w:rPr>
        <w:t xml:space="preserve">Finance takes the approved amount from the MyCase note and the closed-case spreadsheet and writes it in the form of a check.</w:t>
      </w:r>
    </w:p>
    <w:p>
      <w:pPr>
        <w:spacing w:line="276" w:lineRule="auto"/>
      </w:pPr>
      <w:r>
        <w:rPr>
          <w:rFonts w:ascii="Arial" w:cs="Arial" w:eastAsia="Arial" w:hAnsi="Arial"/>
          <w:b/>
          <w:bCs/>
        </w:rPr>
        <w:t xml:space="preserve">6.3.2</w:t>
      </w:r>
      <w:r>
        <w:rPr>
          <w:rFonts w:ascii="Arial" w:cs="Arial" w:eastAsia="Arial" w:hAnsi="Arial"/>
        </w:rPr>
        <w:t xml:space="preserve"> </w:t>
      </w:r>
      <w:r>
        <w:rPr>
          <w:rFonts w:ascii="Arial" w:cs="Arial" w:eastAsia="Arial" w:hAnsi="Arial"/>
        </w:rPr>
        <w:t xml:space="preserve">For a special request or a hard circumstance, the refund is paid by e-check instead of a check.</w:t>
      </w:r>
    </w:p>
    <w:p>
      <w:pPr>
        <w:spacing w:line="276" w:lineRule="auto"/>
      </w:pPr>
      <w:r>
        <w:rPr>
          <w:rFonts w:ascii="Arial" w:cs="Arial" w:eastAsia="Arial" w:hAnsi="Arial"/>
          <w:b/>
          <w:bCs/>
        </w:rPr>
        <w:t xml:space="preserve">6.3.3</w:t>
      </w:r>
      <w:r>
        <w:rPr>
          <w:rFonts w:ascii="Arial" w:cs="Arial" w:eastAsia="Arial" w:hAnsi="Arial"/>
        </w:rPr>
        <w:t xml:space="preserve"> </w:t>
      </w:r>
      <w:r>
        <w:rPr>
          <w:rFonts w:ascii="Arial" w:cs="Arial" w:eastAsia="Arial" w:hAnsi="Arial"/>
        </w:rPr>
        <w:t xml:space="preserve">The form of refund (check or e-check) is then recorded on the refund tracker for tracking and documentation purposes.</w:t>
      </w:r>
    </w:p>
    <w:p>
      <w:pPr>
        <w:keepNext/>
        <w:spacing w:line="276" w:lineRule="auto"/>
      </w:pPr>
      <w:r>
        <w:rPr>
          <w:rFonts w:ascii="Arial" w:cs="Arial" w:eastAsia="Arial" w:hAnsi="Arial"/>
          <w:b/>
          <w:bCs/>
          <w:sz w:val="24"/>
          <w:szCs w:val="24"/>
          <w:u w:val="single"/>
        </w:rPr>
        <w:t xml:space="preserve">6.4 Hand written checks to mail out.</w:t>
      </w:r>
    </w:p>
    <w:p>
      <w:pPr>
        <w:spacing w:line="276" w:lineRule="auto"/>
      </w:pPr>
      <w:r>
        <w:rPr>
          <w:rFonts w:ascii="Arial" w:cs="Arial" w:eastAsia="Arial" w:hAnsi="Arial"/>
          <w:b/>
          <w:bCs/>
        </w:rPr>
        <w:t xml:space="preserve">6.4.1</w:t>
      </w:r>
      <w:r>
        <w:rPr>
          <w:rFonts w:ascii="Arial" w:cs="Arial" w:eastAsia="Arial" w:hAnsi="Arial"/>
        </w:rPr>
        <w:t xml:space="preserve"> </w:t>
      </w:r>
      <w:r>
        <w:rPr>
          <w:rFonts w:ascii="Arial" w:cs="Arial" w:eastAsia="Arial" w:hAnsi="Arial"/>
        </w:rPr>
        <w:t xml:space="preserve">Once the refund is documented on the tracker, if a check was written, the check is handed to mail out.</w:t>
      </w:r>
    </w:p>
    <w:p>
      <w:pPr>
        <w:spacing w:line="276" w:lineRule="auto"/>
      </w:pPr>
      <w:r>
        <w:rPr>
          <w:rFonts w:ascii="Arial" w:cs="Arial" w:eastAsia="Arial" w:hAnsi="Arial"/>
          <w:b/>
          <w:bCs/>
        </w:rPr>
        <w:t xml:space="preserve">6.4.2</w:t>
      </w:r>
      <w:r>
        <w:rPr>
          <w:rFonts w:ascii="Arial" w:cs="Arial" w:eastAsia="Arial" w:hAnsi="Arial"/>
        </w:rPr>
        <w:t xml:space="preserve"> </w:t>
      </w:r>
      <w:r>
        <w:rPr>
          <w:rFonts w:ascii="Arial" w:cs="Arial" w:eastAsia="Arial" w:hAnsi="Arial"/>
        </w:rPr>
        <w:t xml:space="preserve">If the refund was paid by e-check, nothing is mailed and the refund is complete once the tracker is updated.</w:t>
      </w:r>
    </w:p>
    <w:p>
      <w:pPr>
        <w:keepNext/>
        <w:spacing w:line="276" w:lineRule="auto"/>
      </w:pPr>
      <w:r>
        <w:rPr>
          <w:rFonts w:ascii="Arial" w:cs="Arial" w:eastAsia="Arial" w:hAnsi="Arial"/>
          <w:b/>
          <w:bCs/>
          <w:sz w:val="24"/>
          <w:szCs w:val="24"/>
          <w:u w:val="single"/>
        </w:rPr>
        <w:t xml:space="preserve">6.5 Process consult refunds from the sales workbook.</w:t>
      </w:r>
    </w:p>
    <w:p>
      <w:pPr>
        <w:spacing w:line="276" w:lineRule="auto"/>
      </w:pPr>
      <w:r>
        <w:rPr>
          <w:rFonts w:ascii="Arial" w:cs="Arial" w:eastAsia="Arial" w:hAnsi="Arial"/>
          <w:b/>
          <w:bCs/>
        </w:rPr>
        <w:t xml:space="preserve">6.5.1</w:t>
      </w:r>
      <w:r>
        <w:rPr>
          <w:rFonts w:ascii="Arial" w:cs="Arial" w:eastAsia="Arial" w:hAnsi="Arial"/>
        </w:rPr>
        <w:t xml:space="preserve"> </w:t>
      </w:r>
      <w:r>
        <w:rPr>
          <w:rFonts w:ascii="Arial" w:cs="Arial" w:eastAsia="Arial" w:hAnsi="Arial"/>
        </w:rPr>
        <w:t xml:space="preserve">The sales leads maintain a workbook of consults that need to be refunded.</w:t>
      </w:r>
    </w:p>
    <w:p>
      <w:pPr>
        <w:spacing w:line="276" w:lineRule="auto"/>
      </w:pPr>
      <w:r>
        <w:rPr>
          <w:rFonts w:ascii="Arial" w:cs="Arial" w:eastAsia="Arial" w:hAnsi="Arial"/>
          <w:b/>
          <w:bCs/>
        </w:rPr>
        <w:t xml:space="preserve">6.5.2</w:t>
      </w:r>
      <w:r>
        <w:rPr>
          <w:rFonts w:ascii="Arial" w:cs="Arial" w:eastAsia="Arial" w:hAnsi="Arial"/>
        </w:rPr>
        <w:t xml:space="preserve"> </w:t>
      </w:r>
      <w:r>
        <w:rPr>
          <w:rFonts w:ascii="Arial" w:cs="Arial" w:eastAsia="Arial" w:hAnsi="Arial"/>
        </w:rPr>
        <w:t xml:space="preserve">The Accounting Analyst goes to the workbook, picks up each consult listed for refund, and issues the refund by e-check.</w:t>
      </w:r>
    </w:p>
    <w:p>
      <w:pPr>
        <w:spacing w:line="276" w:lineRule="auto"/>
      </w:pPr>
      <w:r>
        <w:rPr>
          <w:rFonts w:ascii="Arial" w:cs="Arial" w:eastAsia="Arial" w:hAnsi="Arial"/>
          <w:b/>
          <w:bCs/>
        </w:rPr>
        <w:t xml:space="preserve">6.5.3</w:t>
      </w:r>
      <w:r>
        <w:rPr>
          <w:rFonts w:ascii="Arial" w:cs="Arial" w:eastAsia="Arial" w:hAnsi="Arial"/>
        </w:rPr>
        <w:t xml:space="preserve"> </w:t>
      </w:r>
      <w:r>
        <w:rPr>
          <w:rFonts w:ascii="Arial" w:cs="Arial" w:eastAsia="Arial" w:hAnsi="Arial"/>
        </w:rPr>
        <w:t xml:space="preserve">Each consult refund is marked as refunded in the workbook and logged on the refund tracker in the same way as a case refund.</w:t>
      </w:r>
    </w:p>
    <w:p>
      <w:pPr>
        <w:keepNext/>
        <w:spacing w:after="0" w:line="276" w:lineRule="auto"/>
      </w:pPr>
      <w:r>
        <w:rPr>
          <w:rFonts w:ascii="Arial" w:cs="Arial" w:eastAsia="Arial" w:hAnsi="Arial"/>
          <w:b/>
          <w:bCs/>
          <w:color w:val="5B9BD5"/>
          <w:sz w:val="26"/>
          <w:szCs w:val="26"/>
        </w:rPr>
        <w:t xml:space="preserve">7. Mandatory Control Requirements</w:t>
      </w:r>
    </w:p>
    <w:p>
      <w:pPr>
        <w:spacing w:line="276" w:lineRule="auto"/>
      </w:pPr>
      <w:r>
        <w:rPr>
          <w:rFonts w:ascii="Arial" w:cs="Arial" w:eastAsia="Arial" w:hAnsi="Arial"/>
          <w:b/>
          <w:bCs/>
        </w:rPr>
        <w:t xml:space="preserve">7.1</w:t>
      </w:r>
      <w:r>
        <w:rPr>
          <w:rFonts w:ascii="Arial" w:cs="Arial" w:eastAsia="Arial" w:hAnsi="Arial"/>
        </w:rPr>
        <w:t xml:space="preserve"> </w:t>
      </w:r>
      <w:r>
        <w:rPr>
          <w:rFonts w:ascii="Arial" w:cs="Arial" w:eastAsia="Arial" w:hAnsi="Arial"/>
        </w:rPr>
        <w:t xml:space="preserve">No case refund is paid without Legal review and an MD-approved amount recorded in MyCase.</w:t>
      </w:r>
    </w:p>
    <w:p>
      <w:pPr>
        <w:spacing w:line="276" w:lineRule="auto"/>
      </w:pPr>
      <w:r>
        <w:rPr>
          <w:rFonts w:ascii="Arial" w:cs="Arial" w:eastAsia="Arial" w:hAnsi="Arial"/>
          <w:b/>
          <w:bCs/>
        </w:rPr>
        <w:t xml:space="preserve">7.2</w:t>
      </w:r>
      <w:r>
        <w:rPr>
          <w:rFonts w:ascii="Arial" w:cs="Arial" w:eastAsia="Arial" w:hAnsi="Arial"/>
        </w:rPr>
        <w:t xml:space="preserve"> </w:t>
      </w:r>
      <w:r>
        <w:rPr>
          <w:rFonts w:ascii="Arial" w:cs="Arial" w:eastAsia="Arial" w:hAnsi="Arial"/>
        </w:rPr>
        <w:t xml:space="preserve">Finance pays the approved amount only. Any change to the amount goes back to the MD.</w:t>
      </w:r>
    </w:p>
    <w:p>
      <w:pPr>
        <w:spacing w:line="276" w:lineRule="auto"/>
      </w:pPr>
      <w:r>
        <w:rPr>
          <w:rFonts w:ascii="Arial" w:cs="Arial" w:eastAsia="Arial" w:hAnsi="Arial"/>
          <w:b/>
          <w:bCs/>
        </w:rPr>
        <w:t xml:space="preserve">7.3</w:t>
      </w:r>
      <w:r>
        <w:rPr>
          <w:rFonts w:ascii="Arial" w:cs="Arial" w:eastAsia="Arial" w:hAnsi="Arial"/>
        </w:rPr>
        <w:t xml:space="preserve"> </w:t>
      </w:r>
      <w:r>
        <w:rPr>
          <w:rFonts w:ascii="Arial" w:cs="Arial" w:eastAsia="Arial" w:hAnsi="Arial"/>
        </w:rPr>
        <w:t xml:space="preserve">A check is the standard form of refund. An e-check is used only for a special request, a hard circumstance, or a consult refund.</w:t>
      </w:r>
    </w:p>
    <w:p>
      <w:pPr>
        <w:spacing w:line="276" w:lineRule="auto"/>
      </w:pPr>
      <w:r>
        <w:rPr>
          <w:rFonts w:ascii="Arial" w:cs="Arial" w:eastAsia="Arial" w:hAnsi="Arial"/>
          <w:b/>
          <w:bCs/>
        </w:rPr>
        <w:t xml:space="preserve">7.4</w:t>
      </w:r>
      <w:r>
        <w:rPr>
          <w:rFonts w:ascii="Arial" w:cs="Arial" w:eastAsia="Arial" w:hAnsi="Arial"/>
        </w:rPr>
        <w:t xml:space="preserve"> </w:t>
      </w:r>
      <w:r>
        <w:rPr>
          <w:rFonts w:ascii="Arial" w:cs="Arial" w:eastAsia="Arial" w:hAnsi="Arial"/>
        </w:rPr>
        <w:t xml:space="preserve">Every refund, case or consult, is logged on the refund tracker for tracking and documentation purposes.</w:t>
      </w:r>
    </w:p>
    <w:p>
      <w:pPr>
        <w:spacing w:line="276" w:lineRule="auto"/>
      </w:pPr>
      <w:r>
        <w:rPr>
          <w:rFonts w:ascii="Arial" w:cs="Arial" w:eastAsia="Arial" w:hAnsi="Arial"/>
          <w:b/>
          <w:bCs/>
        </w:rPr>
        <w:t xml:space="preserve">7.5</w:t>
      </w:r>
      <w:r>
        <w:rPr>
          <w:rFonts w:ascii="Arial" w:cs="Arial" w:eastAsia="Arial" w:hAnsi="Arial"/>
        </w:rPr>
        <w:t xml:space="preserve"> </w:t>
      </w:r>
      <w:r>
        <w:rPr>
          <w:rFonts w:ascii="Arial" w:cs="Arial" w:eastAsia="Arial" w:hAnsi="Arial"/>
        </w:rPr>
        <w:t xml:space="preserve">A check is handed to mail out only after it has been documented on the tracker.</w:t>
      </w:r>
    </w:p>
    <w:p>
      <w:pPr>
        <w:spacing w:line="276" w:lineRule="auto"/>
      </w:pPr>
      <w:r>
        <w:rPr>
          <w:rFonts w:ascii="Arial" w:cs="Arial" w:eastAsia="Arial" w:hAnsi="Arial"/>
          <w:b/>
          <w:bCs/>
        </w:rPr>
        <w:t xml:space="preserve">7.6</w:t>
      </w:r>
      <w:r>
        <w:rPr>
          <w:rFonts w:ascii="Arial" w:cs="Arial" w:eastAsia="Arial" w:hAnsi="Arial"/>
        </w:rPr>
        <w:t xml:space="preserve"> </w:t>
      </w:r>
      <w:r>
        <w:rPr>
          <w:rFonts w:ascii="Arial" w:cs="Arial" w:eastAsia="Arial" w:hAnsi="Arial"/>
        </w:rPr>
        <w:t xml:space="preserve">Consult refunds are issued only from the workbook maintained by the sales leads.</w:t>
      </w:r>
    </w:p>
    <w:p>
      <w:pPr>
        <w:keepNext/>
        <w:spacing w:after="0" w:line="276" w:lineRule="auto"/>
      </w:pPr>
      <w:r>
        <w:rPr>
          <w:rFonts w:ascii="Arial" w:cs="Arial" w:eastAsia="Arial" w:hAnsi="Arial"/>
          <w:b/>
          <w:bCs/>
          <w:color w:val="5B9BD5"/>
          <w:sz w:val="26"/>
          <w:szCs w:val="26"/>
        </w:rPr>
        <w:t xml:space="preserve">8. Records Kept</w:t>
      </w:r>
    </w:p>
    <w:p>
      <w:pPr>
        <w:spacing w:line="276" w:lineRule="auto"/>
      </w:pPr>
      <w:r>
        <w:rPr>
          <w:rFonts w:ascii="Arial" w:cs="Arial" w:eastAsia="Arial" w:hAnsi="Arial"/>
          <w:b/>
          <w:bCs/>
        </w:rPr>
        <w:t xml:space="preserve">8.1</w:t>
      </w:r>
      <w:r>
        <w:rPr>
          <w:rFonts w:ascii="Arial" w:cs="Arial" w:eastAsia="Arial" w:hAnsi="Arial"/>
        </w:rPr>
        <w:t xml:space="preserve"> </w:t>
      </w:r>
      <w:r>
        <w:rPr>
          <w:rFonts w:ascii="Arial" w:cs="Arial" w:eastAsia="Arial" w:hAnsi="Arial"/>
        </w:rPr>
        <w:t xml:space="preserve">The MD's MyCase note with the approved amount and explanation for each case refund.</w:t>
      </w:r>
    </w:p>
    <w:p>
      <w:pPr>
        <w:spacing w:line="276" w:lineRule="auto"/>
      </w:pPr>
      <w:r>
        <w:rPr>
          <w:rFonts w:ascii="Arial" w:cs="Arial" w:eastAsia="Arial" w:hAnsi="Arial"/>
          <w:b/>
          <w:bCs/>
        </w:rPr>
        <w:t xml:space="preserve">8.2</w:t>
      </w:r>
      <w:r>
        <w:rPr>
          <w:rFonts w:ascii="Arial" w:cs="Arial" w:eastAsia="Arial" w:hAnsi="Arial"/>
        </w:rPr>
        <w:t xml:space="preserve"> </w:t>
      </w:r>
      <w:r>
        <w:rPr>
          <w:rFonts w:ascii="Arial" w:cs="Arial" w:eastAsia="Arial" w:hAnsi="Arial"/>
        </w:rPr>
        <w:t xml:space="preserve">The closed-case spreadsheet entry for each refunded case.</w:t>
      </w:r>
    </w:p>
    <w:p>
      <w:pPr>
        <w:spacing w:line="276" w:lineRule="auto"/>
      </w:pPr>
      <w:r>
        <w:rPr>
          <w:rFonts w:ascii="Arial" w:cs="Arial" w:eastAsia="Arial" w:hAnsi="Arial"/>
          <w:b/>
          <w:bCs/>
        </w:rPr>
        <w:t xml:space="preserve">8.3</w:t>
      </w:r>
      <w:r>
        <w:rPr>
          <w:rFonts w:ascii="Arial" w:cs="Arial" w:eastAsia="Arial" w:hAnsi="Arial"/>
        </w:rPr>
        <w:t xml:space="preserve"> </w:t>
      </w:r>
      <w:r>
        <w:rPr>
          <w:rFonts w:ascii="Arial" w:cs="Arial" w:eastAsia="Arial" w:hAnsi="Arial"/>
        </w:rPr>
        <w:t xml:space="preserve">The consult-refund workbook, including the refunded status of each consult.</w:t>
      </w:r>
    </w:p>
    <w:p>
      <w:pPr>
        <w:spacing w:line="276" w:lineRule="auto"/>
      </w:pPr>
      <w:r>
        <w:rPr>
          <w:rFonts w:ascii="Arial" w:cs="Arial" w:eastAsia="Arial" w:hAnsi="Arial"/>
          <w:b/>
          <w:bCs/>
        </w:rPr>
        <w:t xml:space="preserve">8.4</w:t>
      </w:r>
      <w:r>
        <w:rPr>
          <w:rFonts w:ascii="Arial" w:cs="Arial" w:eastAsia="Arial" w:hAnsi="Arial"/>
        </w:rPr>
        <w:t xml:space="preserve"> </w:t>
      </w:r>
      <w:r>
        <w:rPr>
          <w:rFonts w:ascii="Arial" w:cs="Arial" w:eastAsia="Arial" w:hAnsi="Arial"/>
        </w:rPr>
        <w:t xml:space="preserve">The refund tracker, with amount, form of payment, date, and status for every refund.</w:t>
      </w:r>
    </w:p>
    <w:p>
      <w:pPr>
        <w:spacing w:line="276" w:lineRule="auto"/>
      </w:pPr>
      <w:r>
        <w:rPr>
          <w:rFonts w:ascii="Arial" w:cs="Arial" w:eastAsia="Arial" w:hAnsi="Arial"/>
          <w:b/>
          <w:bCs/>
        </w:rPr>
        <w:t xml:space="preserve">8.5</w:t>
      </w:r>
      <w:r>
        <w:rPr>
          <w:rFonts w:ascii="Arial" w:cs="Arial" w:eastAsia="Arial" w:hAnsi="Arial"/>
        </w:rPr>
        <w:t xml:space="preserve"> </w:t>
      </w:r>
      <w:r>
        <w:rPr>
          <w:rFonts w:ascii="Arial" w:cs="Arial" w:eastAsia="Arial" w:hAnsi="Arial"/>
        </w:rPr>
        <w:t xml:space="preserve">Check copies and e-check confirmations.</w:t>
      </w:r>
    </w:p>
    <w:p>
      <w:pPr>
        <w:keepNext/>
        <w:spacing w:after="0" w:line="276" w:lineRule="auto"/>
      </w:pPr>
      <w:r>
        <w:rPr>
          <w:rFonts w:ascii="Arial" w:cs="Arial" w:eastAsia="Arial" w:hAnsi="Arial"/>
          <w:b/>
          <w:bCs/>
          <w:color w:val="5B9BD5"/>
          <w:sz w:val="26"/>
          <w:szCs w:val="26"/>
        </w:rPr>
        <w:t xml:space="preserve">9. Schedule at a Glance</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400"/>
        <w:gridCol w:w="4142"/>
      </w:tblGrid>
      <w:tr>
        <w:trPr>
          <w:cantSplit/>
          <w:tblHeader/>
        </w:trPr>
        <w:tc>
          <w:tcPr>
            <w:tcW w:type="dxa" w:w="2200"/>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WHEN</w:t>
            </w:r>
          </w:p>
        </w:tc>
        <w:tc>
          <w:tcPr>
            <w:tcW w:type="dxa" w:w="4400"/>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WHAT</w:t>
            </w:r>
          </w:p>
        </w:tc>
        <w:tc>
          <w:tcPr>
            <w:tcW w:type="dxa" w:w="4142"/>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WHY</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On request</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Legal reviews the account; MD gives the approved amount and explanation</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 refund starts with a Legal decision</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At approval</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MD leaves the MyCase note and logs the case in the closed-case spreadsheet</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Finance has one source for the approved amount</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After approval</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Finance writes the check, or an e-check for special requests or hardship</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right amount is paid in the right form</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Same day</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Refund logged on the refund tracker</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Every refund is traceable</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Once documented</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Check handed to mail out</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Nothing is mailed before it is recorded</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Ongoing</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Review the sales leads' consult-refund workbook and refund by e-check</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Consult refunds are not missed</w:t>
            </w:r>
          </w:p>
        </w:tc>
      </w:tr>
    </w:tbl>
    <w:p>
      <w:pPr>
        <w:spacing w:after="100" w:line="240"/>
      </w:pPr>
    </w:p>
    <w:p>
      <w:pPr>
        <w:keepNext/>
        <w:spacing w:after="0" w:line="276" w:lineRule="auto"/>
      </w:pPr>
      <w:r>
        <w:rPr>
          <w:rFonts w:ascii="Arial" w:cs="Arial" w:eastAsia="Arial" w:hAnsi="Arial"/>
          <w:b/>
          <w:bCs/>
          <w:color w:val="5B9BD5"/>
          <w:sz w:val="26"/>
          <w:szCs w:val="26"/>
        </w:rPr>
        <w:t xml:space="preserve">10. Exceptions and Escalation</w:t>
      </w:r>
    </w:p>
    <w:p>
      <w:pPr>
        <w:spacing w:line="276" w:lineRule="auto"/>
      </w:pPr>
      <w:r>
        <w:rPr>
          <w:rFonts w:ascii="Arial" w:cs="Arial" w:eastAsia="Arial" w:hAnsi="Arial"/>
          <w:b/>
          <w:bCs/>
        </w:rPr>
        <w:t xml:space="preserve">10.1</w:t>
      </w:r>
      <w:r>
        <w:rPr>
          <w:rFonts w:ascii="Arial" w:cs="Arial" w:eastAsia="Arial" w:hAnsi="Arial"/>
        </w:rPr>
        <w:t xml:space="preserve"> </w:t>
      </w:r>
      <w:r>
        <w:rPr>
          <w:rFonts w:ascii="Arial" w:cs="Arial" w:eastAsia="Arial" w:hAnsi="Arial"/>
        </w:rPr>
        <w:t xml:space="preserve">An e-check outside the stated circumstances, or a refund that differs from the MD-approved amount, requires documented approval from the Finance Controller.</w:t>
      </w:r>
    </w:p>
    <w:p>
      <w:pPr>
        <w:spacing w:line="276" w:lineRule="auto"/>
      </w:pPr>
      <w:r>
        <w:rPr>
          <w:rFonts w:ascii="Arial" w:cs="Arial" w:eastAsia="Arial" w:hAnsi="Arial"/>
          <w:b/>
          <w:bCs/>
        </w:rPr>
        <w:t xml:space="preserve">10.2</w:t>
      </w:r>
      <w:r>
        <w:rPr>
          <w:rFonts w:ascii="Arial" w:cs="Arial" w:eastAsia="Arial" w:hAnsi="Arial"/>
        </w:rPr>
        <w:t xml:space="preserve"> </w:t>
      </w:r>
      <w:r>
        <w:rPr>
          <w:rFonts w:ascii="Arial" w:cs="Arial" w:eastAsia="Arial" w:hAnsi="Arial"/>
        </w:rPr>
        <w:t xml:space="preserve">A refund request with no Legal review or no MD note is returned to the MD and is not paid.</w:t>
      </w:r>
    </w:p>
    <w:p>
      <w:pPr>
        <w:spacing w:line="276" w:lineRule="auto"/>
      </w:pPr>
      <w:r>
        <w:rPr>
          <w:rFonts w:ascii="Arial" w:cs="Arial" w:eastAsia="Arial" w:hAnsi="Arial"/>
          <w:b/>
          <w:bCs/>
        </w:rPr>
        <w:t xml:space="preserve">10.3</w:t>
      </w:r>
      <w:r>
        <w:rPr>
          <w:rFonts w:ascii="Arial" w:cs="Arial" w:eastAsia="Arial" w:hAnsi="Arial"/>
        </w:rPr>
        <w:t xml:space="preserve"> </w:t>
      </w:r>
      <w:r>
        <w:rPr>
          <w:rFonts w:ascii="Arial" w:cs="Arial" w:eastAsia="Arial" w:hAnsi="Arial"/>
        </w:rPr>
        <w:t xml:space="preserve">Material or unusual refunds are escalated to the COO or CEO.</w:t>
      </w:r>
    </w:p>
    <w:p>
      <w:pPr>
        <w:keepNext/>
        <w:spacing w:after="0" w:line="276" w:lineRule="auto"/>
      </w:pPr>
      <w:r>
        <w:rPr>
          <w:rFonts w:ascii="Arial" w:cs="Arial" w:eastAsia="Arial" w:hAnsi="Arial"/>
          <w:b/>
          <w:bCs/>
          <w:color w:val="5B9BD5"/>
          <w:sz w:val="26"/>
          <w:szCs w:val="26"/>
        </w:rPr>
        <w:t xml:space="preserve">11. Document Maintenance</w:t>
      </w:r>
    </w:p>
    <w:p>
      <w:pPr>
        <w:spacing w:line="276" w:lineRule="auto"/>
      </w:pPr>
      <w:r>
        <w:rPr>
          <w:rFonts w:ascii="Arial" w:cs="Arial" w:eastAsia="Arial" w:hAnsi="Arial"/>
          <w:b/>
          <w:bCs/>
        </w:rPr>
        <w:t xml:space="preserve">11.1</w:t>
      </w:r>
      <w:r>
        <w:rPr>
          <w:rFonts w:ascii="Arial" w:cs="Arial" w:eastAsia="Arial" w:hAnsi="Arial"/>
        </w:rPr>
        <w:t xml:space="preserve"> </w:t>
      </w:r>
      <w:r>
        <w:rPr>
          <w:rFonts w:ascii="Arial" w:cs="Arial" w:eastAsia="Arial" w:hAnsi="Arial"/>
        </w:rPr>
        <w:t xml:space="preserve">This procedure is reviewed at least once a year, and whenever the firm's case management system, refund approval roles, or payment methods change.</w:t>
      </w:r>
    </w:p>
    <w:p>
      <w:pPr>
        <w:spacing w:line="276" w:lineRule="auto"/>
      </w:pPr>
      <w:r>
        <w:rPr>
          <w:rFonts w:ascii="Arial" w:cs="Arial" w:eastAsia="Arial" w:hAnsi="Arial"/>
          <w:b/>
          <w:bCs/>
        </w:rPr>
        <w:t xml:space="preserve">11.2</w:t>
      </w:r>
      <w:r>
        <w:rPr>
          <w:rFonts w:ascii="Arial" w:cs="Arial" w:eastAsia="Arial" w:hAnsi="Arial"/>
        </w:rPr>
        <w:t xml:space="preserve"> </w:t>
      </w:r>
      <w:r>
        <w:rPr>
          <w:rFonts w:ascii="Arial" w:cs="Arial" w:eastAsia="Arial" w:hAnsi="Arial"/>
        </w:rPr>
        <w:t xml:space="preserve">Each review is documented and results in either reconfirmation of the current version or a controlled revision.</w:t>
      </w:r>
    </w:p>
    <w:p>
      <w:pPr>
        <w:keepNext/>
        <w:spacing w:after="0" w:line="276" w:lineRule="auto"/>
      </w:pPr>
      <w:r>
        <w:rPr>
          <w:rFonts w:ascii="Arial" w:cs="Arial" w:eastAsia="Arial" w:hAnsi="Arial"/>
          <w:b/>
          <w:bCs/>
          <w:color w:val="5B9BD5"/>
          <w:sz w:val="26"/>
          <w:szCs w:val="26"/>
        </w:rPr>
        <w:t xml:space="preserve">12. Document Control</w:t>
      </w:r>
    </w:p>
    <w:p>
      <w:pPr>
        <w:spacing w:line="276" w:lineRule="auto"/>
      </w:pPr>
      <w:r>
        <w:rPr>
          <w:rFonts w:ascii="Arial" w:cs="Arial" w:eastAsia="Arial" w:hAnsi="Arial"/>
        </w:rPr>
        <w:t xml:space="preserve">This document forms part of the firm's controlled documentation system and is governed in accordance with ISO 9001 documentation-control discipline.</w:t>
      </w:r>
    </w:p>
    <w:tbl>
      <w:tblPr>
        <w:tblW w:type="dxa" w:w="107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9"/>
        <w:gridCol w:w="4590"/>
        <w:gridCol w:w="2595"/>
        <w:gridCol w:w="1756"/>
      </w:tblGrid>
      <w:tr>
        <w:trPr>
          <w:cantSplit/>
          <w:tblHeader/>
        </w:trPr>
        <w:tc>
          <w:tcPr>
            <w:tcW w:type="dxa" w:w="1799"/>
            <w:shd w:fill="D9EAF7" w:color="auto" w:val="clear"/>
            <w:tcMar>
              <w:top w:type="dxa" w:w="55"/>
              <w:left w:type="dxa" w:w="85"/>
              <w:bottom w:type="dxa" w:w="55"/>
              <w:right w:type="dxa" w:w="85"/>
            </w:tcMar>
            <w:vAlign w:val="center"/>
          </w:tcPr>
          <w:p>
            <w:pPr>
              <w:keepNext/>
              <w:spacing w:after="0"/>
              <w:jc w:val="center"/>
            </w:pPr>
            <w:r>
              <w:rPr>
                <w:rFonts w:ascii="Arial" w:cs="Arial" w:eastAsia="Arial" w:hAnsi="Arial"/>
                <w:b/>
                <w:bCs/>
                <w:sz w:val="18"/>
                <w:szCs w:val="18"/>
              </w:rPr>
              <w:t xml:space="preserve">CONTROL STAGE</w:t>
            </w:r>
          </w:p>
        </w:tc>
        <w:tc>
          <w:tcPr>
            <w:tcW w:type="dxa" w:w="4590"/>
            <w:shd w:fill="D9EAF7" w:color="auto" w:val="clear"/>
            <w:tcMar>
              <w:top w:type="dxa" w:w="55"/>
              <w:left w:type="dxa" w:w="85"/>
              <w:bottom w:type="dxa" w:w="55"/>
              <w:right w:type="dxa" w:w="85"/>
            </w:tcMar>
            <w:vAlign w:val="center"/>
          </w:tcPr>
          <w:p>
            <w:pPr>
              <w:keepNext/>
              <w:spacing w:after="0"/>
              <w:jc w:val="center"/>
            </w:pPr>
            <w:r>
              <w:rPr>
                <w:rFonts w:ascii="Arial" w:cs="Arial" w:eastAsia="Arial" w:hAnsi="Arial"/>
                <w:b/>
                <w:bCs/>
                <w:sz w:val="18"/>
                <w:szCs w:val="18"/>
              </w:rPr>
              <w:t xml:space="preserve">RESPONSIBILITY</w:t>
            </w:r>
          </w:p>
        </w:tc>
        <w:tc>
          <w:tcPr>
            <w:tcW w:type="dxa" w:w="2595"/>
            <w:shd w:fill="D9EAF7" w:color="auto" w:val="clear"/>
            <w:tcMar>
              <w:top w:type="dxa" w:w="55"/>
              <w:left w:type="dxa" w:w="85"/>
              <w:bottom w:type="dxa" w:w="55"/>
              <w:right w:type="dxa" w:w="85"/>
            </w:tcMar>
            <w:vAlign w:val="center"/>
          </w:tcPr>
          <w:p>
            <w:pPr>
              <w:keepNext/>
              <w:spacing w:after="0"/>
              <w:jc w:val="center"/>
            </w:pPr>
            <w:r>
              <w:rPr>
                <w:rFonts w:ascii="Arial" w:cs="Arial" w:eastAsia="Arial" w:hAnsi="Arial"/>
                <w:b/>
                <w:bCs/>
                <w:sz w:val="18"/>
                <w:szCs w:val="18"/>
              </w:rPr>
              <w:t xml:space="preserve">RESPONSIBLE ROLE</w:t>
            </w:r>
          </w:p>
        </w:tc>
        <w:tc>
          <w:tcPr>
            <w:tcW w:type="dxa" w:w="1756"/>
            <w:shd w:fill="D9EAF7" w:color="auto" w:val="clear"/>
            <w:tcMar>
              <w:top w:type="dxa" w:w="55"/>
              <w:left w:type="dxa" w:w="85"/>
              <w:bottom w:type="dxa" w:w="55"/>
              <w:right w:type="dxa" w:w="85"/>
            </w:tcMar>
            <w:vAlign w:val="center"/>
          </w:tcPr>
          <w:p>
            <w:pPr>
              <w:keepNext/>
              <w:spacing w:after="0"/>
              <w:jc w:val="center"/>
            </w:pPr>
            <w:r>
              <w:rPr>
                <w:rFonts w:ascii="Arial" w:cs="Arial" w:eastAsia="Arial" w:hAnsi="Arial"/>
                <w:b/>
                <w:bCs/>
                <w:sz w:val="18"/>
                <w:szCs w:val="18"/>
              </w:rPr>
              <w:t xml:space="preserve">SIGNATURE / APPROVAL DATE</w:t>
            </w:r>
          </w:p>
        </w:tc>
      </w:tr>
      <w:tr>
        <w:trPr>
          <w:cantSplit/>
        </w:trPr>
        <w:tc>
          <w:tcPr>
            <w:tcW w:type="dxa" w:w="1799"/>
            <w:tcMar>
              <w:top w:type="dxa" w:w="55"/>
              <w:left w:type="dxa" w:w="85"/>
              <w:bottom w:type="dxa" w:w="55"/>
              <w:right w:type="dxa" w:w="85"/>
            </w:tcMar>
            <w:vAlign w:val="top"/>
          </w:tcPr>
          <w:p>
            <w:pPr>
              <w:keepNext/>
              <w:spacing w:after="0"/>
            </w:pPr>
            <w:r>
              <w:rPr>
                <w:rFonts w:ascii="Arial" w:cs="Arial" w:eastAsia="Arial" w:hAnsi="Arial"/>
                <w:sz w:val="18"/>
                <w:szCs w:val="18"/>
              </w:rPr>
              <w:t xml:space="preserve">Author</w:t>
            </w:r>
          </w:p>
        </w:tc>
        <w:tc>
          <w:tcPr>
            <w:tcW w:type="dxa" w:w="4590"/>
            <w:tcMar>
              <w:top w:type="dxa" w:w="55"/>
              <w:left w:type="dxa" w:w="85"/>
              <w:bottom w:type="dxa" w:w="55"/>
              <w:right w:type="dxa" w:w="85"/>
            </w:tcMar>
            <w:vAlign w:val="top"/>
          </w:tcPr>
          <w:p>
            <w:pPr>
              <w:keepNext/>
              <w:spacing w:after="0"/>
            </w:pPr>
            <w:r>
              <w:rPr>
                <w:rFonts w:ascii="Arial" w:cs="Arial" w:eastAsia="Arial" w:hAnsi="Arial"/>
                <w:sz w:val="18"/>
                <w:szCs w:val="18"/>
              </w:rPr>
              <w:t xml:space="preserve">Drafted the content in alignment with controlled-documentation standards.</w:t>
            </w:r>
          </w:p>
        </w:tc>
        <w:tc>
          <w:tcPr>
            <w:tcW w:type="dxa" w:w="2595"/>
            <w:tcMar>
              <w:top w:type="dxa" w:w="55"/>
              <w:left w:type="dxa" w:w="85"/>
              <w:bottom w:type="dxa" w:w="55"/>
              <w:right w:type="dxa" w:w="85"/>
            </w:tcMar>
            <w:vAlign w:val="top"/>
          </w:tcPr>
          <w:p>
            <w:pPr>
              <w:keepNext/>
              <w:spacing w:after="0"/>
            </w:pPr>
            <w:r>
              <w:rPr>
                <w:rFonts w:ascii="Arial" w:cs="Arial" w:eastAsia="Arial" w:hAnsi="Arial"/>
                <w:sz w:val="18"/>
                <w:szCs w:val="18"/>
              </w:rPr>
              <w:t xml:space="preserve">Jeffrey Soto-Gil, Accounting Analyst</w:t>
            </w:r>
          </w:p>
        </w:tc>
        <w:tc>
          <w:tcPr>
            <w:tcW w:type="dxa" w:w="1756"/>
            <w:tcMar>
              <w:top w:type="dxa" w:w="55"/>
              <w:left w:type="dxa" w:w="85"/>
              <w:bottom w:type="dxa" w:w="55"/>
              <w:right w:type="dxa" w:w="85"/>
            </w:tcMar>
            <w:vAlign w:val="top"/>
          </w:tcPr>
          <w:p>
            <w:pPr>
              <w:keepNext/>
              <w:spacing w:after="0"/>
            </w:pPr>
            <w:r>
              <w:rPr>
                <w:rFonts w:ascii="Arial" w:cs="Arial" w:eastAsia="Arial" w:hAnsi="Arial"/>
                <w:sz w:val="18"/>
                <w:szCs w:val="18"/>
              </w:rPr>
              <w:t xml:space="preserve">Oct-09, 2026</w:t>
            </w:r>
          </w:p>
        </w:tc>
      </w:tr>
      <w:tr>
        <w:trPr>
          <w:cantSplit/>
        </w:trPr>
        <w:tc>
          <w:tcPr>
            <w:tcW w:type="dxa" w:w="1799"/>
            <w:tcMar>
              <w:top w:type="dxa" w:w="55"/>
              <w:left w:type="dxa" w:w="85"/>
              <w:bottom w:type="dxa" w:w="55"/>
              <w:right w:type="dxa" w:w="85"/>
            </w:tcMar>
            <w:vAlign w:val="top"/>
          </w:tcPr>
          <w:p>
            <w:pPr>
              <w:keepNext/>
              <w:spacing w:after="0"/>
            </w:pPr>
            <w:r>
              <w:rPr>
                <w:rFonts w:ascii="Arial" w:cs="Arial" w:eastAsia="Arial" w:hAnsi="Arial"/>
                <w:sz w:val="18"/>
                <w:szCs w:val="18"/>
              </w:rPr>
              <w:t xml:space="preserve">Process Owner Review</w:t>
            </w:r>
          </w:p>
        </w:tc>
        <w:tc>
          <w:tcPr>
            <w:tcW w:type="dxa" w:w="4590"/>
            <w:tcMar>
              <w:top w:type="dxa" w:w="55"/>
              <w:left w:type="dxa" w:w="85"/>
              <w:bottom w:type="dxa" w:w="55"/>
              <w:right w:type="dxa" w:w="85"/>
            </w:tcMar>
            <w:vAlign w:val="top"/>
          </w:tcPr>
          <w:p>
            <w:pPr>
              <w:keepNext/>
              <w:spacing w:after="0"/>
            </w:pPr>
            <w:r>
              <w:rPr>
                <w:rFonts w:ascii="Arial" w:cs="Arial" w:eastAsia="Arial" w:hAnsi="Arial"/>
                <w:sz w:val="18"/>
                <w:szCs w:val="18"/>
              </w:rPr>
              <w:t xml:space="preserve">Verifies Finance ownership, accuracy, and practical fit.</w:t>
            </w:r>
          </w:p>
        </w:tc>
        <w:tc>
          <w:tcPr>
            <w:tcW w:type="dxa" w:w="2595"/>
            <w:tcMar>
              <w:top w:type="dxa" w:w="55"/>
              <w:left w:type="dxa" w:w="85"/>
              <w:bottom w:type="dxa" w:w="55"/>
              <w:right w:type="dxa" w:w="85"/>
            </w:tcMar>
            <w:vAlign w:val="top"/>
          </w:tcPr>
          <w:p>
            <w:pPr>
              <w:keepNext/>
              <w:spacing w:after="0"/>
            </w:pPr>
            <w:r>
              <w:rPr>
                <w:rFonts w:ascii="Arial" w:cs="Arial" w:eastAsia="Arial" w:hAnsi="Arial"/>
                <w:sz w:val="18"/>
                <w:szCs w:val="18"/>
              </w:rPr>
              <w:t xml:space="preserve">Finance Controller</w:t>
            </w:r>
          </w:p>
        </w:tc>
        <w:tc>
          <w:tcPr>
            <w:tcW w:type="dxa" w:w="1756"/>
            <w:tcMar>
              <w:top w:type="dxa" w:w="55"/>
              <w:left w:type="dxa" w:w="85"/>
              <w:bottom w:type="dxa" w:w="55"/>
              <w:right w:type="dxa" w:w="85"/>
            </w:tcMar>
            <w:vAlign w:val="top"/>
          </w:tcPr>
          <w:p>
            <w:pPr>
              <w:keepNext/>
              <w:spacing w:after="0"/>
            </w:pPr>
            <w:r>
              <w:rPr>
                <w:rFonts w:ascii="Arial" w:cs="Arial" w:eastAsia="Arial" w:hAnsi="Arial"/>
                <w:sz w:val="18"/>
                <w:szCs w:val="18"/>
              </w:rPr>
              <w:t xml:space="preserve">Pending</w:t>
            </w:r>
          </w:p>
        </w:tc>
      </w:tr>
      <w:tr>
        <w:trPr>
          <w:cantSplit/>
        </w:trPr>
        <w:tc>
          <w:tcPr>
            <w:tcW w:type="dxa" w:w="1799"/>
            <w:tcMar>
              <w:top w:type="dxa" w:w="55"/>
              <w:left w:type="dxa" w:w="85"/>
              <w:bottom w:type="dxa" w:w="55"/>
              <w:right w:type="dxa" w:w="85"/>
            </w:tcMar>
            <w:vAlign w:val="top"/>
          </w:tcPr>
          <w:p>
            <w:pPr>
              <w:keepNext/>
              <w:spacing w:after="0"/>
            </w:pPr>
            <w:r>
              <w:rPr>
                <w:rFonts w:ascii="Arial" w:cs="Arial" w:eastAsia="Arial" w:hAnsi="Arial"/>
                <w:sz w:val="18"/>
                <w:szCs w:val="18"/>
              </w:rPr>
              <w:t xml:space="preserve">Executive Approval / Authorization</w:t>
            </w:r>
          </w:p>
        </w:tc>
        <w:tc>
          <w:tcPr>
            <w:tcW w:type="dxa" w:w="4590"/>
            <w:tcMar>
              <w:top w:type="dxa" w:w="55"/>
              <w:left w:type="dxa" w:w="85"/>
              <w:bottom w:type="dxa" w:w="55"/>
              <w:right w:type="dxa" w:w="85"/>
            </w:tcMar>
            <w:vAlign w:val="top"/>
          </w:tcPr>
          <w:p>
            <w:pPr>
              <w:keepNext/>
              <w:spacing w:after="0"/>
            </w:pPr>
            <w:r>
              <w:rPr>
                <w:rFonts w:ascii="Arial" w:cs="Arial" w:eastAsia="Arial" w:hAnsi="Arial"/>
                <w:sz w:val="18"/>
                <w:szCs w:val="18"/>
              </w:rPr>
              <w:t xml:space="preserve">Confirms readiness for release and use.</w:t>
            </w:r>
          </w:p>
        </w:tc>
        <w:tc>
          <w:tcPr>
            <w:tcW w:type="dxa" w:w="2595"/>
            <w:tcMar>
              <w:top w:type="dxa" w:w="55"/>
              <w:left w:type="dxa" w:w="85"/>
              <w:bottom w:type="dxa" w:w="55"/>
              <w:right w:type="dxa" w:w="85"/>
            </w:tcMar>
            <w:vAlign w:val="top"/>
          </w:tcPr>
          <w:p>
            <w:pPr>
              <w:keepNext/>
              <w:spacing w:after="0"/>
            </w:pPr>
            <w:r>
              <w:rPr>
                <w:rFonts w:ascii="Arial" w:cs="Arial" w:eastAsia="Arial" w:hAnsi="Arial"/>
                <w:sz w:val="18"/>
                <w:szCs w:val="18"/>
              </w:rPr>
              <w:t xml:space="preserve">Chief Operating Officer (COO) / Chief Executive Officer (CEO)</w:t>
            </w:r>
          </w:p>
        </w:tc>
        <w:tc>
          <w:tcPr>
            <w:tcW w:type="dxa" w:w="1756"/>
            <w:tcMar>
              <w:top w:type="dxa" w:w="55"/>
              <w:left w:type="dxa" w:w="85"/>
              <w:bottom w:type="dxa" w:w="55"/>
              <w:right w:type="dxa" w:w="85"/>
            </w:tcMar>
            <w:vAlign w:val="top"/>
          </w:tcPr>
          <w:p>
            <w:pPr>
              <w:keepNext/>
              <w:spacing w:after="0"/>
            </w:pPr>
            <w:r>
              <w:rPr>
                <w:rFonts w:ascii="Arial" w:cs="Arial" w:eastAsia="Arial" w:hAnsi="Arial"/>
                <w:sz w:val="18"/>
                <w:szCs w:val="18"/>
              </w:rPr>
              <w:t xml:space="preserve">Pending</w:t>
            </w:r>
          </w:p>
        </w:tc>
      </w:tr>
    </w:tbl>
    <w:p>
      <w:pPr>
        <w:spacing w:after="120" w:line="240"/>
      </w:pPr>
    </w:p>
    <w:p>
      <w:pPr>
        <w:keepNext/>
        <w:spacing w:after="0" w:line="276" w:lineRule="auto"/>
      </w:pPr>
      <w:r>
        <w:rPr>
          <w:rFonts w:ascii="Arial" w:cs="Arial" w:eastAsia="Arial" w:hAnsi="Arial"/>
          <w:b/>
          <w:bCs/>
          <w:color w:val="5B9BD5"/>
          <w:sz w:val="26"/>
          <w:szCs w:val="26"/>
        </w:rPr>
        <w:t xml:space="preserve">13. Version History</w:t>
      </w:r>
    </w:p>
    <w:tbl>
      <w:tblPr>
        <w:tblW w:type="dxa" w:w="107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9"/>
        <w:gridCol w:w="1170"/>
        <w:gridCol w:w="6274"/>
        <w:gridCol w:w="2217"/>
      </w:tblGrid>
      <w:tr>
        <w:trPr>
          <w:cantSplit/>
          <w:tblHeader/>
        </w:trPr>
        <w:tc>
          <w:tcPr>
            <w:tcW w:type="dxa" w:w="1079"/>
            <w:shd w:fill="D9EAF7" w:color="auto" w:val="clear"/>
            <w:tcMar>
              <w:top w:type="dxa" w:w="55"/>
              <w:left w:type="dxa" w:w="85"/>
              <w:bottom w:type="dxa" w:w="55"/>
              <w:right w:type="dxa" w:w="85"/>
            </w:tcMar>
            <w:vAlign w:val="center"/>
          </w:tcPr>
          <w:p>
            <w:pPr>
              <w:spacing w:after="0"/>
              <w:jc w:val="center"/>
            </w:pPr>
            <w:r>
              <w:rPr>
                <w:rFonts w:ascii="Arial" w:cs="Arial" w:eastAsia="Arial" w:hAnsi="Arial"/>
                <w:b/>
                <w:bCs/>
                <w:sz w:val="20"/>
                <w:szCs w:val="20"/>
              </w:rPr>
              <w:t xml:space="preserve">VERSION</w:t>
            </w:r>
          </w:p>
        </w:tc>
        <w:tc>
          <w:tcPr>
            <w:tcW w:type="dxa" w:w="1170"/>
            <w:shd w:fill="D9EAF7" w:color="auto" w:val="clear"/>
            <w:tcMar>
              <w:top w:type="dxa" w:w="55"/>
              <w:left w:type="dxa" w:w="85"/>
              <w:bottom w:type="dxa" w:w="55"/>
              <w:right w:type="dxa" w:w="85"/>
            </w:tcMar>
            <w:vAlign w:val="center"/>
          </w:tcPr>
          <w:p>
            <w:pPr>
              <w:spacing w:after="0"/>
              <w:jc w:val="center"/>
            </w:pPr>
            <w:r>
              <w:rPr>
                <w:rFonts w:ascii="Arial" w:cs="Arial" w:eastAsia="Arial" w:hAnsi="Arial"/>
                <w:b/>
                <w:bCs/>
                <w:sz w:val="20"/>
                <w:szCs w:val="20"/>
              </w:rPr>
              <w:t xml:space="preserve">DATE</w:t>
            </w:r>
          </w:p>
        </w:tc>
        <w:tc>
          <w:tcPr>
            <w:tcW w:type="dxa" w:w="6274"/>
            <w:shd w:fill="D9EAF7" w:color="auto" w:val="clear"/>
            <w:tcMar>
              <w:top w:type="dxa" w:w="55"/>
              <w:left w:type="dxa" w:w="85"/>
              <w:bottom w:type="dxa" w:w="55"/>
              <w:right w:type="dxa" w:w="85"/>
            </w:tcMar>
            <w:vAlign w:val="center"/>
          </w:tcPr>
          <w:p>
            <w:pPr>
              <w:spacing w:after="0"/>
              <w:jc w:val="center"/>
            </w:pPr>
            <w:r>
              <w:rPr>
                <w:rFonts w:ascii="Arial" w:cs="Arial" w:eastAsia="Arial" w:hAnsi="Arial"/>
                <w:b/>
                <w:bCs/>
                <w:sz w:val="20"/>
                <w:szCs w:val="20"/>
              </w:rPr>
              <w:t xml:space="preserve">CHANGE DESCRIPTION</w:t>
            </w:r>
          </w:p>
        </w:tc>
        <w:tc>
          <w:tcPr>
            <w:tcW w:type="dxa" w:w="2217"/>
            <w:shd w:fill="D9EAF7" w:color="auto" w:val="clear"/>
            <w:tcMar>
              <w:top w:type="dxa" w:w="55"/>
              <w:left w:type="dxa" w:w="85"/>
              <w:bottom w:type="dxa" w:w="55"/>
              <w:right w:type="dxa" w:w="85"/>
            </w:tcMar>
            <w:vAlign w:val="center"/>
          </w:tcPr>
          <w:p>
            <w:pPr>
              <w:spacing w:after="0"/>
              <w:jc w:val="center"/>
            </w:pPr>
            <w:r>
              <w:rPr>
                <w:rFonts w:ascii="Arial" w:cs="Arial" w:eastAsia="Arial" w:hAnsi="Arial"/>
                <w:b/>
                <w:bCs/>
                <w:sz w:val="20"/>
                <w:szCs w:val="20"/>
              </w:rPr>
              <w:t xml:space="preserve">PREPARED BY</w:t>
            </w:r>
          </w:p>
        </w:tc>
      </w:tr>
      <w:tr>
        <w:trPr>
          <w:cantSplit/>
        </w:trPr>
        <w:tc>
          <w:tcPr>
            <w:tcW w:type="dxa" w:w="1079"/>
            <w:tcMar>
              <w:top w:type="dxa" w:w="55"/>
              <w:left w:type="dxa" w:w="85"/>
              <w:bottom w:type="dxa" w:w="55"/>
              <w:right w:type="dxa" w:w="85"/>
            </w:tcMar>
            <w:vAlign w:val="top"/>
          </w:tcPr>
          <w:p>
            <w:pPr>
              <w:spacing w:after="0"/>
              <w:jc w:val="center"/>
            </w:pPr>
            <w:r>
              <w:rPr>
                <w:rFonts w:ascii="Arial" w:cs="Arial" w:eastAsia="Arial" w:hAnsi="Arial"/>
                <w:sz w:val="20"/>
                <w:szCs w:val="20"/>
              </w:rPr>
              <w:t xml:space="preserve">0.1</w:t>
            </w:r>
          </w:p>
        </w:tc>
        <w:tc>
          <w:tcPr>
            <w:tcW w:type="dxa" w:w="1170"/>
            <w:tcMar>
              <w:top w:type="dxa" w:w="55"/>
              <w:left w:type="dxa" w:w="85"/>
              <w:bottom w:type="dxa" w:w="55"/>
              <w:right w:type="dxa" w:w="85"/>
            </w:tcMar>
            <w:vAlign w:val="top"/>
          </w:tcPr>
          <w:p>
            <w:pPr>
              <w:spacing w:after="0"/>
              <w:jc w:val="center"/>
            </w:pPr>
            <w:r>
              <w:rPr>
                <w:rFonts w:ascii="Arial" w:cs="Arial" w:eastAsia="Arial" w:hAnsi="Arial"/>
                <w:sz w:val="20"/>
                <w:szCs w:val="20"/>
              </w:rPr>
              <w:t xml:space="preserve">Oct-09, 2026</w:t>
            </w:r>
          </w:p>
        </w:tc>
        <w:tc>
          <w:tcPr>
            <w:tcW w:type="dxa" w:w="6274"/>
            <w:tcMar>
              <w:top w:type="dxa" w:w="55"/>
              <w:left w:type="dxa" w:w="85"/>
              <w:bottom w:type="dxa" w:w="55"/>
              <w:right w:type="dxa" w:w="85"/>
            </w:tcMar>
            <w:vAlign w:val="top"/>
          </w:tcPr>
          <w:p>
            <w:pPr>
              <w:spacing w:after="0"/>
              <w:jc w:val="left"/>
            </w:pPr>
            <w:r>
              <w:rPr>
                <w:rFonts w:ascii="Arial" w:cs="Arial" w:eastAsia="Arial" w:hAnsi="Arial"/>
                <w:sz w:val="20"/>
                <w:szCs w:val="20"/>
              </w:rPr>
              <w:t xml:space="preserve">Initial procedure describing Legal review and MD approval of case refunds, the consult-refund workbook maintained by sales leads, payment by check or e-check, and the refund tracker.</w:t>
            </w:r>
          </w:p>
        </w:tc>
        <w:tc>
          <w:tcPr>
            <w:tcW w:type="dxa" w:w="2217"/>
            <w:tcMar>
              <w:top w:type="dxa" w:w="55"/>
              <w:left w:type="dxa" w:w="85"/>
              <w:bottom w:type="dxa" w:w="55"/>
              <w:right w:type="dxa" w:w="85"/>
            </w:tcMar>
            <w:vAlign w:val="top"/>
          </w:tcPr>
          <w:p>
            <w:pPr>
              <w:spacing w:after="0"/>
              <w:jc w:val="left"/>
            </w:pPr>
            <w:r>
              <w:rPr>
                <w:rFonts w:ascii="Arial" w:cs="Arial" w:eastAsia="Arial" w:hAnsi="Arial"/>
                <w:sz w:val="20"/>
                <w:szCs w:val="20"/>
              </w:rPr>
              <w:t xml:space="preserve">Jeffrey Soto-Gil, Accounting Analyst</w:t>
            </w:r>
          </w:p>
        </w:tc>
      </w:tr>
    </w:tbl>
    <w:p>
      <w:pPr>
        <w:spacing w:after="120" w:line="240"/>
      </w:pPr>
    </w:p>
    <w:p>
      <w:pPr>
        <w:spacing w:line="276" w:lineRule="auto"/>
      </w:pPr>
      <w:r>
        <w:rPr>
          <w:rFonts w:ascii="Arial" w:cs="Arial" w:eastAsia="Arial" w:hAnsi="Arial"/>
          <w:b/>
          <w:bCs/>
          <w:sz w:val="20"/>
          <w:szCs w:val="20"/>
        </w:rPr>
        <w:t xml:space="preserve">Confidentiality and Proprietary Notice</w:t>
      </w:r>
      <w:r>
        <w:br/>
      </w:r>
      <w:r>
        <w:rPr>
          <w:rFonts w:ascii="Arial" w:cs="Arial" w:eastAsia="Arial" w:hAnsi="Arial"/>
          <w:sz w:val="20"/>
          <w:szCs w:val="20"/>
        </w:rPr>
        <w:t xml:space="preserve">This document, including its content, structure, templates, workflows, protocols, tools, control logic, and supporting materials, is confidential and proprietary to Elizabeth Rosario Law (ERL) and is reserved for authorized internal business use. Copying, distribution, disclosure, transfer, reuse, modification, or use outside approved ERL systems requires prior written authorization from the Chief Executive Officer (CEO) or another duly designated approving authority.</w:t>
      </w:r>
    </w:p>
    <w:p>
      <w:pPr>
        <w:keepNext/>
        <w:pageBreakBefore/>
        <w:spacing w:after="0" w:line="276" w:lineRule="auto"/>
      </w:pPr>
      <w:r>
        <w:rPr>
          <w:rFonts w:ascii="Arial" w:cs="Arial" w:eastAsia="Arial" w:hAnsi="Arial"/>
          <w:b/>
          <w:bCs/>
          <w:color w:val="5B9BD5"/>
          <w:sz w:val="26"/>
          <w:szCs w:val="26"/>
        </w:rPr>
        <w:t xml:space="preserve">Annex A - Client Refund Workflow</w:t>
      </w:r>
    </w:p>
    <w:p>
      <w:pPr>
        <w:spacing w:line="276" w:lineRule="auto"/>
      </w:pPr>
      <w:r>
        <w:rPr>
          <w:rFonts w:ascii="Arial" w:cs="Arial" w:eastAsia="Arial" w:hAnsi="Arial"/>
        </w:rPr>
        <w:t xml:space="preserve">The chart below shows the case-refund path (Legal review, MD approval, Finance payment, tracker, and mail out) and the consult-refund path (sales-lead workbook and e-check) described in Section 6, together with the mandatory controls in Section 7.</w:t>
      </w:r>
    </w:p>
    <w:p>
      <w:pPr>
        <w:spacing w:line="240" w:lineRule="auto"/>
        <w:jc w:val="center"/>
      </w:pPr>
      <w:r>
        <w:drawing>
          <wp:inline distT="0" distB="0" distL="0" distR="0">
            <wp:extent cx="6572250" cy="769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7696200"/>
                    </a:xfrm>
                    <a:prstGeom prst="rect">
                      <a:avLst/>
                    </a:prstGeom>
                  </pic:spPr>
                </pic:pic>
              </a:graphicData>
            </a:graphic>
          </wp:inline>
        </w:drawing>
      </w:r>
    </w:p>
    <w:sectPr>
      <w:headerReference w:type="default" r:id="rId7"/>
      <w:headerReference w:type="first" r:id="rId8"/>
      <w:footerReference w:type="default" r:id="rId9"/>
      <w:footerReference w:type="first" r:id="rId10"/>
      <w:pgSz w:w="12240" w:h="20160" w:orient="portrait"/>
      <w:pgMar w:top="648" w:right="749" w:bottom="691" w:left="749" w:header="331" w:footer="28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sz w:val="20"/>
        <w:szCs w:val="20"/>
      </w:rPr>
      <w:t xml:space="preserve">FIN-REF-PROC-01 - Client Refund Procedure</w:t>
    </w:r>
  </w:p>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after="8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7d7cacc1e5f6f5fe62d63c8f6e786a4accf00bb.png"/><Relationship Id="rId12" Type="http://schemas.openxmlformats.org/officeDocument/2006/relationships/image" Target="media/33c46ea606b05699868047dcbea024c646e6651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FIN-REF-PROC-01 - Client Refund Procedure</dc:title>
  <dc:creator>Jeffrey Soto-Gil, Accounting Analyst</dc:creator>
  <cp:lastModifiedBy>Un-named</cp:lastModifiedBy>
  <cp:revision>1</cp:revision>
  <dcterms:created xsi:type="dcterms:W3CDTF">2026-10-09T20:24:16.392Z</dcterms:created>
  <dcterms:modified xsi:type="dcterms:W3CDTF">2026-10-09T20:24:16.395Z</dcterms:modified>
</cp:coreProperties>
</file>

<file path=docProps/custom.xml><?xml version="1.0" encoding="utf-8"?>
<Properties xmlns="http://schemas.openxmlformats.org/officeDocument/2006/custom-properties" xmlns:vt="http://schemas.openxmlformats.org/officeDocument/2006/docPropsVTypes"/>
</file>