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3"/>
        <w:pBdr/>
        <w:spacing/>
        <w:ind/>
        <w:rPr/>
      </w:pPr>
      <w:r>
        <w:t xml:space="preserve">BabiBlaze Test Plan</w:t>
      </w:r>
      <w:r/>
    </w:p>
    <w:p>
      <w:pPr>
        <w:pStyle w:val="694"/>
        <w:pBdr/>
        <w:spacing/>
        <w:ind/>
        <w:rPr/>
      </w:pPr>
      <w:r>
        <w:t xml:space="preserve">Test Plan ID</w:t>
      </w:r>
      <w:r/>
    </w:p>
    <w:p>
      <w:pPr>
        <w:pBdr/>
        <w:spacing/>
        <w:ind/>
        <w:rPr/>
      </w:pPr>
      <w:r>
        <w:t xml:space="preserve">BLAZE-TP-001</w:t>
      </w:r>
      <w:r/>
    </w:p>
    <w:p>
      <w:pPr>
        <w:pStyle w:val="694"/>
        <w:pBdr/>
        <w:spacing/>
        <w:ind/>
        <w:rPr/>
      </w:pPr>
      <w:r>
        <w:t xml:space="preserve">Introduction</w:t>
      </w:r>
      <w:r/>
    </w:p>
    <w:p>
      <w:pPr>
        <w:pBdr/>
        <w:spacing/>
        <w:ind/>
        <w:rPr/>
      </w:pPr>
      <w:r>
        <w:t xml:space="preserve">This test plan defines the manual testing a</w:t>
      </w:r>
      <w:r>
        <w:t xml:space="preserve">pproach for the BabiBlaze web application that is focused on key user functionalities such as registration, login, appointment booking, payment processing, and logout. Testing will be based on a set of 10 detailed test cases created to cover these core features.</w:t>
      </w:r>
      <w:r/>
    </w:p>
    <w:p>
      <w:pPr>
        <w:pStyle w:val="694"/>
        <w:pBdr/>
        <w:spacing/>
        <w:ind/>
        <w:rPr/>
      </w:pPr>
      <w:r>
        <w:t xml:space="preserve">Test Objectives</w:t>
      </w:r>
      <w:r/>
    </w:p>
    <w:p>
      <w:pPr>
        <w:pBdr/>
        <w:spacing/>
        <w:ind/>
        <w:rPr/>
      </w:pPr>
      <w:r>
        <w:t xml:space="preserve">- Verify that the core features of BabiBlaze function correctly as per the 10 manual test cases.</w:t>
        <w:br/>
        <w:t xml:space="preserve">- Identify any defects or issues encountered during test execution.</w:t>
        <w:br/>
        <w:t xml:space="preserve">- Validate proper error handling for negative test scenarios included in the test cases.</w:t>
      </w:r>
      <w:r/>
    </w:p>
    <w:p>
      <w:pPr>
        <w:pStyle w:val="694"/>
        <w:pBdr/>
        <w:spacing/>
        <w:ind/>
        <w:rPr/>
      </w:pPr>
      <w:r>
        <w:t xml:space="preserve">Scope</w:t>
      </w:r>
      <w:r/>
    </w:p>
    <w:p>
      <w:pPr>
        <w:pBdr/>
        <w:spacing/>
        <w:ind/>
        <w:rPr/>
      </w:pPr>
      <w:r>
        <w:t xml:space="preserve">- User Registration &amp; Login</w:t>
        <w:br/>
        <w:t xml:space="preserve">- Appointment Booking</w:t>
        <w:br/>
        <w:t xml:space="preserve">- Service Search</w:t>
        <w:br/>
        <w:t xml:space="preserve">- Payment Processing</w:t>
        <w:br/>
        <w:t xml:space="preserve">- Logout</w:t>
      </w:r>
      <w:r/>
    </w:p>
    <w:p>
      <w:pPr>
        <w:pStyle w:val="694"/>
        <w:pBdr/>
        <w:spacing/>
        <w:ind/>
        <w:rPr/>
      </w:pPr>
      <w:r>
        <w:t xml:space="preserve">Test Items</w:t>
      </w:r>
      <w:r/>
    </w:p>
    <w:p>
      <w:pPr>
        <w:pBdr/>
        <w:spacing/>
        <w:ind/>
        <w:rPr/>
      </w:pPr>
      <w:r>
        <w:t xml:space="preserve">The BabiBlaze web application (frontend and backend integrations) as covered by the 10 manual test cases.</w:t>
      </w:r>
      <w:r/>
    </w:p>
    <w:p>
      <w:pPr>
        <w:pStyle w:val="694"/>
        <w:pBdr/>
        <w:spacing/>
        <w:ind/>
        <w:rPr/>
      </w:pPr>
      <w:r>
        <w:t xml:space="preserve">Test Strategy</w:t>
      </w:r>
      <w:r/>
    </w:p>
    <w:p>
      <w:pPr>
        <w:pBdr/>
        <w:spacing/>
        <w:ind/>
        <w:rPr/>
      </w:pPr>
      <w:r>
        <w:t xml:space="preserve">- Manual execution of the 10 defined test cases.</w:t>
        <w:br/>
        <w:t xml:space="preserve">- Functional testing focusing on both positive and negative scenarios.</w:t>
        <w:br/>
        <w:t xml:space="preserve">- Logging actual results and pass/fail status for each test case.</w:t>
      </w:r>
      <w:r/>
    </w:p>
    <w:p>
      <w:pPr>
        <w:pStyle w:val="694"/>
        <w:pBdr/>
        <w:spacing/>
        <w:ind/>
        <w:rPr/>
      </w:pPr>
      <w:r>
        <w:t xml:space="preserve">Test Environment</w:t>
      </w:r>
      <w:r/>
    </w:p>
    <w:p>
      <w:pPr>
        <w:pBdr/>
        <w:spacing/>
        <w:ind/>
        <w:rPr/>
      </w:pPr>
      <w:r>
        <w:t xml:space="preserve">- Testing performed on Kubuntu OS using Firefox browser.</w:t>
        <w:br/>
        <w:t xml:space="preserve">- Stable internet connection.</w:t>
      </w:r>
      <w:r/>
    </w:p>
    <w:p>
      <w:pPr>
        <w:pStyle w:val="694"/>
        <w:pBdr/>
        <w:spacing/>
        <w:ind/>
        <w:rPr/>
      </w:pPr>
      <w:r>
        <w:t xml:space="preserve">Test Schedule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Activity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 case preparation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Completed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 execution and logging results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Ongoing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Bug documentation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As issues arise during execution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Final test summary reporting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At internship completion</w:t>
            </w:r>
            <w:r/>
          </w:p>
        </w:tc>
      </w:tr>
    </w:tbl>
    <w:p>
      <w:pPr>
        <w:pStyle w:val="694"/>
        <w:pBdr/>
        <w:spacing/>
        <w:ind/>
        <w:rPr/>
      </w:pPr>
      <w:r>
        <w:t xml:space="preserve">Resources</w:t>
      </w:r>
      <w:r/>
    </w:p>
    <w:p>
      <w:pPr>
        <w:pBdr/>
        <w:spacing/>
        <w:ind/>
        <w:rPr/>
      </w:pPr>
      <w:r>
        <w:t xml:space="preserve">- Tester: Jeffry Nassif (QA Intern)</w:t>
        <w:br/>
        <w:t xml:space="preserve">- Tools: OnlyOffice for test cases and logging, web browsers for execution.</w:t>
      </w:r>
      <w:r/>
    </w:p>
    <w:p>
      <w:pPr>
        <w:pStyle w:val="694"/>
        <w:pBdr/>
        <w:spacing/>
        <w:ind/>
        <w:rPr/>
      </w:pPr>
      <w:r>
        <w:t xml:space="preserve">Entry Criteria</w:t>
      </w:r>
      <w:r/>
    </w:p>
    <w:p>
      <w:pPr>
        <w:pBdr/>
        <w:spacing/>
        <w:ind/>
        <w:rPr/>
      </w:pPr>
      <w:r>
        <w:t xml:space="preserve">- Completion and review of the 10 test cases.</w:t>
        <w:br/>
        <w:t xml:space="preserve">- BabiBlaze application deployed and accessible.</w:t>
      </w:r>
      <w:r/>
    </w:p>
    <w:p>
      <w:pPr>
        <w:pStyle w:val="694"/>
        <w:pBdr/>
        <w:spacing/>
        <w:ind/>
        <w:rPr/>
      </w:pPr>
      <w:r>
        <w:t xml:space="preserve">Exit Criteria</w:t>
      </w:r>
      <w:r/>
    </w:p>
    <w:p>
      <w:pPr>
        <w:pBdr/>
        <w:spacing/>
        <w:ind/>
        <w:rPr/>
      </w:pPr>
      <w:r>
        <w:t xml:space="preserve">- Execution and logging of all 10 test cases completed.</w:t>
        <w:br/>
        <w:t xml:space="preserve">- Documentation of any critical or high priority bugs found.</w:t>
        <w:br/>
        <w:t xml:space="preserve">- Preparation of final test report.</w:t>
      </w:r>
      <w:r/>
    </w:p>
    <w:p>
      <w:pPr>
        <w:pStyle w:val="694"/>
        <w:pBdr/>
        <w:spacing/>
        <w:ind/>
        <w:rPr/>
      </w:pPr>
      <w:r>
        <w:t xml:space="preserve">Risks and Mitigation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Risk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Mitigation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Limited testing time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Prioritize executing high-impact test cases first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Application unavailability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Communicate promptly with internship supervisor if issues occur</w:t>
            </w:r>
            <w:r/>
          </w:p>
        </w:tc>
      </w:tr>
    </w:tbl>
    <w:p>
      <w:pPr>
        <w:pStyle w:val="694"/>
        <w:pBdr/>
        <w:spacing/>
        <w:ind/>
        <w:rPr/>
      </w:pPr>
      <w:r>
        <w:t xml:space="preserve">Deliverables</w:t>
      </w:r>
      <w:r/>
    </w:p>
    <w:p>
      <w:pPr>
        <w:pBdr/>
        <w:spacing/>
        <w:ind/>
        <w:rPr/>
      </w:pPr>
      <w:r>
        <w:t xml:space="preserve">- Manual test cases document (Excel sheet with 10 test cases)</w:t>
        <w:br/>
        <w:t xml:space="preserve">- Test execution logs (Excel updated with actual results and pass/fail status)</w:t>
        <w:br/>
        <w:t xml:space="preserve">- Bug reports (if any)</w:t>
        <w:br/>
        <w:t xml:space="preserve">- Final test summary report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2025-08-08T07:47:26Z</dcterms:modified>
  <cp:category/>
</cp:coreProperties>
</file>