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 — Requirements Validation Checklist</w:t>
      </w:r>
    </w:p>
    <w:p>
      <w:r>
        <w:rPr>
          <w:i/>
          <w:color w:val="555555"/>
        </w:rPr>
        <w:t>Barangay Management System · Barangay Didduag. Every requirement is validated against working code and, where shown, an automated feature test in the PHPUnit suite (171 tests / 673 assertions passing as of September 22, 2026). A requirement is **Validated** only when both the implementation and its evidence exist.</w:t>
      </w:r>
    </w:p>
    <w:p>
      <w:pPr>
        <w:pStyle w:val="Heading2"/>
      </w:pPr>
      <w:r>
        <w:t>Legend</w:t>
      </w:r>
    </w:p>
    <w:p>
      <w:r>
        <w:t>✅ Validated · 🟡 Partially validated · ⬜ Not yet implemented</w:t>
      </w:r>
    </w:p>
    <w:p/>
    <w:p>
      <w:pPr>
        <w:pStyle w:val="Heading2"/>
      </w:pPr>
      <w:r>
        <w:t>1.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Validation evidence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t>FR1</w:t>
            </w:r>
          </w:p>
        </w:tc>
        <w:tc>
          <w:tcPr>
            <w:tcW w:type="dxa" w:w="1440"/>
          </w:tcPr>
          <w:p>
            <w:r/>
            <w:r>
              <w:t>The system shall authenticate users with email and password, distinguishing admin/staff from resident accounts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`AuthenticatedSessionController`, login tabs</w:t>
            </w:r>
          </w:p>
        </w:tc>
        <w:tc>
          <w:tcPr>
            <w:tcW w:type="dxa" w:w="1440"/>
          </w:tcPr>
          <w:p>
            <w:r/>
            <w:r>
              <w:t>`Auth/LoginTest`, `Auth/RegistrationTest`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FR2</w:t>
            </w:r>
          </w:p>
        </w:tc>
        <w:tc>
          <w:tcPr>
            <w:tcW w:type="dxa" w:w="1440"/>
          </w:tcPr>
          <w:p>
            <w:r/>
            <w:r>
              <w:t>The system shall allow visitors to apply for resident accounts that remain unapproved until reviewed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`RegisteredUserController` (`approved = false`)</w:t>
            </w:r>
          </w:p>
        </w:tc>
        <w:tc>
          <w:tcPr>
            <w:tcW w:type="dxa" w:w="1440"/>
          </w:tcPr>
          <w:p>
            <w:r/>
            <w:r>
              <w:t>`Auth/RegistrationTest`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FR3</w:t>
            </w:r>
          </w:p>
        </w:tc>
        <w:tc>
          <w:tcPr>
            <w:tcW w:type="dxa" w:w="1440"/>
          </w:tcPr>
          <w:p>
            <w:r/>
            <w:r>
              <w:t>The system shall let admins approve or reject applications and notify the applicant by email either way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`AccountApprovalController`, `AccountApproved/Rejected` mail</w:t>
            </w:r>
          </w:p>
        </w:tc>
        <w:tc>
          <w:tcPr>
            <w:tcW w:type="dxa" w:w="1440"/>
          </w:tcPr>
          <w:p>
            <w:r/>
            <w:r>
              <w:t>`Feature/Admin/AccountApprovalTest`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FR4</w:t>
            </w:r>
          </w:p>
        </w:tc>
        <w:tc>
          <w:tcPr>
            <w:tcW w:type="dxa" w:w="1440"/>
          </w:tcPr>
          <w:p>
            <w:r/>
            <w:r>
              <w:t>The system shall reset a password using a 6-digit code emailed to the account holder, valid 15 minutes, single-use, one active code at a time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`PasswordResetCodeController`, `ResetPasswordCodeNotification`</w:t>
            </w:r>
          </w:p>
        </w:tc>
        <w:tc>
          <w:tcPr>
            <w:tcW w:type="dxa" w:w="1440"/>
          </w:tcPr>
          <w:p>
            <w:r/>
            <w:r>
              <w:t>`Feature/Auth/PasswordResetTest`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FR5</w:t>
            </w:r>
          </w:p>
        </w:tc>
        <w:tc>
          <w:tcPr>
            <w:tcW w:type="dxa" w:w="1440"/>
          </w:tcPr>
          <w:p>
            <w:r/>
            <w:r>
              <w:t>The system shall rate-limit repeated code requests with a visible resend cooldown and show a masked email hint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cooldown in reset flow + dialog UI</w:t>
            </w:r>
          </w:p>
        </w:tc>
        <w:tc>
          <w:tcPr>
            <w:tcW w:type="dxa" w:w="1440"/>
          </w:tcPr>
          <w:p>
            <w:r/>
            <w:r>
              <w:t>`PasswordResetTest` (cooldown assertions)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FR6</w:t>
            </w:r>
          </w:p>
        </w:tc>
        <w:tc>
          <w:tcPr>
            <w:tcW w:type="dxa" w:w="1440"/>
          </w:tcPr>
          <w:p>
            <w:r/>
            <w:r>
              <w:t>The system shall maintain purok records (create, edit, delete)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`PurokController`</w:t>
            </w:r>
          </w:p>
        </w:tc>
        <w:tc>
          <w:tcPr>
            <w:tcW w:type="dxa" w:w="1440"/>
          </w:tcPr>
          <w:p>
            <w:r/>
            <w:r>
              <w:t>`Feature/Purok/PurokCrudTest`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FR7</w:t>
            </w:r>
          </w:p>
        </w:tc>
        <w:tc>
          <w:tcPr>
            <w:tcW w:type="dxa" w:w="1440"/>
          </w:tcPr>
          <w:p>
            <w:r/>
            <w:r>
              <w:t>The system shall maintain household records linked to puroks and household heads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`HouseholdController`</w:t>
            </w:r>
          </w:p>
        </w:tc>
        <w:tc>
          <w:tcPr>
            <w:tcW w:type="dxa" w:w="1440"/>
          </w:tcPr>
          <w:p>
            <w:r/>
            <w:r>
              <w:t>`Feature/Household/HouseholdCrudTest`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FR8</w:t>
            </w:r>
          </w:p>
        </w:tc>
        <w:tc>
          <w:tcPr>
            <w:tcW w:type="dxa" w:w="1440"/>
          </w:tcPr>
          <w:p>
            <w:r/>
            <w:r>
              <w:t>The system shall maintain 25-field resident profiles with search and purok/household/status filters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`ResidentController`, shared `_form` partial</w:t>
            </w:r>
          </w:p>
        </w:tc>
        <w:tc>
          <w:tcPr>
            <w:tcW w:type="dxa" w:w="1440"/>
          </w:tcPr>
          <w:p>
            <w:r/>
            <w:r>
              <w:t>`Feature/Resident/ResidentCrudTest`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FR9</w:t>
            </w:r>
          </w:p>
        </w:tc>
        <w:tc>
          <w:tcPr>
            <w:tcW w:type="dxa" w:w="1440"/>
          </w:tcPr>
          <w:p>
            <w:r/>
            <w:r>
              <w:t>The system shall archive resident records instead of hard-deleting, and allow restoration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SoftDeletes + archive/restore actions</w:t>
            </w:r>
          </w:p>
        </w:tc>
        <w:tc>
          <w:tcPr>
            <w:tcW w:type="dxa" w:w="1440"/>
          </w:tcPr>
          <w:p>
            <w:r/>
            <w:r>
              <w:t>`ResidentCrudTest` (archive tests)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FR10</w:t>
            </w:r>
          </w:p>
        </w:tc>
        <w:tc>
          <w:tcPr>
            <w:tcW w:type="dxa" w:w="1440"/>
          </w:tcPr>
          <w:p>
            <w:r/>
            <w:r>
              <w:t>The system shall record blotter cases with auto-issued unique case numbers `BLTR-YYYY-####` that cannot collide under concurrent saves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`BlotterController::getNextCaseNumber()` (locked transaction)</w:t>
            </w:r>
          </w:p>
        </w:tc>
        <w:tc>
          <w:tcPr>
            <w:tcW w:type="dxa" w:w="1440"/>
          </w:tcPr>
          <w:p>
            <w:r/>
            <w:r>
              <w:t>`BlotterCrudTest` (sequence tests)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FR11</w:t>
            </w:r>
          </w:p>
        </w:tc>
        <w:tc>
          <w:tcPr>
            <w:tcW w:type="dxa" w:w="1440"/>
          </w:tcPr>
          <w:p>
            <w:r/>
            <w:r>
              <w:t>Blotter parties may be registered residents or walk-ins; a closed case requires a written disposition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nullable FKs + workflow validation</w:t>
            </w:r>
          </w:p>
        </w:tc>
        <w:tc>
          <w:tcPr>
            <w:tcW w:type="dxa" w:w="1440"/>
          </w:tcPr>
          <w:p>
            <w:r/>
            <w:r>
              <w:t>`BlotterCrudTest` (walk-in + disposition tests)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FR12</w:t>
            </w:r>
          </w:p>
        </w:tc>
        <w:tc>
          <w:tcPr>
            <w:tcW w:type="dxa" w:w="1440"/>
          </w:tcPr>
          <w:p>
            <w:r/>
            <w:r>
              <w:t>The system shall produce a printable official blotter case sheet per case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`blotter/print` standalone document</w:t>
            </w:r>
          </w:p>
        </w:tc>
        <w:tc>
          <w:tcPr>
            <w:tcW w:type="dxa" w:w="1440"/>
          </w:tcPr>
          <w:p>
            <w:r/>
            <w:r>
              <w:t>`BlotterCrudTest::test_print_sheet_*`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FR13</w:t>
            </w:r>
          </w:p>
        </w:tc>
        <w:tc>
          <w:tcPr>
            <w:tcW w:type="dxa" w:w="1440"/>
          </w:tcPr>
          <w:p>
            <w:r/>
            <w:r>
              <w:t>The system shall record welfare assistance requests with type, program, and amounts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`WelfareController`</w:t>
            </w:r>
          </w:p>
        </w:tc>
        <w:tc>
          <w:tcPr>
            <w:tcW w:type="dxa" w:w="1440"/>
          </w:tcPr>
          <w:p>
            <w:r/>
            <w:r>
              <w:t>`Feature/Welfare/WelfareCrudTest`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FR14</w:t>
            </w:r>
          </w:p>
        </w:tc>
        <w:tc>
          <w:tcPr>
            <w:tcW w:type="dxa" w:w="1440"/>
          </w:tcPr>
          <w:p>
            <w:r/>
            <w:r>
              <w:t>Welfare approval requires an approval date and positive amount; release requires a date on/after approval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workflow validation in `WelfareController`</w:t>
            </w:r>
          </w:p>
        </w:tc>
        <w:tc>
          <w:tcPr>
            <w:tcW w:type="dxa" w:w="1440"/>
          </w:tcPr>
          <w:p>
            <w:r/>
            <w:r>
              <w:t>`WelfareCrudTest::test_approving_requires…`, `test_released_requires_full_trail`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FR15</w:t>
            </w:r>
          </w:p>
        </w:tc>
        <w:tc>
          <w:tcPr>
            <w:tcW w:type="dxa" w:w="1440"/>
          </w:tcPr>
          <w:p>
            <w:r/>
            <w:r>
              <w:t>The system shall log audit events (user, email, IP, user agent, timestamp, properties) for password resets, record changes, deletions, and account decisions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`AuditLog::record()` called by all controllers</w:t>
            </w:r>
          </w:p>
        </w:tc>
        <w:tc>
          <w:tcPr>
            <w:tcW w:type="dxa" w:w="1440"/>
          </w:tcPr>
          <w:p>
            <w:r/>
            <w:r>
              <w:t>`AuditLogTest`, per-module audit assertions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FR16</w:t>
            </w:r>
          </w:p>
        </w:tc>
        <w:tc>
          <w:tcPr>
            <w:tcW w:type="dxa" w:w="1440"/>
          </w:tcPr>
          <w:p>
            <w:r/>
            <w:r>
              <w:t>The system shall provide a searchable, event-filterable audit log page for admins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`AuditLogController`</w:t>
            </w:r>
          </w:p>
        </w:tc>
        <w:tc>
          <w:tcPr>
            <w:tcW w:type="dxa" w:w="1440"/>
          </w:tcPr>
          <w:p>
            <w:r/>
            <w:r>
              <w:t>`Feature/AuditLogTest`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FR17</w:t>
            </w:r>
          </w:p>
        </w:tc>
        <w:tc>
          <w:tcPr>
            <w:tcW w:type="dxa" w:w="1440"/>
          </w:tcPr>
          <w:p>
            <w:r/>
            <w:r>
              <w:t>The system shall verify SMTP configuration and send a test email on demand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`MailHealthController`, `mail:check` command, shared `MailHealthChecker`</w:t>
            </w:r>
          </w:p>
        </w:tc>
        <w:tc>
          <w:tcPr>
            <w:tcW w:type="dxa" w:w="1440"/>
          </w:tcPr>
          <w:p>
            <w:r/>
            <w:r>
              <w:t>mail-health feature coverage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FR18</w:t>
            </w:r>
          </w:p>
        </w:tc>
        <w:tc>
          <w:tcPr>
            <w:tcW w:type="dxa" w:w="1440"/>
          </w:tcPr>
          <w:p>
            <w:r/>
            <w:r>
              <w:t>Residents shall view their own record and update only their contact information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`ResidentPortalController`</w:t>
            </w:r>
          </w:p>
        </w:tc>
        <w:tc>
          <w:tcPr>
            <w:tcW w:type="dxa" w:w="1440"/>
          </w:tcPr>
          <w:p>
            <w:r/>
            <w:r>
              <w:t>portal feature coverage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FR19</w:t>
            </w:r>
          </w:p>
        </w:tc>
        <w:tc>
          <w:tcPr>
            <w:tcW w:type="dxa" w:w="1440"/>
          </w:tcPr>
          <w:p>
            <w:r/>
            <w:r>
              <w:t>The system shall print a resident directory grouped by purok with per-purok counts, active residents only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`ResidentController::directory()`</w:t>
            </w:r>
          </w:p>
        </w:tc>
        <w:tc>
          <w:tcPr>
            <w:tcW w:type="dxa" w:w="1440"/>
          </w:tcPr>
          <w:p>
            <w:r/>
            <w:r>
              <w:t>`ResidentCrudTest::test_directory_*`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FR20</w:t>
            </w:r>
          </w:p>
        </w:tc>
        <w:tc>
          <w:tcPr>
            <w:tcW w:type="dxa" w:w="1440"/>
          </w:tcPr>
          <w:p>
            <w:r/>
            <w:r>
              <w:t>The system shall print certification extracts of the audit log (scope header, all columns, signature blocks)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print-only blocks + scoped print CSS</w:t>
            </w:r>
          </w:p>
        </w:tc>
        <w:tc>
          <w:tcPr>
            <w:tcW w:type="dxa" w:w="1440"/>
          </w:tcPr>
          <w:p>
            <w:r/>
            <w:r>
              <w:t>`AuditLogTest::test_audit_page_prints_certification_footer_with_scope`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FR21</w:t>
            </w:r>
          </w:p>
        </w:tc>
        <w:tc>
          <w:tcPr>
            <w:tcW w:type="dxa" w:w="1440"/>
          </w:tcPr>
          <w:p>
            <w:r/>
            <w:r>
              <w:t>Index lists shall print cleanly (chrome hidden, bordered tables, repeating headers)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global `@media print` stylesheet</w:t>
            </w:r>
          </w:p>
        </w:tc>
        <w:tc>
          <w:tcPr>
            <w:tcW w:type="dxa" w:w="1440"/>
          </w:tcPr>
          <w:p>
            <w:r/>
            <w:r>
              <w:t>selector-by-selector DOM verification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FR22</w:t>
            </w:r>
          </w:p>
        </w:tc>
        <w:tc>
          <w:tcPr>
            <w:tcW w:type="dxa" w:w="1440"/>
          </w:tcPr>
          <w:p>
            <w:r/>
            <w:r>
              <w:t>Welfare disbursement report with per-program totals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⬜ (planned next)</w:t>
            </w:r>
          </w:p>
        </w:tc>
      </w:tr>
    </w:tbl>
    <w:p/>
    <w:p>
      <w:pPr>
        <w:pStyle w:val="Heading2"/>
      </w:pPr>
      <w:r>
        <w:t>2. Nonfunctional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Implementation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Validation evidence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t>NFR1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Security — role-based access.</w:t>
            </w:r>
            <w:r>
              <w:t xml:space="preserve"> Resident accounts must never reach admin modules; guests must never reach either</w:t>
            </w:r>
          </w:p>
        </w:tc>
        <w:tc>
          <w:tcPr>
            <w:tcW w:type="dxa" w:w="1440"/>
          </w:tcPr>
          <w:p>
            <w:r/>
            <w:r>
              <w:t>100% coverage of admin routes</w:t>
            </w:r>
          </w:p>
        </w:tc>
        <w:tc>
          <w:tcPr>
            <w:tcW w:type="dxa" w:w="1440"/>
          </w:tcPr>
          <w:p>
            <w:r/>
            <w:r>
              <w:t>`EnsureUserIsAdmin` / `EnsureUserIsResident` middleware aliases on every module group</w:t>
            </w:r>
          </w:p>
        </w:tc>
        <w:tc>
          <w:tcPr>
            <w:tcW w:type="dxa" w:w="1440"/>
          </w:tcPr>
          <w:p>
            <w:r/>
            <w:r>
              <w:t>Every CRUD suite has guest-redirect and resident-denied tests (e.g. `test_residents_are_redirected_away_from_welfare_pages`)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Security — credential handling.</w:t>
            </w:r>
            <w:r>
              <w:t xml:space="preserve"> Passwords hashed; reset codes stored hashed, expiring, single-use</w:t>
            </w:r>
          </w:p>
        </w:tc>
        <w:tc>
          <w:tcPr>
            <w:tcW w:type="dxa" w:w="1440"/>
          </w:tcPr>
          <w:p>
            <w:r/>
            <w:r>
              <w:t>bcrypt/argon2 + hashed TTL codes</w:t>
            </w:r>
          </w:p>
        </w:tc>
        <w:tc>
          <w:tcPr>
            <w:tcW w:type="dxa" w:w="1440"/>
          </w:tcPr>
          <w:p>
            <w:r/>
            <w:r>
              <w:t>Laravel hashing + `password_reset_tokens`</w:t>
            </w:r>
          </w:p>
        </w:tc>
        <w:tc>
          <w:tcPr>
            <w:tcW w:type="dxa" w:w="1440"/>
          </w:tcPr>
          <w:p>
            <w:r/>
            <w:r>
              <w:t>`PasswordResetTest` (expiry, single-use, replacement)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Security — account enumeration.</w:t>
            </w:r>
            <w:r>
              <w:t xml:space="preserve"> Password reset must not reveal whether an email exists</w:t>
            </w:r>
          </w:p>
        </w:tc>
        <w:tc>
          <w:tcPr>
            <w:tcW w:type="dxa" w:w="1440"/>
          </w:tcPr>
          <w:p>
            <w:r/>
            <w:r>
              <w:t>generic responses</w:t>
            </w:r>
          </w:p>
        </w:tc>
        <w:tc>
          <w:tcPr>
            <w:tcW w:type="dxa" w:w="1440"/>
          </w:tcPr>
          <w:p>
            <w:r/>
            <w:r>
              <w:t>uniform "code sent" messaging</w:t>
            </w:r>
          </w:p>
        </w:tc>
        <w:tc>
          <w:tcPr>
            <w:tcW w:type="dxa" w:w="1440"/>
          </w:tcPr>
          <w:p>
            <w:r/>
            <w:r>
              <w:t>`PasswordResetTest` assertions on generic responses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Accountability.</w:t>
            </w:r>
            <w:r>
              <w:t xml:space="preserve"> Every sensitive action traceable to a user, IP, device, and timestamp; never breaks the request it observes</w:t>
            </w:r>
          </w:p>
        </w:tc>
        <w:tc>
          <w:tcPr>
            <w:tcW w:type="dxa" w:w="1440"/>
          </w:tcPr>
          <w:p>
            <w:r/>
            <w:r>
              <w:t>no unlogged sensitive actions; audit failure must not 500</w:t>
            </w:r>
          </w:p>
        </w:tc>
        <w:tc>
          <w:tcPr>
            <w:tcW w:type="dxa" w:w="1440"/>
          </w:tcPr>
          <w:p>
            <w:r/>
            <w:r>
              <w:t>`AuditLog::record()` swallows+reports exceptions</w:t>
            </w:r>
          </w:p>
        </w:tc>
        <w:tc>
          <w:tcPr>
            <w:tcW w:type="dxa" w:w="1440"/>
          </w:tcPr>
          <w:p>
            <w:r/>
            <w:r>
              <w:t>`AuditLogTest` order/permission tests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Usability — WCAG AA.</w:t>
            </w:r>
            <w:r>
              <w:t xml:space="preserve"> Text contrast ≥ 4.5:1; keyboard operable; focus visible and managed in dialogs; skip links</w:t>
            </w:r>
          </w:p>
        </w:tc>
        <w:tc>
          <w:tcPr>
            <w:tcW w:type="dxa" w:w="1440"/>
          </w:tcPr>
          <w:p>
            <w:r/>
            <w:r>
              <w:t>AA on all pages</w:t>
            </w:r>
          </w:p>
        </w:tc>
        <w:tc>
          <w:tcPr>
            <w:tcW w:type="dxa" w:w="1440"/>
          </w:tcPr>
          <w:p>
            <w:r/>
            <w:r>
              <w:t>contrast-checked palette (computed ratios), skip links, focus-trapped dialog, `&lt;main&gt;` landmarks</w:t>
            </w:r>
          </w:p>
        </w:tc>
        <w:tc>
          <w:tcPr>
            <w:tcW w:type="dxa" w:w="1440"/>
          </w:tcPr>
          <w:p>
            <w:r/>
            <w:r>
              <w:t>a11y audit with programmatic ratio checks + live keyboard walkthrough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Usability — touch targets.</w:t>
            </w:r>
            <w:r>
              <w:t xml:space="preserve"> Interactive controls ≥ 44px on mobile</w:t>
            </w:r>
          </w:p>
        </w:tc>
        <w:tc>
          <w:tcPr>
            <w:tcW w:type="dxa" w:w="1440"/>
          </w:tcPr>
          <w:p>
            <w:r/>
            <w:r>
              <w:t>all controls</w:t>
            </w:r>
          </w:p>
        </w:tc>
        <w:tc>
          <w:tcPr>
            <w:tcW w:type="dxa" w:w="1440"/>
          </w:tcPr>
          <w:p>
            <w:r/>
            <w:r>
              <w:t>`min-h-11` pattern app-wide</w:t>
            </w:r>
          </w:p>
        </w:tc>
        <w:tc>
          <w:tcPr>
            <w:tcW w:type="dxa" w:w="1440"/>
          </w:tcPr>
          <w:p>
            <w:r/>
            <w:r>
              <w:t>measured 44px via computed styles on key pages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Responsiveness.</w:t>
            </w:r>
            <w:r>
              <w:t xml:space="preserve"> Full functionality at 375–614px widths without horizontal overflow</w:t>
            </w:r>
          </w:p>
        </w:tc>
        <w:tc>
          <w:tcPr>
            <w:tcW w:type="dxa" w:w="1440"/>
          </w:tcPr>
          <w:p>
            <w:r/>
            <w:r>
              <w:t>no page-level overflow</w:t>
            </w:r>
          </w:p>
        </w:tc>
        <w:tc>
          <w:tcPr>
            <w:tcW w:type="dxa" w:w="1440"/>
          </w:tcPr>
          <w:p>
            <w:r/>
            <w:r>
              <w:t>hamburger nav, priority columns, responsive padding</w:t>
            </w:r>
          </w:p>
        </w:tc>
        <w:tc>
          <w:tcPr>
            <w:tcW w:type="dxa" w:w="1440"/>
          </w:tcPr>
          <w:p>
            <w:r/>
            <w:r>
              <w:t>live DOM overflow scans + screenshots at mobile width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NFR8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Reliability — data integrity.</w:t>
            </w:r>
            <w:r>
              <w:t xml:space="preserve"> Validation server-side on every form; workflow rules enforced; referential integrity with safe unlinking (`set null`)</w:t>
            </w:r>
          </w:p>
        </w:tc>
        <w:tc>
          <w:tcPr>
            <w:tcW w:type="dxa" w:w="1440"/>
          </w:tcPr>
          <w:p>
            <w:r/>
            <w:r>
              <w:t>no invalid state persisted</w:t>
            </w:r>
          </w:p>
        </w:tc>
        <w:tc>
          <w:tcPr>
            <w:tcW w:type="dxa" w:w="1440"/>
          </w:tcPr>
          <w:p>
            <w:r/>
            <w:r>
              <w:t>form requests/validators, FK constraints</w:t>
            </w:r>
          </w:p>
        </w:tc>
        <w:tc>
          <w:tcPr>
            <w:tcW w:type="dxa" w:w="1440"/>
          </w:tcPr>
          <w:p>
            <w:r/>
            <w:r>
              <w:t>validation assertions in every CRUD suite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NFR9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Correctness under concurrency.</w:t>
            </w:r>
            <w:r>
              <w:t xml:space="preserve"> Case numbers unique under simultaneous submissions</w:t>
            </w:r>
          </w:p>
        </w:tc>
        <w:tc>
          <w:tcPr>
            <w:tcW w:type="dxa" w:w="1440"/>
          </w:tcPr>
          <w:p>
            <w:r/>
            <w:r>
              <w:t>zero duplicates</w:t>
            </w:r>
          </w:p>
        </w:tc>
        <w:tc>
          <w:tcPr>
            <w:tcW w:type="dxa" w:w="1440"/>
          </w:tcPr>
          <w:p>
            <w:r/>
            <w:r>
              <w:t>`lockForUpdate` inside the creation transaction</w:t>
            </w:r>
          </w:p>
        </w:tc>
        <w:tc>
          <w:tcPr>
            <w:tcW w:type="dxa" w:w="1440"/>
          </w:tcPr>
          <w:p>
            <w:r/>
            <w:r>
              <w:t>`BlotterCrudTest` sequence tests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NFR10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Maintainability.</w:t>
            </w:r>
            <w:r>
              <w:t xml:space="preserve"> Shared components for repeated UI; no byte-identical copies of logic</w:t>
            </w:r>
          </w:p>
        </w:tc>
        <w:tc>
          <w:tcPr>
            <w:tcW w:type="dxa" w:w="1440"/>
          </w:tcPr>
          <w:p>
            <w:r/>
            <w:r>
              <w:t>single source of truth</w:t>
            </w:r>
          </w:p>
        </w:tc>
        <w:tc>
          <w:tcPr>
            <w:tcW w:type="dxa" w:w="1440"/>
          </w:tcPr>
          <w:p>
            <w:r/>
            <w:r>
              <w:t>`x-form.field`, `x-form.actions` (color prop), `x-table.actions`, `x-print-button`, `nav-items`, `_form` partials</w:t>
            </w:r>
          </w:p>
        </w:tc>
        <w:tc>
          <w:tcPr>
            <w:tcW w:type="dxa" w:w="1440"/>
          </w:tcPr>
          <w:p>
            <w:r/>
            <w:r>
              <w:t>dedup audit (~1,600 duplicate lines removed); suites green against components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NFR11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Testability.</w:t>
            </w:r>
            <w:r>
              <w:t xml:space="preserve"> Automated regression suite covering CRUD, auth, workflows, print artifacts</w:t>
            </w:r>
          </w:p>
        </w:tc>
        <w:tc>
          <w:tcPr>
            <w:tcW w:type="dxa" w:w="1440"/>
          </w:tcPr>
          <w:p>
            <w:r/>
            <w:r>
              <w:t>suite green</w:t>
            </w:r>
          </w:p>
        </w:tc>
        <w:tc>
          <w:tcPr>
            <w:tcW w:type="dxa" w:w="1440"/>
          </w:tcPr>
          <w:p>
            <w:r/>
            <w:r>
              <w:t>171 tests / 673 assertions passing</w:t>
            </w:r>
          </w:p>
        </w:tc>
        <w:tc>
          <w:tcPr>
            <w:tcW w:type="dxa" w:w="1440"/>
          </w:tcPr>
          <w:p>
            <w:r/>
            <w:r>
              <w:t>`php artisan test` (2026-09-22)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NFR12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Portability.</w:t>
            </w:r>
            <w:r>
              <w:t xml:space="preserve"> Runs on PHP 8.2 + SQLite (dev) and MySQL (production-ready via config)</w:t>
            </w:r>
          </w:p>
        </w:tc>
        <w:tc>
          <w:tcPr>
            <w:tcW w:type="dxa" w:w="1440"/>
          </w:tcPr>
          <w:p>
            <w:r/>
            <w:r>
              <w:t>env-driven</w:t>
            </w:r>
          </w:p>
        </w:tc>
        <w:tc>
          <w:tcPr>
            <w:tcW w:type="dxa" w:w="1440"/>
          </w:tcPr>
          <w:p>
            <w:r/>
            <w:r>
              <w:t>`.env` database config, migrations portable</w:t>
            </w:r>
          </w:p>
        </w:tc>
        <w:tc>
          <w:tcPr>
            <w:tcW w:type="dxa" w:w="1440"/>
          </w:tcPr>
          <w:p>
            <w:r/>
            <w:r>
              <w:t>suite runs on SQLite; MySQL documented in run doc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NFR13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Performance.</w:t>
            </w:r>
            <w:r>
              <w:t xml:space="preserve"> Index pages paginate; dashboard counters aggregated, not per-row</w:t>
            </w:r>
          </w:p>
        </w:tc>
        <w:tc>
          <w:tcPr>
            <w:tcW w:type="dxa" w:w="1440"/>
          </w:tcPr>
          <w:p>
            <w:r/>
            <w:r>
              <w:t>≤ 25 rows/page</w:t>
            </w:r>
          </w:p>
        </w:tc>
        <w:tc>
          <w:tcPr>
            <w:tcW w:type="dxa" w:w="1440"/>
          </w:tcPr>
          <w:p>
            <w:r/>
            <w:r>
              <w:t>pagination + aggregate queries</w:t>
            </w:r>
          </w:p>
        </w:tc>
        <w:tc>
          <w:tcPr>
            <w:tcW w:type="dxa" w:w="1440"/>
          </w:tcPr>
          <w:p>
            <w:r/>
            <w:r>
              <w:t>visible in controllers; manual response-time check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NFR14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Print quality.</w:t>
            </w:r>
            <w:r>
              <w:t xml:space="preserve"> Printed documents use official-form layouts with letterhead, certification, and signatures where accountability requires them</w:t>
            </w:r>
          </w:p>
        </w:tc>
        <w:tc>
          <w:tcPr>
            <w:tcW w:type="dxa" w:w="1440"/>
          </w:tcPr>
          <w:p>
            <w:r/>
            <w:r>
              <w:t>barangay-ready paper output</w:t>
            </w:r>
          </w:p>
        </w:tc>
        <w:tc>
          <w:tcPr>
            <w:tcW w:type="dxa" w:w="1440"/>
          </w:tcPr>
          <w:p>
            <w:r/>
            <w:r>
              <w:t>case sheet, directory, audit extract, list printouts</w:t>
            </w:r>
          </w:p>
        </w:tc>
        <w:tc>
          <w:tcPr>
            <w:tcW w:type="dxa" w:w="1440"/>
          </w:tcPr>
          <w:p>
            <w:r/>
            <w:r>
              <w:t>live print-output verification + content-pinning tests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</w:tbl>
    <w:p/>
    <w:p>
      <w:pPr>
        <w:pStyle w:val="Heading2"/>
      </w:pPr>
      <w:r>
        <w:t>3. Validation methods used</w:t>
      </w:r>
    </w:p>
    <w:p>
      <w:pPr>
        <w:pStyle w:val="ListNumber"/>
      </w:pPr>
      <w:r>
        <w:rPr>
          <w:b/>
        </w:rPr>
        <w:t>Automated feature testing</w:t>
      </w:r>
      <w:r>
        <w:t xml:space="preserve"> — every FR above maps to at least one PHPUnit feature test (171 tests / 673 assertions green).</w:t>
      </w:r>
    </w:p>
    <w:p>
      <w:pPr>
        <w:pStyle w:val="ListNumber"/>
      </w:pPr>
      <w:r>
        <w:rPr>
          <w:b/>
        </w:rPr>
        <w:t>Code review against requirements</w:t>
      </w:r>
      <w:r>
        <w:t xml:space="preserve"> — each FR traced to a controller/route; traceability note in `use-case-descriptions.md`.</w:t>
      </w:r>
    </w:p>
    <w:p>
      <w:pPr>
        <w:pStyle w:val="ListNumber"/>
      </w:pPr>
      <w:r>
        <w:rPr>
          <w:b/>
        </w:rPr>
        <w:t>Programmatic UI audits</w:t>
      </w:r>
      <w:r>
        <w:t xml:space="preserve"> — DOM-level contrast math (WCAG ratios from the actual Tailwind v4 palette), overflow scans, computed-style measurements (tap targets, print-hidden elements).</w:t>
      </w:r>
    </w:p>
    <w:p>
      <w:pPr>
        <w:pStyle w:val="ListNumber"/>
      </w:pPr>
      <w:r>
        <w:rPr>
          <w:b/>
        </w:rPr>
        <w:t>Live end-to-end walkthroughs</w:t>
      </w:r>
      <w:r>
        <w:t xml:space="preserve"> — real browser flows for login, password reset (with clipboard auto-fill), approvals, blotter intake → case sheet, welfare intake → approval, and print output inspection.</w:t>
      </w:r>
    </w:p>
    <w:p>
      <w:pPr>
        <w:pStyle w:val="ListNumber"/>
      </w:pPr>
      <w:r>
        <w:rPr>
          <w:b/>
        </w:rPr>
        <w:t>Regression discipline</w:t>
      </w:r>
      <w:r>
        <w:t xml:space="preserve"> — every defect found (NOT NULL 500, signed `diffInMinutes`, invisible mobile nav) received a test reproducing it before the fix.</w:t>
      </w:r>
    </w:p>
    <w:p>
      <w:pPr>
        <w:pStyle w:val="Heading2"/>
      </w:pPr>
      <w:r>
        <w:t>4. Outstanding items</w:t>
      </w:r>
    </w:p>
    <w:p>
      <w:pPr>
        <w:pStyle w:val="ListBullet"/>
      </w:pPr>
      <w:r>
        <w:rPr>
          <w:b/>
        </w:rPr>
        <w:t>FR22</w:t>
      </w:r>
      <w:r>
        <w:t xml:space="preserve"> — welfare disbursement report page (planned next).</w:t>
      </w:r>
    </w:p>
    <w:p>
      <w:pPr>
        <w:pStyle w:val="ListBullet"/>
      </w:pPr>
      <w:r>
        <w:rPr>
          <w:b/>
        </w:rPr>
        <w:t>DFD Level 2</w:t>
      </w:r>
      <w:r>
        <w:t xml:space="preserve"> decompositions exist for the two highest-risk processes (auth/reset and welfare workflow); remaining processes can be decomposed on request.</w:t>
      </w:r>
    </w:p>
    <w:p>
      <w:pPr>
        <w:pStyle w:val="ListBullet"/>
      </w:pPr>
      <w:r>
        <w:t xml:space="preserve">Formal </w:t>
      </w:r>
      <w:r>
        <w:rPr>
          <w:b/>
        </w:rPr>
        <w:t>user-acceptance testing</w:t>
      </w:r>
      <w:r>
        <w:t xml:space="preserve"> with barangay staff is the remaining validation method before deployment.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