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F36B21"/>
          <w:sz w:val="76"/>
        </w:rPr>
        <w:t>VAPOR CLUB</w:t>
      </w:r>
    </w:p>
    <w:p>
      <w:pPr>
        <w:jc w:val="center"/>
      </w:pPr>
      <w:r>
        <w:rPr>
          <w:b/>
          <w:color w:val="111111"/>
          <w:sz w:val="36"/>
        </w:rPr>
        <w:t>MANUAL DE IDENTIDAD DE MARCA</w:t>
      </w:r>
    </w:p>
    <w:p>
      <w:pPr>
        <w:jc w:val="center"/>
      </w:pPr>
      <w:r>
        <w:rPr>
          <w:i/>
          <w:color w:val="666666"/>
          <w:sz w:val="22"/>
        </w:rPr>
        <w:t>Guía estratégica y visual basada en la captura del sitio web</w:t>
      </w:r>
    </w:p>
    <w:p/>
    <w:tbl>
      <w:tblPr>
        <w:tblW w:type="auto" w:w="0"/>
        <w:jc w:val="center"/>
        <w:tblLook w:firstColumn="1" w:firstRow="1" w:lastColumn="0" w:lastRow="0" w:noHBand="0" w:noVBand="1" w:val="04A0"/>
      </w:tblPr>
      <w:tblGrid>
        <w:gridCol w:w="2520"/>
        <w:gridCol w:w="2520"/>
        <w:gridCol w:w="2520"/>
        <w:gridCol w:w="2520"/>
      </w:tblGrid>
      <w:tr>
        <w:tc>
          <w:tcPr>
            <w:tcW w:type="dxa" w:w="2520"/>
            <w:shd w:fill="111111"/>
          </w:tcPr>
          <w:p>
            <w:r>
              <w:t xml:space="preserve"> </w:t>
            </w:r>
          </w:p>
        </w:tc>
        <w:tc>
          <w:tcPr>
            <w:tcW w:type="dxa" w:w="2520"/>
            <w:shd w:fill="F36B21"/>
          </w:tcPr>
          <w:p>
            <w:r>
              <w:t xml:space="preserve"> </w:t>
            </w:r>
          </w:p>
        </w:tc>
        <w:tc>
          <w:tcPr>
            <w:tcW w:type="dxa" w:w="2520"/>
            <w:shd w:fill="FFC629"/>
          </w:tcPr>
          <w:p>
            <w:r>
              <w:t xml:space="preserve"> </w:t>
            </w:r>
          </w:p>
        </w:tc>
        <w:tc>
          <w:tcPr>
            <w:tcW w:type="dxa" w:w="2520"/>
            <w:shd w:fill="00CFCB"/>
          </w:tcPr>
          <w:p>
            <w:r>
              <w:t xml:space="preserve"> </w:t>
            </w:r>
          </w:p>
        </w:tc>
      </w:tr>
    </w:tbl>
    <w:p/>
    <w:p>
      <w:pPr>
        <w:spacing w:before="1800"/>
        <w:jc w:val="center"/>
      </w:pPr>
      <w:r>
        <w:rPr>
          <w:b/>
          <w:color w:val="666666"/>
          <w:sz w:val="20"/>
        </w:rPr>
        <w:t>EDICIÓN 1.0  |  OCTUBRE 2026</w:t>
      </w:r>
    </w:p>
    <w:p>
      <w:r>
        <w:br w:type="page"/>
      </w:r>
    </w:p>
    <w:p>
      <w:pPr>
        <w:pStyle w:val="Heading1"/>
      </w:pPr>
      <w:r>
        <w:t>01. Introducción y alcance</w:t>
      </w:r>
    </w:p>
    <w:p>
      <w:r>
        <w:t>Este documento organiza los principales códigos visuales que se observan en la captura proporcionada del sitio web de Vapor Club. Sirve como guía inicial para diseñar piezas digitales, banners, publicaciones, fichas de producto y materiales promocionales consistentes.</w:t>
      </w:r>
    </w:p>
    <w:tbl>
      <w:tblPr>
        <w:tblStyle w:val="TableGrid"/>
        <w:tblW w:type="auto" w:w="0"/>
        <w:tblLook w:firstColumn="1" w:firstRow="1" w:lastColumn="0" w:lastRow="0" w:noHBand="0" w:noVBand="1" w:val="04A0"/>
      </w:tblPr>
      <w:tblGrid>
        <w:gridCol w:w="10080"/>
      </w:tblGrid>
      <w:tr>
        <w:tc>
          <w:tcPr>
            <w:tcW w:type="dxa" w:w="10080"/>
            <w:shd w:fill="FFF4E8"/>
          </w:tcPr>
          <w:p>
            <w:r/>
            <w:r>
              <w:rPr>
                <w:b/>
                <w:color w:val="F36B21"/>
              </w:rPr>
              <w:t xml:space="preserve">Importante sobre la precisión  </w:t>
            </w:r>
            <w:r>
              <w:t>La captura es muy estrecha y no permite verificar con certeza el archivo maestro del logotipo, la familia tipográfica exacta ni los valores oficiales de color. Por ello, los colores y tipografías que siguen son especificaciones aproximadas y recomendaciones operativas; deben validarse con los archivos originales del sitio.</w:t>
            </w:r>
          </w:p>
        </w:tc>
      </w:tr>
    </w:tbl>
    <w:p/>
    <w:p>
      <w:pPr>
        <w:pStyle w:val="Heading2"/>
      </w:pPr>
      <w:r>
        <w:t>Objetivos del manual</w:t>
      </w:r>
    </w:p>
    <w:p>
      <w:pPr>
        <w:pStyle w:val="ListBullet"/>
        <w:spacing w:after="40"/>
      </w:pPr>
      <w:r>
        <w:t>Mantener una identidad visual reconocible en todos los canales.</w:t>
      </w:r>
    </w:p>
    <w:p>
      <w:pPr>
        <w:pStyle w:val="ListBullet"/>
        <w:spacing w:after="40"/>
      </w:pPr>
      <w:r>
        <w:t>Definir criterios de uso del logotipo, color, tipografía, fotografía y composición.</w:t>
      </w:r>
    </w:p>
    <w:p>
      <w:pPr>
        <w:pStyle w:val="ListBullet"/>
        <w:spacing w:after="40"/>
      </w:pPr>
      <w:r>
        <w:t>Establecer plantillas y reglas para campañas, categorías y contenido editorial.</w:t>
      </w:r>
    </w:p>
    <w:p>
      <w:pPr>
        <w:pStyle w:val="ListBullet"/>
        <w:spacing w:after="40"/>
      </w:pPr>
      <w:r>
        <w:t>Evitar inconsistencias, saturación visual y alteraciones del logo.</w:t>
      </w:r>
    </w:p>
    <w:p>
      <w:pPr>
        <w:pStyle w:val="Heading2"/>
      </w:pPr>
      <w:r>
        <w:t>Personalidad visual observada</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Atributo</w:t>
            </w:r>
          </w:p>
        </w:tc>
        <w:tc>
          <w:tcPr>
            <w:tcW w:type="dxa" w:w="5040"/>
            <w:shd w:fill="111111"/>
            <w:vAlign w:val="center"/>
          </w:tcPr>
          <w:p>
            <w:pPr>
              <w:spacing w:after="0"/>
            </w:pPr>
            <w:r/>
            <w:r>
              <w:rPr>
                <w:rFonts w:ascii="Aptos" w:hAnsi="Aptos"/>
                <w:b/>
                <w:color w:val="FFFFFF"/>
                <w:sz w:val="18"/>
              </w:rPr>
              <w:t>Cómo se expresa visualmente</w:t>
            </w:r>
          </w:p>
        </w:tc>
      </w:tr>
      <w:tr>
        <w:tc>
          <w:tcPr>
            <w:tcW w:type="dxa" w:w="5040"/>
            <w:shd w:fill="F6F6F6"/>
            <w:vAlign w:val="center"/>
          </w:tcPr>
          <w:p>
            <w:pPr>
              <w:spacing w:after="0"/>
            </w:pPr>
            <w:r/>
            <w:r>
              <w:rPr>
                <w:rFonts w:ascii="Aptos" w:hAnsi="Aptos"/>
                <w:b w:val="0"/>
                <w:color w:val="111111"/>
                <w:sz w:val="17"/>
              </w:rPr>
              <w:t>Urbana y contemporánea</w:t>
            </w:r>
          </w:p>
        </w:tc>
        <w:tc>
          <w:tcPr>
            <w:tcW w:type="dxa" w:w="5040"/>
            <w:shd w:fill="F6F6F6"/>
            <w:vAlign w:val="center"/>
          </w:tcPr>
          <w:p>
            <w:pPr>
              <w:spacing w:after="0"/>
            </w:pPr>
            <w:r/>
            <w:r>
              <w:rPr>
                <w:rFonts w:ascii="Aptos" w:hAnsi="Aptos"/>
                <w:b w:val="0"/>
                <w:color w:val="111111"/>
                <w:sz w:val="17"/>
              </w:rPr>
              <w:t>Fondos oscuros, productos tecnológicos y composición de alto contraste.</w:t>
            </w:r>
          </w:p>
        </w:tc>
      </w:tr>
      <w:tr>
        <w:tc>
          <w:tcPr>
            <w:tcW w:type="dxa" w:w="5040"/>
            <w:vAlign w:val="center"/>
          </w:tcPr>
          <w:p>
            <w:pPr>
              <w:spacing w:after="0"/>
            </w:pPr>
            <w:r/>
            <w:r>
              <w:rPr>
                <w:rFonts w:ascii="Aptos" w:hAnsi="Aptos"/>
                <w:b w:val="0"/>
                <w:color w:val="111111"/>
                <w:sz w:val="17"/>
              </w:rPr>
              <w:t>Enérgica</w:t>
            </w:r>
          </w:p>
        </w:tc>
        <w:tc>
          <w:tcPr>
            <w:tcW w:type="dxa" w:w="5040"/>
            <w:vAlign w:val="center"/>
          </w:tcPr>
          <w:p>
            <w:pPr>
              <w:spacing w:after="0"/>
            </w:pPr>
            <w:r/>
            <w:r>
              <w:rPr>
                <w:rFonts w:ascii="Aptos" w:hAnsi="Aptos"/>
                <w:b w:val="0"/>
                <w:color w:val="111111"/>
                <w:sz w:val="17"/>
              </w:rPr>
              <w:t>Naranjas, amarillos, titulares grandes y banners promocionales intensos.</w:t>
            </w:r>
          </w:p>
        </w:tc>
      </w:tr>
      <w:tr>
        <w:tc>
          <w:tcPr>
            <w:tcW w:type="dxa" w:w="5040"/>
            <w:shd w:fill="F6F6F6"/>
            <w:vAlign w:val="center"/>
          </w:tcPr>
          <w:p>
            <w:pPr>
              <w:spacing w:after="0"/>
            </w:pPr>
            <w:r/>
            <w:r>
              <w:rPr>
                <w:rFonts w:ascii="Aptos" w:hAnsi="Aptos"/>
                <w:b w:val="0"/>
                <w:color w:val="111111"/>
                <w:sz w:val="17"/>
              </w:rPr>
              <w:t>Producto protagonista</w:t>
            </w:r>
          </w:p>
        </w:tc>
        <w:tc>
          <w:tcPr>
            <w:tcW w:type="dxa" w:w="5040"/>
            <w:shd w:fill="F6F6F6"/>
            <w:vAlign w:val="center"/>
          </w:tcPr>
          <w:p>
            <w:pPr>
              <w:spacing w:after="0"/>
            </w:pPr>
            <w:r/>
            <w:r>
              <w:rPr>
                <w:rFonts w:ascii="Aptos" w:hAnsi="Aptos"/>
                <w:b w:val="0"/>
                <w:color w:val="111111"/>
                <w:sz w:val="17"/>
              </w:rPr>
              <w:t>Fotografías aisladas, renders y composiciones donde el dispositivo domina el espacio.</w:t>
            </w:r>
          </w:p>
        </w:tc>
      </w:tr>
      <w:tr>
        <w:tc>
          <w:tcPr>
            <w:tcW w:type="dxa" w:w="5040"/>
            <w:vAlign w:val="center"/>
          </w:tcPr>
          <w:p>
            <w:pPr>
              <w:spacing w:after="0"/>
            </w:pPr>
            <w:r/>
            <w:r>
              <w:rPr>
                <w:rFonts w:ascii="Aptos" w:hAnsi="Aptos"/>
                <w:b w:val="0"/>
                <w:color w:val="111111"/>
                <w:sz w:val="17"/>
              </w:rPr>
              <w:t>Digital y experimental</w:t>
            </w:r>
          </w:p>
        </w:tc>
        <w:tc>
          <w:tcPr>
            <w:tcW w:type="dxa" w:w="5040"/>
            <w:vAlign w:val="center"/>
          </w:tcPr>
          <w:p>
            <w:pPr>
              <w:spacing w:after="0"/>
            </w:pPr>
            <w:r/>
            <w:r>
              <w:rPr>
                <w:rFonts w:ascii="Aptos" w:hAnsi="Aptos"/>
                <w:b w:val="0"/>
                <w:color w:val="111111"/>
                <w:sz w:val="17"/>
              </w:rPr>
              <w:t>Acentos turquesa, humo, brillos, partículas y recursos visuales de estética tecnológica.</w:t>
            </w:r>
          </w:p>
        </w:tc>
      </w:tr>
      <w:tr>
        <w:tc>
          <w:tcPr>
            <w:tcW w:type="dxa" w:w="5040"/>
            <w:shd w:fill="F6F6F6"/>
            <w:vAlign w:val="center"/>
          </w:tcPr>
          <w:p>
            <w:pPr>
              <w:spacing w:after="0"/>
            </w:pPr>
            <w:r/>
            <w:r>
              <w:rPr>
                <w:rFonts w:ascii="Aptos" w:hAnsi="Aptos"/>
                <w:b w:val="0"/>
                <w:color w:val="111111"/>
                <w:sz w:val="17"/>
              </w:rPr>
              <w:t>Comercial</w:t>
            </w:r>
          </w:p>
        </w:tc>
        <w:tc>
          <w:tcPr>
            <w:tcW w:type="dxa" w:w="5040"/>
            <w:shd w:fill="F6F6F6"/>
            <w:vAlign w:val="center"/>
          </w:tcPr>
          <w:p>
            <w:pPr>
              <w:spacing w:after="0"/>
            </w:pPr>
            <w:r/>
            <w:r>
              <w:rPr>
                <w:rFonts w:ascii="Aptos" w:hAnsi="Aptos"/>
                <w:b w:val="0"/>
                <w:color w:val="111111"/>
                <w:sz w:val="17"/>
              </w:rPr>
              <w:t>Bloques de categorías, productos destacados, lo más vendido y llamadas a la acción.</w:t>
            </w:r>
          </w:p>
        </w:tc>
      </w:tr>
    </w:tbl>
    <w:p>
      <w:pPr>
        <w:spacing w:after="20"/>
      </w:pPr>
    </w:p>
    <w:p>
      <w:pPr>
        <w:pStyle w:val="Heading1"/>
      </w:pPr>
      <w:r>
        <w:t>02. Esencia y posicionamiento visual</w:t>
      </w:r>
    </w:p>
    <w:p>
      <w:pPr>
        <w:pStyle w:val="Heading2"/>
      </w:pPr>
      <w:r>
        <w:t>Idea central</w:t>
      </w:r>
    </w:p>
    <w:p>
      <w:r>
        <w:t>Vapor Club se presenta visualmente como una tienda especializada en productos de vapeo con una estética digital, moderna y de fuerte impacto comercial. Su sistema visual combina una base oscura con acentos cálidos y turquesa para separar información, destacar productos y crear contraste.</w:t>
      </w:r>
    </w:p>
    <w:p>
      <w:pPr>
        <w:pStyle w:val="Heading2"/>
      </w:pPr>
      <w:r>
        <w:t>Territorio de marca</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Dimensión</w:t>
            </w:r>
          </w:p>
        </w:tc>
        <w:tc>
          <w:tcPr>
            <w:tcW w:type="dxa" w:w="5040"/>
            <w:shd w:fill="111111"/>
            <w:vAlign w:val="center"/>
          </w:tcPr>
          <w:p>
            <w:pPr>
              <w:spacing w:after="0"/>
            </w:pPr>
            <w:r/>
            <w:r>
              <w:rPr>
                <w:rFonts w:ascii="Aptos" w:hAnsi="Aptos"/>
                <w:b/>
                <w:color w:val="FFFFFF"/>
                <w:sz w:val="18"/>
              </w:rPr>
              <w:t>Directriz</w:t>
            </w:r>
          </w:p>
        </w:tc>
      </w:tr>
      <w:tr>
        <w:tc>
          <w:tcPr>
            <w:tcW w:type="dxa" w:w="5040"/>
            <w:shd w:fill="F6F6F6"/>
            <w:vAlign w:val="center"/>
          </w:tcPr>
          <w:p>
            <w:pPr>
              <w:spacing w:after="0"/>
            </w:pPr>
            <w:r/>
            <w:r>
              <w:rPr>
                <w:rFonts w:ascii="Aptos" w:hAnsi="Aptos"/>
                <w:b w:val="0"/>
                <w:color w:val="111111"/>
                <w:sz w:val="17"/>
              </w:rPr>
              <w:t>Tono visual</w:t>
            </w:r>
          </w:p>
        </w:tc>
        <w:tc>
          <w:tcPr>
            <w:tcW w:type="dxa" w:w="5040"/>
            <w:shd w:fill="F6F6F6"/>
            <w:vAlign w:val="center"/>
          </w:tcPr>
          <w:p>
            <w:pPr>
              <w:spacing w:after="0"/>
            </w:pPr>
            <w:r/>
            <w:r>
              <w:rPr>
                <w:rFonts w:ascii="Aptos" w:hAnsi="Aptos"/>
                <w:b w:val="0"/>
                <w:color w:val="111111"/>
                <w:sz w:val="17"/>
              </w:rPr>
              <w:t>Seguro, moderno, directo y visualmente contundente.</w:t>
            </w:r>
          </w:p>
        </w:tc>
      </w:tr>
      <w:tr>
        <w:tc>
          <w:tcPr>
            <w:tcW w:type="dxa" w:w="5040"/>
            <w:vAlign w:val="center"/>
          </w:tcPr>
          <w:p>
            <w:pPr>
              <w:spacing w:after="0"/>
            </w:pPr>
            <w:r/>
            <w:r>
              <w:rPr>
                <w:rFonts w:ascii="Aptos" w:hAnsi="Aptos"/>
                <w:b w:val="0"/>
                <w:color w:val="111111"/>
                <w:sz w:val="17"/>
              </w:rPr>
              <w:t>Jerarquía</w:t>
            </w:r>
          </w:p>
        </w:tc>
        <w:tc>
          <w:tcPr>
            <w:tcW w:type="dxa" w:w="5040"/>
            <w:vAlign w:val="center"/>
          </w:tcPr>
          <w:p>
            <w:pPr>
              <w:spacing w:after="0"/>
            </w:pPr>
            <w:r/>
            <w:r>
              <w:rPr>
                <w:rFonts w:ascii="Aptos" w:hAnsi="Aptos"/>
                <w:b w:val="0"/>
                <w:color w:val="111111"/>
                <w:sz w:val="17"/>
              </w:rPr>
              <w:t>Primero el producto o la campaña; después el título; finalmente la información secundaria.</w:t>
            </w:r>
          </w:p>
        </w:tc>
      </w:tr>
      <w:tr>
        <w:tc>
          <w:tcPr>
            <w:tcW w:type="dxa" w:w="5040"/>
            <w:shd w:fill="F6F6F6"/>
            <w:vAlign w:val="center"/>
          </w:tcPr>
          <w:p>
            <w:pPr>
              <w:spacing w:after="0"/>
            </w:pPr>
            <w:r/>
            <w:r>
              <w:rPr>
                <w:rFonts w:ascii="Aptos" w:hAnsi="Aptos"/>
                <w:b w:val="0"/>
                <w:color w:val="111111"/>
                <w:sz w:val="17"/>
              </w:rPr>
              <w:t>Ritmo</w:t>
            </w:r>
          </w:p>
        </w:tc>
        <w:tc>
          <w:tcPr>
            <w:tcW w:type="dxa" w:w="5040"/>
            <w:shd w:fill="F6F6F6"/>
            <w:vAlign w:val="center"/>
          </w:tcPr>
          <w:p>
            <w:pPr>
              <w:spacing w:after="0"/>
            </w:pPr>
            <w:r/>
            <w:r>
              <w:rPr>
                <w:rFonts w:ascii="Aptos" w:hAnsi="Aptos"/>
                <w:b w:val="0"/>
                <w:color w:val="111111"/>
                <w:sz w:val="17"/>
              </w:rPr>
              <w:t>Alternar áreas limpias de producto con banners de campaña más intensos.</w:t>
            </w:r>
          </w:p>
        </w:tc>
      </w:tr>
      <w:tr>
        <w:tc>
          <w:tcPr>
            <w:tcW w:type="dxa" w:w="5040"/>
            <w:vAlign w:val="center"/>
          </w:tcPr>
          <w:p>
            <w:pPr>
              <w:spacing w:after="0"/>
            </w:pPr>
            <w:r/>
            <w:r>
              <w:rPr>
                <w:rFonts w:ascii="Aptos" w:hAnsi="Aptos"/>
                <w:b w:val="0"/>
                <w:color w:val="111111"/>
                <w:sz w:val="17"/>
              </w:rPr>
              <w:t>Sensación</w:t>
            </w:r>
          </w:p>
        </w:tc>
        <w:tc>
          <w:tcPr>
            <w:tcW w:type="dxa" w:w="5040"/>
            <w:vAlign w:val="center"/>
          </w:tcPr>
          <w:p>
            <w:pPr>
              <w:spacing w:after="0"/>
            </w:pPr>
            <w:r/>
            <w:r>
              <w:rPr>
                <w:rFonts w:ascii="Aptos" w:hAnsi="Aptos"/>
                <w:b w:val="0"/>
                <w:color w:val="111111"/>
                <w:sz w:val="17"/>
              </w:rPr>
              <w:t>Tecnología, energía, novedad y cultura visual urbana.</w:t>
            </w:r>
          </w:p>
        </w:tc>
      </w:tr>
    </w:tbl>
    <w:p>
      <w:pPr>
        <w:spacing w:after="20"/>
      </w:pPr>
    </w:p>
    <w:p>
      <w:pPr>
        <w:pStyle w:val="Heading2"/>
      </w:pPr>
      <w:r>
        <w:t>Principios de diseño</w:t>
      </w:r>
    </w:p>
    <w:p>
      <w:pPr>
        <w:pStyle w:val="ListBullet"/>
        <w:spacing w:after="40"/>
      </w:pPr>
      <w:r>
        <w:t>Contraste antes que decoración: el texto debe leerse de inmediato.</w:t>
      </w:r>
    </w:p>
    <w:p>
      <w:pPr>
        <w:pStyle w:val="ListBullet"/>
        <w:spacing w:after="40"/>
      </w:pPr>
      <w:r>
        <w:t>Un mensaje principal por pieza: evitar acumular titulares, sellos y beneficios.</w:t>
      </w:r>
    </w:p>
    <w:p>
      <w:pPr>
        <w:pStyle w:val="ListBullet"/>
        <w:spacing w:after="40"/>
      </w:pPr>
      <w:r>
        <w:t>El producto debe conservar forma, color y proporciones reales.</w:t>
      </w:r>
    </w:p>
    <w:p>
      <w:pPr>
        <w:pStyle w:val="ListBullet"/>
        <w:spacing w:after="40"/>
      </w:pPr>
      <w:r>
        <w:t>Usar efectos —humo, luz, partículas— como apoyo y no como sustituto del producto.</w:t>
      </w:r>
    </w:p>
    <w:p>
      <w:pPr>
        <w:pStyle w:val="ListBullet"/>
        <w:spacing w:after="40"/>
      </w:pPr>
      <w:r>
        <w:t>Mantener consistencia en botones, márgenes, titulares y colores de acento.</w:t>
      </w:r>
    </w:p>
    <w:p>
      <w:pPr>
        <w:pStyle w:val="Heading1"/>
      </w:pPr>
      <w:r>
        <w:t>03. Logotipo</w:t>
      </w:r>
    </w:p>
    <w:p>
      <w:r>
        <w:t>En la zona inferior de la captura se aprecia una firma gráfica de estilo caligráfico/ornamental sobre un fondo oscuro. Por la resolución disponible no es posible confirmar todas las letras, el símbolo ni la construcción exacta. El logotipo oficial debe tomarse del archivo maestro de la empresa; no debe redibujarse a partir de esta captura.</w:t>
      </w:r>
    </w:p>
    <w:p>
      <w:pPr>
        <w:pStyle w:val="Heading2"/>
      </w:pPr>
      <w:r>
        <w:t>Versiones recomendadas para el sistema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111"/>
            <w:vAlign w:val="center"/>
          </w:tcPr>
          <w:p>
            <w:pPr>
              <w:spacing w:after="0"/>
            </w:pPr>
            <w:r/>
            <w:r>
              <w:rPr>
                <w:rFonts w:ascii="Aptos" w:hAnsi="Aptos"/>
                <w:b/>
                <w:color w:val="FFFFFF"/>
                <w:sz w:val="18"/>
              </w:rPr>
              <w:t>Versión</w:t>
            </w:r>
          </w:p>
        </w:tc>
        <w:tc>
          <w:tcPr>
            <w:tcW w:type="dxa" w:w="3360"/>
            <w:shd w:fill="111111"/>
            <w:vAlign w:val="center"/>
          </w:tcPr>
          <w:p>
            <w:pPr>
              <w:spacing w:after="0"/>
            </w:pPr>
            <w:r/>
            <w:r>
              <w:rPr>
                <w:rFonts w:ascii="Aptos" w:hAnsi="Aptos"/>
                <w:b/>
                <w:color w:val="FFFFFF"/>
                <w:sz w:val="18"/>
              </w:rPr>
              <w:t>Uso recomendado</w:t>
            </w:r>
          </w:p>
        </w:tc>
        <w:tc>
          <w:tcPr>
            <w:tcW w:type="dxa" w:w="3360"/>
            <w:shd w:fill="111111"/>
            <w:vAlign w:val="center"/>
          </w:tcPr>
          <w:p>
            <w:pPr>
              <w:spacing w:after="0"/>
            </w:pPr>
            <w:r/>
            <w:r>
              <w:rPr>
                <w:rFonts w:ascii="Aptos" w:hAnsi="Aptos"/>
                <w:b/>
                <w:color w:val="FFFFFF"/>
                <w:sz w:val="18"/>
              </w:rPr>
              <w:t>Condición</w:t>
            </w:r>
          </w:p>
        </w:tc>
      </w:tr>
      <w:tr>
        <w:tc>
          <w:tcPr>
            <w:tcW w:type="dxa" w:w="3360"/>
            <w:shd w:fill="F6F6F6"/>
            <w:vAlign w:val="center"/>
          </w:tcPr>
          <w:p>
            <w:pPr>
              <w:spacing w:after="0"/>
            </w:pPr>
            <w:r/>
            <w:r>
              <w:rPr>
                <w:rFonts w:ascii="Aptos" w:hAnsi="Aptos"/>
                <w:b w:val="0"/>
                <w:color w:val="111111"/>
                <w:sz w:val="17"/>
              </w:rPr>
              <w:t>Principal a color</w:t>
            </w:r>
          </w:p>
        </w:tc>
        <w:tc>
          <w:tcPr>
            <w:tcW w:type="dxa" w:w="3360"/>
            <w:shd w:fill="F6F6F6"/>
            <w:vAlign w:val="center"/>
          </w:tcPr>
          <w:p>
            <w:pPr>
              <w:spacing w:after="0"/>
            </w:pPr>
            <w:r/>
            <w:r>
              <w:rPr>
                <w:rFonts w:ascii="Aptos" w:hAnsi="Aptos"/>
                <w:b w:val="0"/>
                <w:color w:val="111111"/>
                <w:sz w:val="17"/>
              </w:rPr>
              <w:t>Web, redes sociales y piezas promocionales.</w:t>
            </w:r>
          </w:p>
        </w:tc>
        <w:tc>
          <w:tcPr>
            <w:tcW w:type="dxa" w:w="3360"/>
            <w:shd w:fill="F6F6F6"/>
            <w:vAlign w:val="center"/>
          </w:tcPr>
          <w:p>
            <w:pPr>
              <w:spacing w:after="0"/>
            </w:pPr>
            <w:r/>
            <w:r>
              <w:rPr>
                <w:rFonts w:ascii="Aptos" w:hAnsi="Aptos"/>
                <w:b w:val="0"/>
                <w:color w:val="111111"/>
                <w:sz w:val="17"/>
              </w:rPr>
              <w:t>Usar el archivo oficial sin alterar sus tonos.</w:t>
            </w:r>
          </w:p>
        </w:tc>
      </w:tr>
      <w:tr>
        <w:tc>
          <w:tcPr>
            <w:tcW w:type="dxa" w:w="3360"/>
            <w:vAlign w:val="center"/>
          </w:tcPr>
          <w:p>
            <w:pPr>
              <w:spacing w:after="0"/>
            </w:pPr>
            <w:r/>
            <w:r>
              <w:rPr>
                <w:rFonts w:ascii="Aptos" w:hAnsi="Aptos"/>
                <w:b w:val="0"/>
                <w:color w:val="111111"/>
                <w:sz w:val="17"/>
              </w:rPr>
              <w:t>Monocromática clara</w:t>
            </w:r>
          </w:p>
        </w:tc>
        <w:tc>
          <w:tcPr>
            <w:tcW w:type="dxa" w:w="3360"/>
            <w:vAlign w:val="center"/>
          </w:tcPr>
          <w:p>
            <w:pPr>
              <w:spacing w:after="0"/>
            </w:pPr>
            <w:r/>
            <w:r>
              <w:rPr>
                <w:rFonts w:ascii="Aptos" w:hAnsi="Aptos"/>
                <w:b w:val="0"/>
                <w:color w:val="111111"/>
                <w:sz w:val="17"/>
              </w:rPr>
              <w:t>Pie de página, fondos negros o fotografías oscuras.</w:t>
            </w:r>
          </w:p>
        </w:tc>
        <w:tc>
          <w:tcPr>
            <w:tcW w:type="dxa" w:w="3360"/>
            <w:vAlign w:val="center"/>
          </w:tcPr>
          <w:p>
            <w:pPr>
              <w:spacing w:after="0"/>
            </w:pPr>
            <w:r/>
            <w:r>
              <w:rPr>
                <w:rFonts w:ascii="Aptos" w:hAnsi="Aptos"/>
                <w:b w:val="0"/>
                <w:color w:val="111111"/>
                <w:sz w:val="17"/>
              </w:rPr>
              <w:t>Blanco o tono claro uniforme.</w:t>
            </w:r>
          </w:p>
        </w:tc>
      </w:tr>
      <w:tr>
        <w:tc>
          <w:tcPr>
            <w:tcW w:type="dxa" w:w="3360"/>
            <w:shd w:fill="F6F6F6"/>
            <w:vAlign w:val="center"/>
          </w:tcPr>
          <w:p>
            <w:pPr>
              <w:spacing w:after="0"/>
            </w:pPr>
            <w:r/>
            <w:r>
              <w:rPr>
                <w:rFonts w:ascii="Aptos" w:hAnsi="Aptos"/>
                <w:b w:val="0"/>
                <w:color w:val="111111"/>
                <w:sz w:val="17"/>
              </w:rPr>
              <w:t>Monocromática oscura</w:t>
            </w:r>
          </w:p>
        </w:tc>
        <w:tc>
          <w:tcPr>
            <w:tcW w:type="dxa" w:w="3360"/>
            <w:shd w:fill="F6F6F6"/>
            <w:vAlign w:val="center"/>
          </w:tcPr>
          <w:p>
            <w:pPr>
              <w:spacing w:after="0"/>
            </w:pPr>
            <w:r/>
            <w:r>
              <w:rPr>
                <w:rFonts w:ascii="Aptos" w:hAnsi="Aptos"/>
                <w:b w:val="0"/>
                <w:color w:val="111111"/>
                <w:sz w:val="17"/>
              </w:rPr>
              <w:t>Documentos y fondos blancos.</w:t>
            </w:r>
          </w:p>
        </w:tc>
        <w:tc>
          <w:tcPr>
            <w:tcW w:type="dxa" w:w="3360"/>
            <w:shd w:fill="F6F6F6"/>
            <w:vAlign w:val="center"/>
          </w:tcPr>
          <w:p>
            <w:pPr>
              <w:spacing w:after="0"/>
            </w:pPr>
            <w:r/>
            <w:r>
              <w:rPr>
                <w:rFonts w:ascii="Aptos" w:hAnsi="Aptos"/>
                <w:b w:val="0"/>
                <w:color w:val="111111"/>
                <w:sz w:val="17"/>
              </w:rPr>
              <w:t>Negro uniforme, solo si existe versión autorizada.</w:t>
            </w:r>
          </w:p>
        </w:tc>
      </w:tr>
      <w:tr>
        <w:tc>
          <w:tcPr>
            <w:tcW w:type="dxa" w:w="3360"/>
            <w:vAlign w:val="center"/>
          </w:tcPr>
          <w:p>
            <w:pPr>
              <w:spacing w:after="0"/>
            </w:pPr>
            <w:r/>
            <w:r>
              <w:rPr>
                <w:rFonts w:ascii="Aptos" w:hAnsi="Aptos"/>
                <w:b w:val="0"/>
                <w:color w:val="111111"/>
                <w:sz w:val="17"/>
              </w:rPr>
              <w:t>Isotipo o versión compacta</w:t>
            </w:r>
          </w:p>
        </w:tc>
        <w:tc>
          <w:tcPr>
            <w:tcW w:type="dxa" w:w="3360"/>
            <w:vAlign w:val="center"/>
          </w:tcPr>
          <w:p>
            <w:pPr>
              <w:spacing w:after="0"/>
            </w:pPr>
            <w:r/>
            <w:r>
              <w:rPr>
                <w:rFonts w:ascii="Aptos" w:hAnsi="Aptos"/>
                <w:b w:val="0"/>
                <w:color w:val="111111"/>
                <w:sz w:val="17"/>
              </w:rPr>
              <w:t>Avatar, favicon y espacios reducidos.</w:t>
            </w:r>
          </w:p>
        </w:tc>
        <w:tc>
          <w:tcPr>
            <w:tcW w:type="dxa" w:w="3360"/>
            <w:vAlign w:val="center"/>
          </w:tcPr>
          <w:p>
            <w:pPr>
              <w:spacing w:after="0"/>
            </w:pPr>
            <w:r/>
            <w:r>
              <w:rPr>
                <w:rFonts w:ascii="Aptos" w:hAnsi="Aptos"/>
                <w:b w:val="0"/>
                <w:color w:val="111111"/>
                <w:sz w:val="17"/>
              </w:rPr>
              <w:t>Solo si la marca dispone de un símbolo oficial independiente.</w:t>
            </w:r>
          </w:p>
        </w:tc>
      </w:tr>
    </w:tbl>
    <w:p>
      <w:pPr>
        <w:spacing w:after="20"/>
      </w:pPr>
    </w:p>
    <w:p>
      <w:pPr>
        <w:pStyle w:val="Heading2"/>
      </w:pPr>
      <w:r>
        <w:t>Área de seguridad</w:t>
      </w:r>
    </w:p>
    <w:p>
      <w:r>
        <w:t>Como regla provisional, dejar alrededor del logotipo un margen mínimo equivalente a la altura de la letra inicial o al 15 % del ancho del logo, aplicando el criterio más conservador. Ningún texto, borde, producto ni botón debe invadir esa zona. Cuando se obtenga el archivo maestro, se recomienda fijar el área de seguridad mediante una unidad “X” definida por una parte estable del propio logo.</w:t>
      </w:r>
    </w:p>
    <w:p>
      <w:pPr>
        <w:pStyle w:val="Heading2"/>
      </w:pPr>
      <w:r>
        <w:t>Tamaño mínimo</w:t>
      </w:r>
    </w:p>
    <w:p>
      <w:pPr>
        <w:pStyle w:val="ListBullet"/>
        <w:spacing w:after="40"/>
      </w:pPr>
      <w:r>
        <w:t>Digital: evitar que la versión completa se muestre por debajo de 120 px de ancho; comprobar la legibilidad real en móvil.</w:t>
      </w:r>
    </w:p>
    <w:p>
      <w:pPr>
        <w:pStyle w:val="ListBullet"/>
        <w:spacing w:after="40"/>
      </w:pPr>
      <w:r>
        <w:t>Impresión: como punto de partida, 25 mm de ancho para la versión completa, sujeto a prueba de reproducción.</w:t>
      </w:r>
    </w:p>
    <w:p>
      <w:pPr>
        <w:pStyle w:val="Heading2"/>
      </w:pPr>
      <w:r>
        <w:t>Usos incorrectos</w:t>
      </w:r>
    </w:p>
    <w:p>
      <w:pPr>
        <w:pStyle w:val="ListBullet"/>
        <w:spacing w:after="40"/>
      </w:pPr>
      <w:r>
        <w:t>No estirar, comprimir, inclinar ni rotar el logo.</w:t>
      </w:r>
    </w:p>
    <w:p>
      <w:pPr>
        <w:pStyle w:val="ListBullet"/>
        <w:spacing w:after="40"/>
      </w:pPr>
      <w:r>
        <w:t>No reconstruir letras ni cambiar la tipografía del logotipo.</w:t>
      </w:r>
    </w:p>
    <w:p>
      <w:pPr>
        <w:pStyle w:val="ListBullet"/>
        <w:spacing w:after="40"/>
      </w:pPr>
      <w:r>
        <w:t>No añadir sombras, contornos, biseles o efectos no incluidos en el original.</w:t>
      </w:r>
    </w:p>
    <w:p>
      <w:pPr>
        <w:pStyle w:val="ListBullet"/>
        <w:spacing w:after="40"/>
      </w:pPr>
      <w:r>
        <w:t>No colocarlo sobre fondos que reduzcan el contraste.</w:t>
      </w:r>
    </w:p>
    <w:p>
      <w:pPr>
        <w:pStyle w:val="ListBullet"/>
        <w:spacing w:after="40"/>
      </w:pPr>
      <w:r>
        <w:t>No sustituirlo por texto mecanografiado cuando se disponga del arte oficial.</w:t>
      </w:r>
    </w:p>
    <w:p>
      <w:pPr>
        <w:pStyle w:val="Heading1"/>
      </w:pPr>
      <w:r>
        <w:t>04. Paleta cromática</w:t>
      </w:r>
    </w:p>
    <w:p>
      <w:r>
        <w:t>La web combina una base negra con acentos naranja y amarillo, además de turquesa en algunas categorías y creatividades. Los siguientes valores son aproximaciones visuales para construir una primera guía; no son una extracción certificada del CSS ni de los archivos originales.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1111"/>
            <w:vAlign w:val="center"/>
          </w:tcPr>
          <w:p>
            <w:pPr>
              <w:spacing w:after="0"/>
            </w:pPr>
            <w:r/>
            <w:r>
              <w:rPr>
                <w:rFonts w:ascii="Aptos" w:hAnsi="Aptos"/>
                <w:b/>
                <w:color w:val="FFFFFF"/>
                <w:sz w:val="16"/>
              </w:rPr>
              <w:t>Color</w:t>
            </w:r>
          </w:p>
        </w:tc>
        <w:tc>
          <w:tcPr>
            <w:tcW w:type="dxa" w:w="2520"/>
            <w:shd w:fill="111111"/>
            <w:vAlign w:val="center"/>
          </w:tcPr>
          <w:p>
            <w:pPr>
              <w:spacing w:after="0"/>
            </w:pPr>
            <w:r/>
            <w:r>
              <w:rPr>
                <w:rFonts w:ascii="Aptos" w:hAnsi="Aptos"/>
                <w:b/>
                <w:color w:val="FFFFFF"/>
                <w:sz w:val="16"/>
              </w:rPr>
              <w:t>HEX aproximado</w:t>
            </w:r>
          </w:p>
        </w:tc>
        <w:tc>
          <w:tcPr>
            <w:tcW w:type="dxa" w:w="2520"/>
            <w:shd w:fill="111111"/>
            <w:vAlign w:val="center"/>
          </w:tcPr>
          <w:p>
            <w:pPr>
              <w:spacing w:after="0"/>
            </w:pPr>
            <w:r/>
            <w:r>
              <w:rPr>
                <w:rFonts w:ascii="Aptos" w:hAnsi="Aptos"/>
                <w:b/>
                <w:color w:val="FFFFFF"/>
                <w:sz w:val="16"/>
              </w:rPr>
              <w:t>RGB</w:t>
            </w:r>
          </w:p>
        </w:tc>
        <w:tc>
          <w:tcPr>
            <w:tcW w:type="dxa" w:w="2520"/>
            <w:shd w:fill="111111"/>
            <w:vAlign w:val="center"/>
          </w:tcPr>
          <w:p>
            <w:pPr>
              <w:spacing w:after="0"/>
            </w:pPr>
            <w:r/>
            <w:r>
              <w:rPr>
                <w:rFonts w:ascii="Aptos" w:hAnsi="Aptos"/>
                <w:b/>
                <w:color w:val="FFFFFF"/>
                <w:sz w:val="16"/>
              </w:rPr>
              <w:t>Uso</w:t>
            </w:r>
          </w:p>
        </w:tc>
      </w:tr>
      <w:tr>
        <w:tc>
          <w:tcPr>
            <w:tcW w:type="dxa" w:w="2520"/>
            <w:shd w:fill="111111"/>
            <w:vAlign w:val="center"/>
          </w:tcPr>
          <w:p>
            <w:pPr>
              <w:spacing w:after="0"/>
            </w:pPr>
            <w:r/>
            <w:r>
              <w:rPr>
                <w:rFonts w:ascii="Aptos" w:hAnsi="Aptos"/>
                <w:b/>
                <w:color w:val="FFFFFF"/>
                <w:sz w:val="16"/>
              </w:rPr>
              <w:t>Negro carbón</w:t>
            </w:r>
          </w:p>
        </w:tc>
        <w:tc>
          <w:tcPr>
            <w:tcW w:type="dxa" w:w="2520"/>
            <w:vAlign w:val="center"/>
          </w:tcPr>
          <w:p>
            <w:pPr>
              <w:spacing w:after="0"/>
            </w:pPr>
            <w:r/>
            <w:r>
              <w:rPr>
                <w:rFonts w:ascii="Aptos" w:hAnsi="Aptos"/>
                <w:b/>
                <w:color w:val="111111"/>
                <w:sz w:val="16"/>
              </w:rPr>
              <w:t>#111111</w:t>
            </w:r>
          </w:p>
        </w:tc>
        <w:tc>
          <w:tcPr>
            <w:tcW w:type="dxa" w:w="2520"/>
            <w:vAlign w:val="center"/>
          </w:tcPr>
          <w:p>
            <w:pPr>
              <w:spacing w:after="0"/>
            </w:pPr>
            <w:r/>
            <w:r>
              <w:rPr>
                <w:rFonts w:ascii="Aptos" w:hAnsi="Aptos"/>
                <w:b w:val="0"/>
                <w:color w:val="111111"/>
                <w:sz w:val="16"/>
              </w:rPr>
              <w:t>17, 17, 17</w:t>
            </w:r>
          </w:p>
        </w:tc>
        <w:tc>
          <w:tcPr>
            <w:tcW w:type="dxa" w:w="2520"/>
            <w:vAlign w:val="center"/>
          </w:tcPr>
          <w:p>
            <w:pPr>
              <w:spacing w:after="0"/>
            </w:pPr>
            <w:r/>
            <w:r>
              <w:rPr>
                <w:rFonts w:ascii="Aptos" w:hAnsi="Aptos"/>
                <w:b w:val="0"/>
                <w:color w:val="111111"/>
                <w:sz w:val="16"/>
              </w:rPr>
              <w:t>Fondos oscuros, footer, contraste y piezas premium.</w:t>
            </w:r>
          </w:p>
        </w:tc>
      </w:tr>
      <w:tr>
        <w:tc>
          <w:tcPr>
            <w:tcW w:type="dxa" w:w="2520"/>
            <w:shd w:fill="F36B21"/>
            <w:vAlign w:val="center"/>
          </w:tcPr>
          <w:p>
            <w:pPr>
              <w:spacing w:after="0"/>
            </w:pPr>
            <w:r/>
            <w:r>
              <w:rPr>
                <w:rFonts w:ascii="Aptos" w:hAnsi="Aptos"/>
                <w:b/>
                <w:color w:val="FFFFFF"/>
                <w:sz w:val="16"/>
              </w:rPr>
              <w:t>Naranja Vapor</w:t>
            </w:r>
          </w:p>
        </w:tc>
        <w:tc>
          <w:tcPr>
            <w:tcW w:type="dxa" w:w="2520"/>
            <w:vAlign w:val="center"/>
          </w:tcPr>
          <w:p>
            <w:pPr>
              <w:spacing w:after="0"/>
            </w:pPr>
            <w:r/>
            <w:r>
              <w:rPr>
                <w:rFonts w:ascii="Aptos" w:hAnsi="Aptos"/>
                <w:b/>
                <w:color w:val="111111"/>
                <w:sz w:val="16"/>
              </w:rPr>
              <w:t>#F36B21</w:t>
            </w:r>
          </w:p>
        </w:tc>
        <w:tc>
          <w:tcPr>
            <w:tcW w:type="dxa" w:w="2520"/>
            <w:vAlign w:val="center"/>
          </w:tcPr>
          <w:p>
            <w:pPr>
              <w:spacing w:after="0"/>
            </w:pPr>
            <w:r/>
            <w:r>
              <w:rPr>
                <w:rFonts w:ascii="Aptos" w:hAnsi="Aptos"/>
                <w:b w:val="0"/>
                <w:color w:val="111111"/>
                <w:sz w:val="16"/>
              </w:rPr>
              <w:t>243, 107, 33</w:t>
            </w:r>
          </w:p>
        </w:tc>
        <w:tc>
          <w:tcPr>
            <w:tcW w:type="dxa" w:w="2520"/>
            <w:vAlign w:val="center"/>
          </w:tcPr>
          <w:p>
            <w:pPr>
              <w:spacing w:after="0"/>
            </w:pPr>
            <w:r/>
            <w:r>
              <w:rPr>
                <w:rFonts w:ascii="Aptos" w:hAnsi="Aptos"/>
                <w:b w:val="0"/>
                <w:color w:val="111111"/>
                <w:sz w:val="16"/>
              </w:rPr>
              <w:t>CTA, titulares de campaña, etiquetas y énfasis.</w:t>
            </w:r>
          </w:p>
        </w:tc>
      </w:tr>
      <w:tr>
        <w:tc>
          <w:tcPr>
            <w:tcW w:type="dxa" w:w="2520"/>
            <w:shd w:fill="FFC629"/>
            <w:vAlign w:val="center"/>
          </w:tcPr>
          <w:p>
            <w:pPr>
              <w:spacing w:after="0"/>
            </w:pPr>
            <w:r/>
            <w:r>
              <w:rPr>
                <w:rFonts w:ascii="Aptos" w:hAnsi="Aptos"/>
                <w:b/>
                <w:color w:val="111111"/>
                <w:sz w:val="16"/>
              </w:rPr>
              <w:t>Amarillo eléctrico</w:t>
            </w:r>
          </w:p>
        </w:tc>
        <w:tc>
          <w:tcPr>
            <w:tcW w:type="dxa" w:w="2520"/>
            <w:vAlign w:val="center"/>
          </w:tcPr>
          <w:p>
            <w:pPr>
              <w:spacing w:after="0"/>
            </w:pPr>
            <w:r/>
            <w:r>
              <w:rPr>
                <w:rFonts w:ascii="Aptos" w:hAnsi="Aptos"/>
                <w:b/>
                <w:color w:val="111111"/>
                <w:sz w:val="16"/>
              </w:rPr>
              <w:t>#FFC629</w:t>
            </w:r>
          </w:p>
        </w:tc>
        <w:tc>
          <w:tcPr>
            <w:tcW w:type="dxa" w:w="2520"/>
            <w:vAlign w:val="center"/>
          </w:tcPr>
          <w:p>
            <w:pPr>
              <w:spacing w:after="0"/>
            </w:pPr>
            <w:r/>
            <w:r>
              <w:rPr>
                <w:rFonts w:ascii="Aptos" w:hAnsi="Aptos"/>
                <w:b w:val="0"/>
                <w:color w:val="111111"/>
                <w:sz w:val="16"/>
              </w:rPr>
              <w:t>255, 198, 41</w:t>
            </w:r>
          </w:p>
        </w:tc>
        <w:tc>
          <w:tcPr>
            <w:tcW w:type="dxa" w:w="2520"/>
            <w:vAlign w:val="center"/>
          </w:tcPr>
          <w:p>
            <w:pPr>
              <w:spacing w:after="0"/>
            </w:pPr>
            <w:r/>
            <w:r>
              <w:rPr>
                <w:rFonts w:ascii="Aptos" w:hAnsi="Aptos"/>
                <w:b w:val="0"/>
                <w:color w:val="111111"/>
                <w:sz w:val="16"/>
              </w:rPr>
              <w:t>Promociones, categoría THC y acentos de energía.</w:t>
            </w:r>
          </w:p>
        </w:tc>
      </w:tr>
      <w:tr>
        <w:tc>
          <w:tcPr>
            <w:tcW w:type="dxa" w:w="2520"/>
            <w:shd w:fill="00CFCB"/>
            <w:vAlign w:val="center"/>
          </w:tcPr>
          <w:p>
            <w:pPr>
              <w:spacing w:after="0"/>
            </w:pPr>
            <w:r/>
            <w:r>
              <w:rPr>
                <w:rFonts w:ascii="Aptos" w:hAnsi="Aptos"/>
                <w:b/>
                <w:color w:val="111111"/>
                <w:sz w:val="16"/>
              </w:rPr>
              <w:t>Turquesa digital</w:t>
            </w:r>
          </w:p>
        </w:tc>
        <w:tc>
          <w:tcPr>
            <w:tcW w:type="dxa" w:w="2520"/>
            <w:vAlign w:val="center"/>
          </w:tcPr>
          <w:p>
            <w:pPr>
              <w:spacing w:after="0"/>
            </w:pPr>
            <w:r/>
            <w:r>
              <w:rPr>
                <w:rFonts w:ascii="Aptos" w:hAnsi="Aptos"/>
                <w:b/>
                <w:color w:val="111111"/>
                <w:sz w:val="16"/>
              </w:rPr>
              <w:t>#00CFCB</w:t>
            </w:r>
          </w:p>
        </w:tc>
        <w:tc>
          <w:tcPr>
            <w:tcW w:type="dxa" w:w="2520"/>
            <w:vAlign w:val="center"/>
          </w:tcPr>
          <w:p>
            <w:pPr>
              <w:spacing w:after="0"/>
            </w:pPr>
            <w:r/>
            <w:r>
              <w:rPr>
                <w:rFonts w:ascii="Aptos" w:hAnsi="Aptos"/>
                <w:b w:val="0"/>
                <w:color w:val="111111"/>
                <w:sz w:val="16"/>
              </w:rPr>
              <w:t>0, 207, 203</w:t>
            </w:r>
          </w:p>
        </w:tc>
        <w:tc>
          <w:tcPr>
            <w:tcW w:type="dxa" w:w="2520"/>
            <w:vAlign w:val="center"/>
          </w:tcPr>
          <w:p>
            <w:pPr>
              <w:spacing w:after="0"/>
            </w:pPr>
            <w:r/>
            <w:r>
              <w:rPr>
                <w:rFonts w:ascii="Aptos" w:hAnsi="Aptos"/>
                <w:b w:val="0"/>
                <w:color w:val="111111"/>
                <w:sz w:val="16"/>
              </w:rPr>
              <w:t>Categorías, recursos tecnológicos y contraste frío.</w:t>
            </w:r>
          </w:p>
        </w:tc>
      </w:tr>
      <w:tr>
        <w:tc>
          <w:tcPr>
            <w:tcW w:type="dxa" w:w="2520"/>
            <w:shd w:fill="FFFFFF"/>
            <w:vAlign w:val="center"/>
          </w:tcPr>
          <w:p>
            <w:pPr>
              <w:spacing w:after="0"/>
            </w:pPr>
            <w:r/>
            <w:r>
              <w:rPr>
                <w:rFonts w:ascii="Aptos" w:hAnsi="Aptos"/>
                <w:b/>
                <w:color w:val="111111"/>
                <w:sz w:val="16"/>
              </w:rPr>
              <w:t>Blanco</w:t>
            </w:r>
          </w:p>
        </w:tc>
        <w:tc>
          <w:tcPr>
            <w:tcW w:type="dxa" w:w="2520"/>
            <w:vAlign w:val="center"/>
          </w:tcPr>
          <w:p>
            <w:pPr>
              <w:spacing w:after="0"/>
            </w:pPr>
            <w:r/>
            <w:r>
              <w:rPr>
                <w:rFonts w:ascii="Aptos" w:hAnsi="Aptos"/>
                <w:b/>
                <w:color w:val="111111"/>
                <w:sz w:val="16"/>
              </w:rPr>
              <w:t>#FFFFFF</w:t>
            </w:r>
          </w:p>
        </w:tc>
        <w:tc>
          <w:tcPr>
            <w:tcW w:type="dxa" w:w="2520"/>
            <w:vAlign w:val="center"/>
          </w:tcPr>
          <w:p>
            <w:pPr>
              <w:spacing w:after="0"/>
            </w:pPr>
            <w:r/>
            <w:r>
              <w:rPr>
                <w:rFonts w:ascii="Aptos" w:hAnsi="Aptos"/>
                <w:b w:val="0"/>
                <w:color w:val="111111"/>
                <w:sz w:val="16"/>
              </w:rPr>
              <w:t>255, 255, 255</w:t>
            </w:r>
          </w:p>
        </w:tc>
        <w:tc>
          <w:tcPr>
            <w:tcW w:type="dxa" w:w="2520"/>
            <w:vAlign w:val="center"/>
          </w:tcPr>
          <w:p>
            <w:pPr>
              <w:spacing w:after="0"/>
            </w:pPr>
            <w:r/>
            <w:r>
              <w:rPr>
                <w:rFonts w:ascii="Aptos" w:hAnsi="Aptos"/>
                <w:b w:val="0"/>
                <w:color w:val="111111"/>
                <w:sz w:val="16"/>
              </w:rPr>
              <w:t>Fondos limpios, texto sobre oscuro y espacios de descanso.</w:t>
            </w:r>
          </w:p>
        </w:tc>
      </w:tr>
      <w:tr>
        <w:tc>
          <w:tcPr>
            <w:tcW w:type="dxa" w:w="2520"/>
            <w:shd w:fill="666666"/>
            <w:vAlign w:val="center"/>
          </w:tcPr>
          <w:p>
            <w:pPr>
              <w:spacing w:after="0"/>
            </w:pPr>
            <w:r/>
            <w:r>
              <w:rPr>
                <w:rFonts w:ascii="Aptos" w:hAnsi="Aptos"/>
                <w:b/>
                <w:color w:val="FFFFFF"/>
                <w:sz w:val="16"/>
              </w:rPr>
              <w:t>Gris de texto</w:t>
            </w:r>
          </w:p>
        </w:tc>
        <w:tc>
          <w:tcPr>
            <w:tcW w:type="dxa" w:w="2520"/>
            <w:vAlign w:val="center"/>
          </w:tcPr>
          <w:p>
            <w:pPr>
              <w:spacing w:after="0"/>
            </w:pPr>
            <w:r/>
            <w:r>
              <w:rPr>
                <w:rFonts w:ascii="Aptos" w:hAnsi="Aptos"/>
                <w:b/>
                <w:color w:val="111111"/>
                <w:sz w:val="16"/>
              </w:rPr>
              <w:t>#666666</w:t>
            </w:r>
          </w:p>
        </w:tc>
        <w:tc>
          <w:tcPr>
            <w:tcW w:type="dxa" w:w="2520"/>
            <w:vAlign w:val="center"/>
          </w:tcPr>
          <w:p>
            <w:pPr>
              <w:spacing w:after="0"/>
            </w:pPr>
            <w:r/>
            <w:r>
              <w:rPr>
                <w:rFonts w:ascii="Aptos" w:hAnsi="Aptos"/>
                <w:b w:val="0"/>
                <w:color w:val="111111"/>
                <w:sz w:val="16"/>
              </w:rPr>
              <w:t>102, 102, 102</w:t>
            </w:r>
          </w:p>
        </w:tc>
        <w:tc>
          <w:tcPr>
            <w:tcW w:type="dxa" w:w="2520"/>
            <w:vAlign w:val="center"/>
          </w:tcPr>
          <w:p>
            <w:pPr>
              <w:spacing w:after="0"/>
            </w:pPr>
            <w:r/>
            <w:r>
              <w:rPr>
                <w:rFonts w:ascii="Aptos" w:hAnsi="Aptos"/>
                <w:b w:val="0"/>
                <w:color w:val="111111"/>
                <w:sz w:val="16"/>
              </w:rPr>
              <w:t>Metadatos, descripciones y textos secundarios.</w:t>
            </w:r>
          </w:p>
        </w:tc>
      </w:tr>
      <w:tr>
        <w:tc>
          <w:tcPr>
            <w:tcW w:type="dxa" w:w="2520"/>
            <w:shd w:fill="C92522"/>
            <w:vAlign w:val="center"/>
          </w:tcPr>
          <w:p>
            <w:pPr>
              <w:spacing w:after="0"/>
            </w:pPr>
            <w:r/>
            <w:r>
              <w:rPr>
                <w:rFonts w:ascii="Aptos" w:hAnsi="Aptos"/>
                <w:b/>
                <w:color w:val="FFFFFF"/>
                <w:sz w:val="16"/>
              </w:rPr>
              <w:t>Rojo de apoyo</w:t>
            </w:r>
          </w:p>
        </w:tc>
        <w:tc>
          <w:tcPr>
            <w:tcW w:type="dxa" w:w="2520"/>
            <w:vAlign w:val="center"/>
          </w:tcPr>
          <w:p>
            <w:pPr>
              <w:spacing w:after="0"/>
            </w:pPr>
            <w:r/>
            <w:r>
              <w:rPr>
                <w:rFonts w:ascii="Aptos" w:hAnsi="Aptos"/>
                <w:b/>
                <w:color w:val="111111"/>
                <w:sz w:val="16"/>
              </w:rPr>
              <w:t>#C92522</w:t>
            </w:r>
          </w:p>
        </w:tc>
        <w:tc>
          <w:tcPr>
            <w:tcW w:type="dxa" w:w="2520"/>
            <w:vAlign w:val="center"/>
          </w:tcPr>
          <w:p>
            <w:pPr>
              <w:spacing w:after="0"/>
            </w:pPr>
            <w:r/>
            <w:r>
              <w:rPr>
                <w:rFonts w:ascii="Aptos" w:hAnsi="Aptos"/>
                <w:b w:val="0"/>
                <w:color w:val="111111"/>
                <w:sz w:val="16"/>
              </w:rPr>
              <w:t>201, 37, 34</w:t>
            </w:r>
          </w:p>
        </w:tc>
        <w:tc>
          <w:tcPr>
            <w:tcW w:type="dxa" w:w="2520"/>
            <w:vAlign w:val="center"/>
          </w:tcPr>
          <w:p>
            <w:pPr>
              <w:spacing w:after="0"/>
            </w:pPr>
            <w:r/>
            <w:r>
              <w:rPr>
                <w:rFonts w:ascii="Aptos" w:hAnsi="Aptos"/>
                <w:b w:val="0"/>
                <w:color w:val="111111"/>
                <w:sz w:val="16"/>
              </w:rPr>
              <w:t>Solo para campañas específicas donde ya esté presente.</w:t>
            </w:r>
          </w:p>
        </w:tc>
      </w:tr>
    </w:tbl>
    <w:p/>
    <w:p>
      <w:pPr>
        <w:pStyle w:val="Heading2"/>
      </w:pPr>
      <w:r>
        <w:t>Proporción de uso sugerida</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Color / grupo</w:t>
            </w:r>
          </w:p>
        </w:tc>
        <w:tc>
          <w:tcPr>
            <w:tcW w:type="dxa" w:w="5040"/>
            <w:shd w:fill="111111"/>
            <w:vAlign w:val="center"/>
          </w:tcPr>
          <w:p>
            <w:pPr>
              <w:spacing w:after="0"/>
            </w:pPr>
            <w:r/>
            <w:r>
              <w:rPr>
                <w:rFonts w:ascii="Aptos" w:hAnsi="Aptos"/>
                <w:b/>
                <w:color w:val="FFFFFF"/>
                <w:sz w:val="18"/>
              </w:rPr>
              <w:t>Proporción orientativa</w:t>
            </w:r>
          </w:p>
        </w:tc>
      </w:tr>
      <w:tr>
        <w:tc>
          <w:tcPr>
            <w:tcW w:type="dxa" w:w="5040"/>
            <w:shd w:fill="F6F6F6"/>
            <w:vAlign w:val="center"/>
          </w:tcPr>
          <w:p>
            <w:pPr>
              <w:spacing w:after="0"/>
            </w:pPr>
            <w:r/>
            <w:r>
              <w:rPr>
                <w:rFonts w:ascii="Aptos" w:hAnsi="Aptos"/>
                <w:b w:val="0"/>
                <w:color w:val="111111"/>
                <w:sz w:val="17"/>
              </w:rPr>
              <w:t>Negro, blanco y neutros</w:t>
            </w:r>
          </w:p>
        </w:tc>
        <w:tc>
          <w:tcPr>
            <w:tcW w:type="dxa" w:w="5040"/>
            <w:shd w:fill="F6F6F6"/>
            <w:vAlign w:val="center"/>
          </w:tcPr>
          <w:p>
            <w:pPr>
              <w:spacing w:after="0"/>
            </w:pPr>
            <w:r/>
            <w:r>
              <w:rPr>
                <w:rFonts w:ascii="Aptos" w:hAnsi="Aptos"/>
                <w:b w:val="0"/>
                <w:color w:val="111111"/>
                <w:sz w:val="17"/>
              </w:rPr>
              <w:t>60–70 % del área visual</w:t>
            </w:r>
          </w:p>
        </w:tc>
      </w:tr>
      <w:tr>
        <w:tc>
          <w:tcPr>
            <w:tcW w:type="dxa" w:w="5040"/>
            <w:vAlign w:val="center"/>
          </w:tcPr>
          <w:p>
            <w:pPr>
              <w:spacing w:after="0"/>
            </w:pPr>
            <w:r/>
            <w:r>
              <w:rPr>
                <w:rFonts w:ascii="Aptos" w:hAnsi="Aptos"/>
                <w:b w:val="0"/>
                <w:color w:val="111111"/>
                <w:sz w:val="17"/>
              </w:rPr>
              <w:t>Naranja</w:t>
            </w:r>
          </w:p>
        </w:tc>
        <w:tc>
          <w:tcPr>
            <w:tcW w:type="dxa" w:w="5040"/>
            <w:vAlign w:val="center"/>
          </w:tcPr>
          <w:p>
            <w:pPr>
              <w:spacing w:after="0"/>
            </w:pPr>
            <w:r/>
            <w:r>
              <w:rPr>
                <w:rFonts w:ascii="Aptos" w:hAnsi="Aptos"/>
                <w:b w:val="0"/>
                <w:color w:val="111111"/>
                <w:sz w:val="17"/>
              </w:rPr>
              <w:t>15–20 %</w:t>
            </w:r>
          </w:p>
        </w:tc>
      </w:tr>
      <w:tr>
        <w:tc>
          <w:tcPr>
            <w:tcW w:type="dxa" w:w="5040"/>
            <w:shd w:fill="F6F6F6"/>
            <w:vAlign w:val="center"/>
          </w:tcPr>
          <w:p>
            <w:pPr>
              <w:spacing w:after="0"/>
            </w:pPr>
            <w:r/>
            <w:r>
              <w:rPr>
                <w:rFonts w:ascii="Aptos" w:hAnsi="Aptos"/>
                <w:b w:val="0"/>
                <w:color w:val="111111"/>
                <w:sz w:val="17"/>
              </w:rPr>
              <w:t>Amarillo</w:t>
            </w:r>
          </w:p>
        </w:tc>
        <w:tc>
          <w:tcPr>
            <w:tcW w:type="dxa" w:w="5040"/>
            <w:shd w:fill="F6F6F6"/>
            <w:vAlign w:val="center"/>
          </w:tcPr>
          <w:p>
            <w:pPr>
              <w:spacing w:after="0"/>
            </w:pPr>
            <w:r/>
            <w:r>
              <w:rPr>
                <w:rFonts w:ascii="Aptos" w:hAnsi="Aptos"/>
                <w:b w:val="0"/>
                <w:color w:val="111111"/>
                <w:sz w:val="17"/>
              </w:rPr>
              <w:t>5–10 %</w:t>
            </w:r>
          </w:p>
        </w:tc>
      </w:tr>
      <w:tr>
        <w:tc>
          <w:tcPr>
            <w:tcW w:type="dxa" w:w="5040"/>
            <w:vAlign w:val="center"/>
          </w:tcPr>
          <w:p>
            <w:pPr>
              <w:spacing w:after="0"/>
            </w:pPr>
            <w:r/>
            <w:r>
              <w:rPr>
                <w:rFonts w:ascii="Aptos" w:hAnsi="Aptos"/>
                <w:b w:val="0"/>
                <w:color w:val="111111"/>
                <w:sz w:val="17"/>
              </w:rPr>
              <w:t>Turquesa y otros acentos</w:t>
            </w:r>
          </w:p>
        </w:tc>
        <w:tc>
          <w:tcPr>
            <w:tcW w:type="dxa" w:w="5040"/>
            <w:vAlign w:val="center"/>
          </w:tcPr>
          <w:p>
            <w:pPr>
              <w:spacing w:after="0"/>
            </w:pPr>
            <w:r/>
            <w:r>
              <w:rPr>
                <w:rFonts w:ascii="Aptos" w:hAnsi="Aptos"/>
                <w:b w:val="0"/>
                <w:color w:val="111111"/>
                <w:sz w:val="17"/>
              </w:rPr>
              <w:t>5–10 % en conjunto</w:t>
            </w:r>
          </w:p>
        </w:tc>
      </w:tr>
    </w:tbl>
    <w:p>
      <w:pPr>
        <w:spacing w:after="20"/>
      </w:pPr>
    </w:p>
    <w:p>
      <w:r>
        <w:t>Estas proporciones son una recomendación de consistencia, no una medición de la web. En banners temáticos puede dominar un color de campaña, siempre que el conjunto siga siendo legible.</w:t>
      </w:r>
    </w:p>
    <w:p>
      <w:pPr>
        <w:pStyle w:val="Heading2"/>
      </w:pPr>
      <w:r>
        <w:t>Contraste y accesibilidad</w:t>
      </w:r>
    </w:p>
    <w:p>
      <w:pPr>
        <w:pStyle w:val="ListBullet"/>
        <w:spacing w:after="40"/>
      </w:pPr>
      <w:r>
        <w:t>Usar texto blanco sobre negro para lectura sostenida.</w:t>
      </w:r>
    </w:p>
    <w:p>
      <w:pPr>
        <w:pStyle w:val="ListBullet"/>
        <w:spacing w:after="40"/>
      </w:pPr>
      <w:r>
        <w:t>Usar negro sobre amarillo o turquesa cuando el tamaño del texto sea pequeño.</w:t>
      </w:r>
    </w:p>
    <w:p>
      <w:pPr>
        <w:pStyle w:val="ListBullet"/>
        <w:spacing w:after="40"/>
      </w:pPr>
      <w:r>
        <w:t>Evitar texto naranja fino sobre fondos amarillos, y texto gris claro sobre blanco.</w:t>
      </w:r>
    </w:p>
    <w:p>
      <w:pPr>
        <w:pStyle w:val="ListBullet"/>
        <w:spacing w:after="40"/>
      </w:pPr>
      <w:r>
        <w:t>No depender únicamente del color para distinguir estados, categorías o botones.</w:t>
      </w:r>
    </w:p>
    <w:p>
      <w:pPr>
        <w:pStyle w:val="Heading1"/>
      </w:pPr>
      <w:r>
        <w:t>05. Tipografía</w:t>
      </w:r>
    </w:p>
    <w:p>
      <w:r>
        <w:t>La captura muestra titulares de apariencia sans serif, en mayúsculas y con peso fuerte; las descripciones y textos de producto son pequeños y funcionales. La resolución no permite identificar con certeza la familia tipográfica real.</w:t>
      </w:r>
    </w:p>
    <w:p>
      <w:pPr>
        <w:pStyle w:val="Heading2"/>
      </w:pPr>
      <w:r>
        <w:t>Sistema tipográfico propuesto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111"/>
            <w:vAlign w:val="center"/>
          </w:tcPr>
          <w:p>
            <w:pPr>
              <w:spacing w:after="0"/>
            </w:pPr>
            <w:r/>
            <w:r>
              <w:rPr>
                <w:rFonts w:ascii="Aptos" w:hAnsi="Aptos"/>
                <w:b/>
                <w:color w:val="FFFFFF"/>
                <w:sz w:val="18"/>
              </w:rPr>
              <w:t>Nivel</w:t>
            </w:r>
          </w:p>
        </w:tc>
        <w:tc>
          <w:tcPr>
            <w:tcW w:type="dxa" w:w="3360"/>
            <w:shd w:fill="111111"/>
            <w:vAlign w:val="center"/>
          </w:tcPr>
          <w:p>
            <w:pPr>
              <w:spacing w:after="0"/>
            </w:pPr>
            <w:r/>
            <w:r>
              <w:rPr>
                <w:rFonts w:ascii="Aptos" w:hAnsi="Aptos"/>
                <w:b/>
                <w:color w:val="FFFFFF"/>
                <w:sz w:val="18"/>
              </w:rPr>
              <w:t>Recomendación</w:t>
            </w:r>
          </w:p>
        </w:tc>
        <w:tc>
          <w:tcPr>
            <w:tcW w:type="dxa" w:w="3360"/>
            <w:shd w:fill="111111"/>
            <w:vAlign w:val="center"/>
          </w:tcPr>
          <w:p>
            <w:pPr>
              <w:spacing w:after="0"/>
            </w:pPr>
            <w:r/>
            <w:r>
              <w:rPr>
                <w:rFonts w:ascii="Aptos" w:hAnsi="Aptos"/>
                <w:b/>
                <w:color w:val="FFFFFF"/>
                <w:sz w:val="18"/>
              </w:rPr>
              <w:t>Aplicación</w:t>
            </w:r>
          </w:p>
        </w:tc>
      </w:tr>
      <w:tr>
        <w:tc>
          <w:tcPr>
            <w:tcW w:type="dxa" w:w="3360"/>
            <w:shd w:fill="F6F6F6"/>
            <w:vAlign w:val="center"/>
          </w:tcPr>
          <w:p>
            <w:pPr>
              <w:spacing w:after="0"/>
            </w:pPr>
            <w:r/>
            <w:r>
              <w:rPr>
                <w:rFonts w:ascii="Aptos" w:hAnsi="Aptos"/>
                <w:b w:val="0"/>
                <w:color w:val="111111"/>
                <w:sz w:val="17"/>
              </w:rPr>
              <w:t>Titulares / campañas</w:t>
            </w:r>
          </w:p>
        </w:tc>
        <w:tc>
          <w:tcPr>
            <w:tcW w:type="dxa" w:w="3360"/>
            <w:shd w:fill="F6F6F6"/>
            <w:vAlign w:val="center"/>
          </w:tcPr>
          <w:p>
            <w:pPr>
              <w:spacing w:after="0"/>
            </w:pPr>
            <w:r/>
            <w:r>
              <w:rPr>
                <w:rFonts w:ascii="Aptos" w:hAnsi="Aptos"/>
                <w:b w:val="0"/>
                <w:color w:val="111111"/>
                <w:sz w:val="17"/>
              </w:rPr>
              <w:t>Montserrat ExtraBold, Archivo Black o sans serif equivalente.</w:t>
            </w:r>
          </w:p>
        </w:tc>
        <w:tc>
          <w:tcPr>
            <w:tcW w:type="dxa" w:w="3360"/>
            <w:shd w:fill="F6F6F6"/>
            <w:vAlign w:val="center"/>
          </w:tcPr>
          <w:p>
            <w:pPr>
              <w:spacing w:after="0"/>
            </w:pPr>
            <w:r/>
            <w:r>
              <w:rPr>
                <w:rFonts w:ascii="Aptos" w:hAnsi="Aptos"/>
                <w:b w:val="0"/>
                <w:color w:val="111111"/>
                <w:sz w:val="17"/>
              </w:rPr>
              <w:t>Mayúsculas, frases breves, alto contraste.</w:t>
            </w:r>
          </w:p>
        </w:tc>
      </w:tr>
      <w:tr>
        <w:tc>
          <w:tcPr>
            <w:tcW w:type="dxa" w:w="3360"/>
            <w:vAlign w:val="center"/>
          </w:tcPr>
          <w:p>
            <w:pPr>
              <w:spacing w:after="0"/>
            </w:pPr>
            <w:r/>
            <w:r>
              <w:rPr>
                <w:rFonts w:ascii="Aptos" w:hAnsi="Aptos"/>
                <w:b w:val="0"/>
                <w:color w:val="111111"/>
                <w:sz w:val="17"/>
              </w:rPr>
              <w:t>Subtítulos y categorías</w:t>
            </w:r>
          </w:p>
        </w:tc>
        <w:tc>
          <w:tcPr>
            <w:tcW w:type="dxa" w:w="3360"/>
            <w:vAlign w:val="center"/>
          </w:tcPr>
          <w:p>
            <w:pPr>
              <w:spacing w:after="0"/>
            </w:pPr>
            <w:r/>
            <w:r>
              <w:rPr>
                <w:rFonts w:ascii="Aptos" w:hAnsi="Aptos"/>
                <w:b w:val="0"/>
                <w:color w:val="111111"/>
                <w:sz w:val="17"/>
              </w:rPr>
              <w:t>Montserrat SemiBold o similar.</w:t>
            </w:r>
          </w:p>
        </w:tc>
        <w:tc>
          <w:tcPr>
            <w:tcW w:type="dxa" w:w="3360"/>
            <w:vAlign w:val="center"/>
          </w:tcPr>
          <w:p>
            <w:pPr>
              <w:spacing w:after="0"/>
            </w:pPr>
            <w:r/>
            <w:r>
              <w:rPr>
                <w:rFonts w:ascii="Aptos" w:hAnsi="Aptos"/>
                <w:b w:val="0"/>
                <w:color w:val="111111"/>
                <w:sz w:val="17"/>
              </w:rPr>
              <w:t>Nombres de secciones y etiquetas.</w:t>
            </w:r>
          </w:p>
        </w:tc>
      </w:tr>
      <w:tr>
        <w:tc>
          <w:tcPr>
            <w:tcW w:type="dxa" w:w="3360"/>
            <w:shd w:fill="F6F6F6"/>
            <w:vAlign w:val="center"/>
          </w:tcPr>
          <w:p>
            <w:pPr>
              <w:spacing w:after="0"/>
            </w:pPr>
            <w:r/>
            <w:r>
              <w:rPr>
                <w:rFonts w:ascii="Aptos" w:hAnsi="Aptos"/>
                <w:b w:val="0"/>
                <w:color w:val="111111"/>
                <w:sz w:val="17"/>
              </w:rPr>
              <w:t>Texto de interfaz</w:t>
            </w:r>
          </w:p>
        </w:tc>
        <w:tc>
          <w:tcPr>
            <w:tcW w:type="dxa" w:w="3360"/>
            <w:shd w:fill="F6F6F6"/>
            <w:vAlign w:val="center"/>
          </w:tcPr>
          <w:p>
            <w:pPr>
              <w:spacing w:after="0"/>
            </w:pPr>
            <w:r/>
            <w:r>
              <w:rPr>
                <w:rFonts w:ascii="Aptos" w:hAnsi="Aptos"/>
                <w:b w:val="0"/>
                <w:color w:val="111111"/>
                <w:sz w:val="17"/>
              </w:rPr>
              <w:t>Inter, Arial o sans serif neutra.</w:t>
            </w:r>
          </w:p>
        </w:tc>
        <w:tc>
          <w:tcPr>
            <w:tcW w:type="dxa" w:w="3360"/>
            <w:shd w:fill="F6F6F6"/>
            <w:vAlign w:val="center"/>
          </w:tcPr>
          <w:p>
            <w:pPr>
              <w:spacing w:after="0"/>
            </w:pPr>
            <w:r/>
            <w:r>
              <w:rPr>
                <w:rFonts w:ascii="Aptos" w:hAnsi="Aptos"/>
                <w:b w:val="0"/>
                <w:color w:val="111111"/>
                <w:sz w:val="17"/>
              </w:rPr>
              <w:t>Menú, botones, descripciones y formularios.</w:t>
            </w:r>
          </w:p>
        </w:tc>
      </w:tr>
      <w:tr>
        <w:tc>
          <w:tcPr>
            <w:tcW w:type="dxa" w:w="3360"/>
            <w:vAlign w:val="center"/>
          </w:tcPr>
          <w:p>
            <w:pPr>
              <w:spacing w:after="0"/>
            </w:pPr>
            <w:r/>
            <w:r>
              <w:rPr>
                <w:rFonts w:ascii="Aptos" w:hAnsi="Aptos"/>
                <w:b w:val="0"/>
                <w:color w:val="111111"/>
                <w:sz w:val="17"/>
              </w:rPr>
              <w:t>Texto editorial</w:t>
            </w:r>
          </w:p>
        </w:tc>
        <w:tc>
          <w:tcPr>
            <w:tcW w:type="dxa" w:w="3360"/>
            <w:vAlign w:val="center"/>
          </w:tcPr>
          <w:p>
            <w:pPr>
              <w:spacing w:after="0"/>
            </w:pPr>
            <w:r/>
            <w:r>
              <w:rPr>
                <w:rFonts w:ascii="Aptos" w:hAnsi="Aptos"/>
                <w:b w:val="0"/>
                <w:color w:val="111111"/>
                <w:sz w:val="17"/>
              </w:rPr>
              <w:t>Inter Regular o similar.</w:t>
            </w:r>
          </w:p>
        </w:tc>
        <w:tc>
          <w:tcPr>
            <w:tcW w:type="dxa" w:w="3360"/>
            <w:vAlign w:val="center"/>
          </w:tcPr>
          <w:p>
            <w:pPr>
              <w:spacing w:after="0"/>
            </w:pPr>
            <w:r/>
            <w:r>
              <w:rPr>
                <w:rFonts w:ascii="Aptos" w:hAnsi="Aptos"/>
                <w:b w:val="0"/>
                <w:color w:val="111111"/>
                <w:sz w:val="17"/>
              </w:rPr>
              <w:t>Blog, fichas de artículos y párrafos.</w:t>
            </w:r>
          </w:p>
        </w:tc>
      </w:tr>
    </w:tbl>
    <w:p>
      <w:pPr>
        <w:spacing w:after="20"/>
      </w:pPr>
    </w:p>
    <w:p>
      <w:pPr>
        <w:pStyle w:val="Heading2"/>
      </w:pPr>
      <w:r>
        <w:t>Jerarquía tipográfica digital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111"/>
            <w:vAlign w:val="center"/>
          </w:tcPr>
          <w:p>
            <w:pPr>
              <w:spacing w:after="0"/>
            </w:pPr>
            <w:r/>
            <w:r>
              <w:rPr>
                <w:rFonts w:ascii="Aptos" w:hAnsi="Aptos"/>
                <w:b/>
                <w:color w:val="FFFFFF"/>
                <w:sz w:val="18"/>
              </w:rPr>
              <w:t>Elemento</w:t>
            </w:r>
          </w:p>
        </w:tc>
        <w:tc>
          <w:tcPr>
            <w:tcW w:type="dxa" w:w="3360"/>
            <w:shd w:fill="111111"/>
            <w:vAlign w:val="center"/>
          </w:tcPr>
          <w:p>
            <w:pPr>
              <w:spacing w:after="0"/>
            </w:pPr>
            <w:r/>
            <w:r>
              <w:rPr>
                <w:rFonts w:ascii="Aptos" w:hAnsi="Aptos"/>
                <w:b/>
                <w:color w:val="FFFFFF"/>
                <w:sz w:val="18"/>
              </w:rPr>
              <w:t>Tamaño orientativo en escritorio</w:t>
            </w:r>
          </w:p>
        </w:tc>
        <w:tc>
          <w:tcPr>
            <w:tcW w:type="dxa" w:w="3360"/>
            <w:shd w:fill="111111"/>
            <w:vAlign w:val="center"/>
          </w:tcPr>
          <w:p>
            <w:pPr>
              <w:spacing w:after="0"/>
            </w:pPr>
            <w:r/>
            <w:r>
              <w:rPr>
                <w:rFonts w:ascii="Aptos" w:hAnsi="Aptos"/>
                <w:b/>
                <w:color w:val="FFFFFF"/>
                <w:sz w:val="18"/>
              </w:rPr>
              <w:t>Peso / estilo</w:t>
            </w:r>
          </w:p>
        </w:tc>
      </w:tr>
      <w:tr>
        <w:tc>
          <w:tcPr>
            <w:tcW w:type="dxa" w:w="3360"/>
            <w:shd w:fill="F6F6F6"/>
            <w:vAlign w:val="center"/>
          </w:tcPr>
          <w:p>
            <w:pPr>
              <w:spacing w:after="0"/>
            </w:pPr>
            <w:r/>
            <w:r>
              <w:rPr>
                <w:rFonts w:ascii="Aptos" w:hAnsi="Aptos"/>
                <w:b w:val="0"/>
                <w:color w:val="111111"/>
                <w:sz w:val="17"/>
              </w:rPr>
              <w:t>H1 de campaña</w:t>
            </w:r>
          </w:p>
        </w:tc>
        <w:tc>
          <w:tcPr>
            <w:tcW w:type="dxa" w:w="3360"/>
            <w:shd w:fill="F6F6F6"/>
            <w:vAlign w:val="center"/>
          </w:tcPr>
          <w:p>
            <w:pPr>
              <w:spacing w:after="0"/>
            </w:pPr>
            <w:r/>
            <w:r>
              <w:rPr>
                <w:rFonts w:ascii="Aptos" w:hAnsi="Aptos"/>
                <w:b w:val="0"/>
                <w:color w:val="111111"/>
                <w:sz w:val="17"/>
              </w:rPr>
              <w:t>40–64 px</w:t>
            </w:r>
          </w:p>
        </w:tc>
        <w:tc>
          <w:tcPr>
            <w:tcW w:type="dxa" w:w="3360"/>
            <w:shd w:fill="F6F6F6"/>
            <w:vAlign w:val="center"/>
          </w:tcPr>
          <w:p>
            <w:pPr>
              <w:spacing w:after="0"/>
            </w:pPr>
            <w:r/>
            <w:r>
              <w:rPr>
                <w:rFonts w:ascii="Aptos" w:hAnsi="Aptos"/>
                <w:b w:val="0"/>
                <w:color w:val="111111"/>
                <w:sz w:val="17"/>
              </w:rPr>
              <w:t>ExtraBold; mayúsculas si el mensaje es corto.</w:t>
            </w:r>
          </w:p>
        </w:tc>
      </w:tr>
      <w:tr>
        <w:tc>
          <w:tcPr>
            <w:tcW w:type="dxa" w:w="3360"/>
            <w:vAlign w:val="center"/>
          </w:tcPr>
          <w:p>
            <w:pPr>
              <w:spacing w:after="0"/>
            </w:pPr>
            <w:r/>
            <w:r>
              <w:rPr>
                <w:rFonts w:ascii="Aptos" w:hAnsi="Aptos"/>
                <w:b w:val="0"/>
                <w:color w:val="111111"/>
                <w:sz w:val="17"/>
              </w:rPr>
              <w:t>H2 de sección</w:t>
            </w:r>
          </w:p>
        </w:tc>
        <w:tc>
          <w:tcPr>
            <w:tcW w:type="dxa" w:w="3360"/>
            <w:vAlign w:val="center"/>
          </w:tcPr>
          <w:p>
            <w:pPr>
              <w:spacing w:after="0"/>
            </w:pPr>
            <w:r/>
            <w:r>
              <w:rPr>
                <w:rFonts w:ascii="Aptos" w:hAnsi="Aptos"/>
                <w:b w:val="0"/>
                <w:color w:val="111111"/>
                <w:sz w:val="17"/>
              </w:rPr>
              <w:t>24–36 px</w:t>
            </w:r>
          </w:p>
        </w:tc>
        <w:tc>
          <w:tcPr>
            <w:tcW w:type="dxa" w:w="3360"/>
            <w:vAlign w:val="center"/>
          </w:tcPr>
          <w:p>
            <w:pPr>
              <w:spacing w:after="0"/>
            </w:pPr>
            <w:r/>
            <w:r>
              <w:rPr>
                <w:rFonts w:ascii="Aptos" w:hAnsi="Aptos"/>
                <w:b w:val="0"/>
                <w:color w:val="111111"/>
                <w:sz w:val="17"/>
              </w:rPr>
              <w:t>Bold / SemiBold.</w:t>
            </w:r>
          </w:p>
        </w:tc>
      </w:tr>
      <w:tr>
        <w:tc>
          <w:tcPr>
            <w:tcW w:type="dxa" w:w="3360"/>
            <w:shd w:fill="F6F6F6"/>
            <w:vAlign w:val="center"/>
          </w:tcPr>
          <w:p>
            <w:pPr>
              <w:spacing w:after="0"/>
            </w:pPr>
            <w:r/>
            <w:r>
              <w:rPr>
                <w:rFonts w:ascii="Aptos" w:hAnsi="Aptos"/>
                <w:b w:val="0"/>
                <w:color w:val="111111"/>
                <w:sz w:val="17"/>
              </w:rPr>
              <w:t>Título de tarjeta</w:t>
            </w:r>
          </w:p>
        </w:tc>
        <w:tc>
          <w:tcPr>
            <w:tcW w:type="dxa" w:w="3360"/>
            <w:shd w:fill="F6F6F6"/>
            <w:vAlign w:val="center"/>
          </w:tcPr>
          <w:p>
            <w:pPr>
              <w:spacing w:after="0"/>
            </w:pPr>
            <w:r/>
            <w:r>
              <w:rPr>
                <w:rFonts w:ascii="Aptos" w:hAnsi="Aptos"/>
                <w:b w:val="0"/>
                <w:color w:val="111111"/>
                <w:sz w:val="17"/>
              </w:rPr>
              <w:t>16–22 px</w:t>
            </w:r>
          </w:p>
        </w:tc>
        <w:tc>
          <w:tcPr>
            <w:tcW w:type="dxa" w:w="3360"/>
            <w:shd w:fill="F6F6F6"/>
            <w:vAlign w:val="center"/>
          </w:tcPr>
          <w:p>
            <w:pPr>
              <w:spacing w:after="0"/>
            </w:pPr>
            <w:r/>
            <w:r>
              <w:rPr>
                <w:rFonts w:ascii="Aptos" w:hAnsi="Aptos"/>
                <w:b w:val="0"/>
                <w:color w:val="111111"/>
                <w:sz w:val="17"/>
              </w:rPr>
              <w:t>SemiBold.</w:t>
            </w:r>
          </w:p>
        </w:tc>
      </w:tr>
      <w:tr>
        <w:tc>
          <w:tcPr>
            <w:tcW w:type="dxa" w:w="3360"/>
            <w:vAlign w:val="center"/>
          </w:tcPr>
          <w:p>
            <w:pPr>
              <w:spacing w:after="0"/>
            </w:pPr>
            <w:r/>
            <w:r>
              <w:rPr>
                <w:rFonts w:ascii="Aptos" w:hAnsi="Aptos"/>
                <w:b w:val="0"/>
                <w:color w:val="111111"/>
                <w:sz w:val="17"/>
              </w:rPr>
              <w:t>Texto de cuerpo</w:t>
            </w:r>
          </w:p>
        </w:tc>
        <w:tc>
          <w:tcPr>
            <w:tcW w:type="dxa" w:w="3360"/>
            <w:vAlign w:val="center"/>
          </w:tcPr>
          <w:p>
            <w:pPr>
              <w:spacing w:after="0"/>
            </w:pPr>
            <w:r/>
            <w:r>
              <w:rPr>
                <w:rFonts w:ascii="Aptos" w:hAnsi="Aptos"/>
                <w:b w:val="0"/>
                <w:color w:val="111111"/>
                <w:sz w:val="17"/>
              </w:rPr>
              <w:t>14–18 px</w:t>
            </w:r>
          </w:p>
        </w:tc>
        <w:tc>
          <w:tcPr>
            <w:tcW w:type="dxa" w:w="3360"/>
            <w:vAlign w:val="center"/>
          </w:tcPr>
          <w:p>
            <w:pPr>
              <w:spacing w:after="0"/>
            </w:pPr>
            <w:r/>
            <w:r>
              <w:rPr>
                <w:rFonts w:ascii="Aptos" w:hAnsi="Aptos"/>
                <w:b w:val="0"/>
                <w:color w:val="111111"/>
                <w:sz w:val="17"/>
              </w:rPr>
              <w:t>Regular; interlineado 1.4–1.6.</w:t>
            </w:r>
          </w:p>
        </w:tc>
      </w:tr>
      <w:tr>
        <w:tc>
          <w:tcPr>
            <w:tcW w:type="dxa" w:w="3360"/>
            <w:shd w:fill="F6F6F6"/>
            <w:vAlign w:val="center"/>
          </w:tcPr>
          <w:p>
            <w:pPr>
              <w:spacing w:after="0"/>
            </w:pPr>
            <w:r/>
            <w:r>
              <w:rPr>
                <w:rFonts w:ascii="Aptos" w:hAnsi="Aptos"/>
                <w:b w:val="0"/>
                <w:color w:val="111111"/>
                <w:sz w:val="17"/>
              </w:rPr>
              <w:t>Metadatos</w:t>
            </w:r>
          </w:p>
        </w:tc>
        <w:tc>
          <w:tcPr>
            <w:tcW w:type="dxa" w:w="3360"/>
            <w:shd w:fill="F6F6F6"/>
            <w:vAlign w:val="center"/>
          </w:tcPr>
          <w:p>
            <w:pPr>
              <w:spacing w:after="0"/>
            </w:pPr>
            <w:r/>
            <w:r>
              <w:rPr>
                <w:rFonts w:ascii="Aptos" w:hAnsi="Aptos"/>
                <w:b w:val="0"/>
                <w:color w:val="111111"/>
                <w:sz w:val="17"/>
              </w:rPr>
              <w:t>12–14 px</w:t>
            </w:r>
          </w:p>
        </w:tc>
        <w:tc>
          <w:tcPr>
            <w:tcW w:type="dxa" w:w="3360"/>
            <w:shd w:fill="F6F6F6"/>
            <w:vAlign w:val="center"/>
          </w:tcPr>
          <w:p>
            <w:pPr>
              <w:spacing w:after="0"/>
            </w:pPr>
            <w:r/>
            <w:r>
              <w:rPr>
                <w:rFonts w:ascii="Aptos" w:hAnsi="Aptos"/>
                <w:b w:val="0"/>
                <w:color w:val="111111"/>
                <w:sz w:val="17"/>
              </w:rPr>
              <w:t>Regular; contraste suficiente.</w:t>
            </w:r>
          </w:p>
        </w:tc>
      </w:tr>
      <w:tr>
        <w:tc>
          <w:tcPr>
            <w:tcW w:type="dxa" w:w="3360"/>
            <w:vAlign w:val="center"/>
          </w:tcPr>
          <w:p>
            <w:pPr>
              <w:spacing w:after="0"/>
            </w:pPr>
            <w:r/>
            <w:r>
              <w:rPr>
                <w:rFonts w:ascii="Aptos" w:hAnsi="Aptos"/>
                <w:b w:val="0"/>
                <w:color w:val="111111"/>
                <w:sz w:val="17"/>
              </w:rPr>
              <w:t>Botón</w:t>
            </w:r>
          </w:p>
        </w:tc>
        <w:tc>
          <w:tcPr>
            <w:tcW w:type="dxa" w:w="3360"/>
            <w:vAlign w:val="center"/>
          </w:tcPr>
          <w:p>
            <w:pPr>
              <w:spacing w:after="0"/>
            </w:pPr>
            <w:r/>
            <w:r>
              <w:rPr>
                <w:rFonts w:ascii="Aptos" w:hAnsi="Aptos"/>
                <w:b w:val="0"/>
                <w:color w:val="111111"/>
                <w:sz w:val="17"/>
              </w:rPr>
              <w:t>14–16 px</w:t>
            </w:r>
          </w:p>
        </w:tc>
        <w:tc>
          <w:tcPr>
            <w:tcW w:type="dxa" w:w="3360"/>
            <w:vAlign w:val="center"/>
          </w:tcPr>
          <w:p>
            <w:pPr>
              <w:spacing w:after="0"/>
            </w:pPr>
            <w:r/>
            <w:r>
              <w:rPr>
                <w:rFonts w:ascii="Aptos" w:hAnsi="Aptos"/>
                <w:b w:val="0"/>
                <w:color w:val="111111"/>
                <w:sz w:val="17"/>
              </w:rPr>
              <w:t>Bold / SemiBold.</w:t>
            </w:r>
          </w:p>
        </w:tc>
      </w:tr>
    </w:tbl>
    <w:p>
      <w:pPr>
        <w:spacing w:after="20"/>
      </w:pPr>
    </w:p>
    <w:p>
      <w:r>
        <w:t>En móvil, reducir tamaños de forma proporcional sin bajar el cuerpo habitual de lectura de 14 px cuando sea posible. Limitar el uso de mayúsculas a titulares breves y etiquetas, porque los bloques largos en mayúsculas reducen la comodidad de lectura.</w:t>
      </w:r>
    </w:p>
    <w:p>
      <w:pPr>
        <w:pStyle w:val="Heading2"/>
      </w:pPr>
      <w:r>
        <w:t>Reglas de composición tipográfica</w:t>
      </w:r>
    </w:p>
    <w:p>
      <w:pPr>
        <w:pStyle w:val="ListBullet"/>
        <w:spacing w:after="40"/>
      </w:pPr>
      <w:r>
        <w:t>Usar como máximo dos familias tipográficas en una misma pieza.</w:t>
      </w:r>
    </w:p>
    <w:p>
      <w:pPr>
        <w:pStyle w:val="ListBullet"/>
        <w:spacing w:after="40"/>
      </w:pPr>
      <w:r>
        <w:t>No mezclar muchos pesos, contornos y sombras en el mismo titular.</w:t>
      </w:r>
    </w:p>
    <w:p>
      <w:pPr>
        <w:pStyle w:val="ListBullet"/>
        <w:spacing w:after="40"/>
      </w:pPr>
      <w:r>
        <w:t>Mantener el texto principal en una o dos líneas siempre que sea posible.</w:t>
      </w:r>
    </w:p>
    <w:p>
      <w:pPr>
        <w:pStyle w:val="ListBullet"/>
        <w:spacing w:after="40"/>
      </w:pPr>
      <w:r>
        <w:t>Evitar texto superpuesto sobre zonas visualmente complejas del producto.</w:t>
      </w:r>
    </w:p>
    <w:p>
      <w:pPr>
        <w:pStyle w:val="Heading1"/>
      </w:pPr>
      <w:r>
        <w:t>06. Fotografía, producto y recursos gráficos</w:t>
      </w:r>
    </w:p>
    <w:p>
      <w:pPr>
        <w:pStyle w:val="Heading2"/>
      </w:pPr>
      <w:r>
        <w:t>Fotografía de producto</w:t>
      </w:r>
    </w:p>
    <w:p>
      <w:pPr>
        <w:pStyle w:val="ListBullet"/>
        <w:spacing w:after="40"/>
      </w:pPr>
      <w:r>
        <w:t>Mostrar el dispositivo completo, sin recortes accidentales de boquillas, base o accesorios importantes.</w:t>
      </w:r>
    </w:p>
    <w:p>
      <w:pPr>
        <w:pStyle w:val="ListBullet"/>
        <w:spacing w:after="40"/>
      </w:pPr>
      <w:r>
        <w:t>Conservar proporciones, color, acabado y detalles del producto real.</w:t>
      </w:r>
    </w:p>
    <w:p>
      <w:pPr>
        <w:pStyle w:val="ListBullet"/>
        <w:spacing w:after="40"/>
      </w:pPr>
      <w:r>
        <w:t>Usar fondo blanco o neutro para catálogo; fondos atmosféricos para campañas.</w:t>
      </w:r>
    </w:p>
    <w:p>
      <w:pPr>
        <w:pStyle w:val="ListBullet"/>
        <w:spacing w:after="40"/>
      </w:pPr>
      <w:r>
        <w:t>Crear sombra de contacto suave para que el producto no parezca flotante, salvo que sea una decisión intencional.</w:t>
      </w:r>
    </w:p>
    <w:p>
      <w:pPr>
        <w:pStyle w:val="ListBullet"/>
        <w:spacing w:after="40"/>
      </w:pPr>
      <w:r>
        <w:t>Mantener luz y escala coherentes cuando se presentan varios productos juntos.</w:t>
      </w:r>
    </w:p>
    <w:p>
      <w:pPr>
        <w:pStyle w:val="Heading2"/>
      </w:pPr>
      <w:r>
        <w:t>Recursos visuales observados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111"/>
            <w:vAlign w:val="center"/>
          </w:tcPr>
          <w:p>
            <w:pPr>
              <w:spacing w:after="0"/>
            </w:pPr>
            <w:r/>
            <w:r>
              <w:rPr>
                <w:rFonts w:ascii="Aptos" w:hAnsi="Aptos"/>
                <w:b/>
                <w:color w:val="FFFFFF"/>
                <w:sz w:val="18"/>
              </w:rPr>
              <w:t>Recurso</w:t>
            </w:r>
          </w:p>
        </w:tc>
        <w:tc>
          <w:tcPr>
            <w:tcW w:type="dxa" w:w="3360"/>
            <w:shd w:fill="111111"/>
            <w:vAlign w:val="center"/>
          </w:tcPr>
          <w:p>
            <w:pPr>
              <w:spacing w:after="0"/>
            </w:pPr>
            <w:r/>
            <w:r>
              <w:rPr>
                <w:rFonts w:ascii="Aptos" w:hAnsi="Aptos"/>
                <w:b/>
                <w:color w:val="FFFFFF"/>
                <w:sz w:val="18"/>
              </w:rPr>
              <w:t>Uso recomendado</w:t>
            </w:r>
          </w:p>
        </w:tc>
        <w:tc>
          <w:tcPr>
            <w:tcW w:type="dxa" w:w="3360"/>
            <w:shd w:fill="111111"/>
            <w:vAlign w:val="center"/>
          </w:tcPr>
          <w:p>
            <w:pPr>
              <w:spacing w:after="0"/>
            </w:pPr>
            <w:r/>
            <w:r>
              <w:rPr>
                <w:rFonts w:ascii="Aptos" w:hAnsi="Aptos"/>
                <w:b/>
                <w:color w:val="FFFFFF"/>
                <w:sz w:val="18"/>
              </w:rPr>
              <w:t>Límite</w:t>
            </w:r>
          </w:p>
        </w:tc>
      </w:tr>
      <w:tr>
        <w:tc>
          <w:tcPr>
            <w:tcW w:type="dxa" w:w="3360"/>
            <w:shd w:fill="F6F6F6"/>
            <w:vAlign w:val="center"/>
          </w:tcPr>
          <w:p>
            <w:pPr>
              <w:spacing w:after="0"/>
            </w:pPr>
            <w:r/>
            <w:r>
              <w:rPr>
                <w:rFonts w:ascii="Aptos" w:hAnsi="Aptos"/>
                <w:b w:val="0"/>
                <w:color w:val="111111"/>
                <w:sz w:val="17"/>
              </w:rPr>
              <w:t>Humo o vapor</w:t>
            </w:r>
          </w:p>
        </w:tc>
        <w:tc>
          <w:tcPr>
            <w:tcW w:type="dxa" w:w="3360"/>
            <w:shd w:fill="F6F6F6"/>
            <w:vAlign w:val="center"/>
          </w:tcPr>
          <w:p>
            <w:pPr>
              <w:spacing w:after="0"/>
            </w:pPr>
            <w:r/>
            <w:r>
              <w:rPr>
                <w:rFonts w:ascii="Aptos" w:hAnsi="Aptos"/>
                <w:b w:val="0"/>
                <w:color w:val="111111"/>
                <w:sz w:val="17"/>
              </w:rPr>
              <w:t>Dar ambiente y profundidad en campañas.</w:t>
            </w:r>
          </w:p>
        </w:tc>
        <w:tc>
          <w:tcPr>
            <w:tcW w:type="dxa" w:w="3360"/>
            <w:shd w:fill="F6F6F6"/>
            <w:vAlign w:val="center"/>
          </w:tcPr>
          <w:p>
            <w:pPr>
              <w:spacing w:after="0"/>
            </w:pPr>
            <w:r/>
            <w:r>
              <w:rPr>
                <w:rFonts w:ascii="Aptos" w:hAnsi="Aptos"/>
                <w:b w:val="0"/>
                <w:color w:val="111111"/>
                <w:sz w:val="17"/>
              </w:rPr>
              <w:t>No cubrir el producto ni el texto.</w:t>
            </w:r>
          </w:p>
        </w:tc>
      </w:tr>
      <w:tr>
        <w:tc>
          <w:tcPr>
            <w:tcW w:type="dxa" w:w="3360"/>
            <w:vAlign w:val="center"/>
          </w:tcPr>
          <w:p>
            <w:pPr>
              <w:spacing w:after="0"/>
            </w:pPr>
            <w:r/>
            <w:r>
              <w:rPr>
                <w:rFonts w:ascii="Aptos" w:hAnsi="Aptos"/>
                <w:b w:val="0"/>
                <w:color w:val="111111"/>
                <w:sz w:val="17"/>
              </w:rPr>
              <w:t>Brillos y partículas</w:t>
            </w:r>
          </w:p>
        </w:tc>
        <w:tc>
          <w:tcPr>
            <w:tcW w:type="dxa" w:w="3360"/>
            <w:vAlign w:val="center"/>
          </w:tcPr>
          <w:p>
            <w:pPr>
              <w:spacing w:after="0"/>
            </w:pPr>
            <w:r/>
            <w:r>
              <w:rPr>
                <w:rFonts w:ascii="Aptos" w:hAnsi="Aptos"/>
                <w:b w:val="0"/>
                <w:color w:val="111111"/>
                <w:sz w:val="17"/>
              </w:rPr>
              <w:t>Comunicar tecnología o energía.</w:t>
            </w:r>
          </w:p>
        </w:tc>
        <w:tc>
          <w:tcPr>
            <w:tcW w:type="dxa" w:w="3360"/>
            <w:vAlign w:val="center"/>
          </w:tcPr>
          <w:p>
            <w:pPr>
              <w:spacing w:after="0"/>
            </w:pPr>
            <w:r/>
            <w:r>
              <w:rPr>
                <w:rFonts w:ascii="Aptos" w:hAnsi="Aptos"/>
                <w:b w:val="0"/>
                <w:color w:val="111111"/>
                <w:sz w:val="17"/>
              </w:rPr>
              <w:t>Aplicación selectiva; evitar exceso de destellos.</w:t>
            </w:r>
          </w:p>
        </w:tc>
      </w:tr>
      <w:tr>
        <w:tc>
          <w:tcPr>
            <w:tcW w:type="dxa" w:w="3360"/>
            <w:shd w:fill="F6F6F6"/>
            <w:vAlign w:val="center"/>
          </w:tcPr>
          <w:p>
            <w:pPr>
              <w:spacing w:after="0"/>
            </w:pPr>
            <w:r/>
            <w:r>
              <w:rPr>
                <w:rFonts w:ascii="Aptos" w:hAnsi="Aptos"/>
                <w:b w:val="0"/>
                <w:color w:val="111111"/>
                <w:sz w:val="17"/>
              </w:rPr>
              <w:t>Gradientes naranja/rojo</w:t>
            </w:r>
          </w:p>
        </w:tc>
        <w:tc>
          <w:tcPr>
            <w:tcW w:type="dxa" w:w="3360"/>
            <w:shd w:fill="F6F6F6"/>
            <w:vAlign w:val="center"/>
          </w:tcPr>
          <w:p>
            <w:pPr>
              <w:spacing w:after="0"/>
            </w:pPr>
            <w:r/>
            <w:r>
              <w:rPr>
                <w:rFonts w:ascii="Aptos" w:hAnsi="Aptos"/>
                <w:b w:val="0"/>
                <w:color w:val="111111"/>
                <w:sz w:val="17"/>
              </w:rPr>
              <w:t>Banners de venta y destacados.</w:t>
            </w:r>
          </w:p>
        </w:tc>
        <w:tc>
          <w:tcPr>
            <w:tcW w:type="dxa" w:w="3360"/>
            <w:shd w:fill="F6F6F6"/>
            <w:vAlign w:val="center"/>
          </w:tcPr>
          <w:p>
            <w:pPr>
              <w:spacing w:after="0"/>
            </w:pPr>
            <w:r/>
            <w:r>
              <w:rPr>
                <w:rFonts w:ascii="Aptos" w:hAnsi="Aptos"/>
                <w:b w:val="0"/>
                <w:color w:val="111111"/>
                <w:sz w:val="17"/>
              </w:rPr>
              <w:t>Reservarlos para bloques promocionales.</w:t>
            </w:r>
          </w:p>
        </w:tc>
      </w:tr>
      <w:tr>
        <w:tc>
          <w:tcPr>
            <w:tcW w:type="dxa" w:w="3360"/>
            <w:vAlign w:val="center"/>
          </w:tcPr>
          <w:p>
            <w:pPr>
              <w:spacing w:after="0"/>
            </w:pPr>
            <w:r/>
            <w:r>
              <w:rPr>
                <w:rFonts w:ascii="Aptos" w:hAnsi="Aptos"/>
                <w:b w:val="0"/>
                <w:color w:val="111111"/>
                <w:sz w:val="17"/>
              </w:rPr>
              <w:t>Turquesa y agua</w:t>
            </w:r>
          </w:p>
        </w:tc>
        <w:tc>
          <w:tcPr>
            <w:tcW w:type="dxa" w:w="3360"/>
            <w:vAlign w:val="center"/>
          </w:tcPr>
          <w:p>
            <w:pPr>
              <w:spacing w:after="0"/>
            </w:pPr>
            <w:r/>
            <w:r>
              <w:rPr>
                <w:rFonts w:ascii="Aptos" w:hAnsi="Aptos"/>
                <w:b w:val="0"/>
                <w:color w:val="111111"/>
                <w:sz w:val="17"/>
              </w:rPr>
              <w:t>Categorías con sensación fresca o tecnológica.</w:t>
            </w:r>
          </w:p>
        </w:tc>
        <w:tc>
          <w:tcPr>
            <w:tcW w:type="dxa" w:w="3360"/>
            <w:vAlign w:val="center"/>
          </w:tcPr>
          <w:p>
            <w:pPr>
              <w:spacing w:after="0"/>
            </w:pPr>
            <w:r/>
            <w:r>
              <w:rPr>
                <w:rFonts w:ascii="Aptos" w:hAnsi="Aptos"/>
                <w:b w:val="0"/>
                <w:color w:val="111111"/>
                <w:sz w:val="17"/>
              </w:rPr>
              <w:t>No convertirlo en color dominante de todas las páginas.</w:t>
            </w:r>
          </w:p>
        </w:tc>
      </w:tr>
      <w:tr>
        <w:tc>
          <w:tcPr>
            <w:tcW w:type="dxa" w:w="3360"/>
            <w:shd w:fill="F6F6F6"/>
            <w:vAlign w:val="center"/>
          </w:tcPr>
          <w:p>
            <w:pPr>
              <w:spacing w:after="0"/>
            </w:pPr>
            <w:r/>
            <w:r>
              <w:rPr>
                <w:rFonts w:ascii="Aptos" w:hAnsi="Aptos"/>
                <w:b w:val="0"/>
                <w:color w:val="111111"/>
                <w:sz w:val="17"/>
              </w:rPr>
              <w:t>Fondos amarillos gráficos</w:t>
            </w:r>
          </w:p>
        </w:tc>
        <w:tc>
          <w:tcPr>
            <w:tcW w:type="dxa" w:w="3360"/>
            <w:shd w:fill="F6F6F6"/>
            <w:vAlign w:val="center"/>
          </w:tcPr>
          <w:p>
            <w:pPr>
              <w:spacing w:after="0"/>
            </w:pPr>
            <w:r/>
            <w:r>
              <w:rPr>
                <w:rFonts w:ascii="Aptos" w:hAnsi="Aptos"/>
                <w:b w:val="0"/>
                <w:color w:val="111111"/>
                <w:sz w:val="17"/>
              </w:rPr>
              <w:t>Categorías con código visual propio.</w:t>
            </w:r>
          </w:p>
        </w:tc>
        <w:tc>
          <w:tcPr>
            <w:tcW w:type="dxa" w:w="3360"/>
            <w:shd w:fill="F6F6F6"/>
            <w:vAlign w:val="center"/>
          </w:tcPr>
          <w:p>
            <w:pPr>
              <w:spacing w:after="0"/>
            </w:pPr>
            <w:r/>
            <w:r>
              <w:rPr>
                <w:rFonts w:ascii="Aptos" w:hAnsi="Aptos"/>
                <w:b w:val="0"/>
                <w:color w:val="111111"/>
                <w:sz w:val="17"/>
              </w:rPr>
              <w:t>Mantener texto oscuro y alto contraste.</w:t>
            </w:r>
          </w:p>
        </w:tc>
      </w:tr>
    </w:tbl>
    <w:p>
      <w:pPr>
        <w:spacing w:after="20"/>
      </w:pPr>
    </w:p>
    <w:p>
      <w:pPr>
        <w:pStyle w:val="Heading2"/>
      </w:pPr>
      <w:r>
        <w:t>Composición</w:t>
      </w:r>
    </w:p>
    <w:p>
      <w:pPr>
        <w:pStyle w:val="ListBullet"/>
        <w:spacing w:after="40"/>
      </w:pPr>
      <w:r>
        <w:t>Producto principal centrado o ligeramente desplazado, con espacio negativo para el mensaje.</w:t>
      </w:r>
    </w:p>
    <w:p>
      <w:pPr>
        <w:pStyle w:val="ListBullet"/>
        <w:spacing w:after="40"/>
      </w:pPr>
      <w:r>
        <w:t>No superponer demasiados objetos decorativos alrededor del producto.</w:t>
      </w:r>
    </w:p>
    <w:p>
      <w:pPr>
        <w:pStyle w:val="ListBullet"/>
        <w:spacing w:after="40"/>
      </w:pPr>
      <w:r>
        <w:t>En banners, separar claramente titular, imagen y llamada a la acción.</w:t>
      </w:r>
    </w:p>
    <w:p>
      <w:pPr>
        <w:pStyle w:val="ListBullet"/>
        <w:spacing w:after="40"/>
      </w:pPr>
      <w:r>
        <w:t>En páginas de catálogo, priorizar fondo limpio, consistencia de escala y alineación.</w:t>
      </w:r>
    </w:p>
    <w:p>
      <w:pPr>
        <w:pStyle w:val="Heading1"/>
      </w:pPr>
      <w:r>
        <w:t>07. Iconografía, botones e interfaz web</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Elemento</w:t>
            </w:r>
          </w:p>
        </w:tc>
        <w:tc>
          <w:tcPr>
            <w:tcW w:type="dxa" w:w="5040"/>
            <w:shd w:fill="111111"/>
            <w:vAlign w:val="center"/>
          </w:tcPr>
          <w:p>
            <w:pPr>
              <w:spacing w:after="0"/>
            </w:pPr>
            <w:r/>
            <w:r>
              <w:rPr>
                <w:rFonts w:ascii="Aptos" w:hAnsi="Aptos"/>
                <w:b/>
                <w:color w:val="FFFFFF"/>
                <w:sz w:val="18"/>
              </w:rPr>
              <w:t>Regla visual</w:t>
            </w:r>
          </w:p>
        </w:tc>
      </w:tr>
      <w:tr>
        <w:tc>
          <w:tcPr>
            <w:tcW w:type="dxa" w:w="5040"/>
            <w:shd w:fill="F6F6F6"/>
            <w:vAlign w:val="center"/>
          </w:tcPr>
          <w:p>
            <w:pPr>
              <w:spacing w:after="0"/>
            </w:pPr>
            <w:r/>
            <w:r>
              <w:rPr>
                <w:rFonts w:ascii="Aptos" w:hAnsi="Aptos"/>
                <w:b w:val="0"/>
                <w:color w:val="111111"/>
                <w:sz w:val="17"/>
              </w:rPr>
              <w:t>Iconos</w:t>
            </w:r>
          </w:p>
        </w:tc>
        <w:tc>
          <w:tcPr>
            <w:tcW w:type="dxa" w:w="5040"/>
            <w:shd w:fill="F6F6F6"/>
            <w:vAlign w:val="center"/>
          </w:tcPr>
          <w:p>
            <w:pPr>
              <w:spacing w:after="0"/>
            </w:pPr>
            <w:r/>
            <w:r>
              <w:rPr>
                <w:rFonts w:ascii="Aptos" w:hAnsi="Aptos"/>
                <w:b w:val="0"/>
                <w:color w:val="111111"/>
                <w:sz w:val="17"/>
              </w:rPr>
              <w:t>Preferir iconos simples, de trazo consistente y lectura inmediata. Evitar mezclar estilos 3D, lineales y sólidos en una misma interfaz.</w:t>
            </w:r>
          </w:p>
        </w:tc>
      </w:tr>
      <w:tr>
        <w:tc>
          <w:tcPr>
            <w:tcW w:type="dxa" w:w="5040"/>
            <w:vAlign w:val="center"/>
          </w:tcPr>
          <w:p>
            <w:pPr>
              <w:spacing w:after="0"/>
            </w:pPr>
            <w:r/>
            <w:r>
              <w:rPr>
                <w:rFonts w:ascii="Aptos" w:hAnsi="Aptos"/>
                <w:b w:val="0"/>
                <w:color w:val="111111"/>
                <w:sz w:val="17"/>
              </w:rPr>
              <w:t>Botón principal</w:t>
            </w:r>
          </w:p>
        </w:tc>
        <w:tc>
          <w:tcPr>
            <w:tcW w:type="dxa" w:w="5040"/>
            <w:vAlign w:val="center"/>
          </w:tcPr>
          <w:p>
            <w:pPr>
              <w:spacing w:after="0"/>
            </w:pPr>
            <w:r/>
            <w:r>
              <w:rPr>
                <w:rFonts w:ascii="Aptos" w:hAnsi="Aptos"/>
                <w:b w:val="0"/>
                <w:color w:val="111111"/>
                <w:sz w:val="17"/>
              </w:rPr>
              <w:t>Naranja con texto de alto contraste o negro con texto claro, según el fondo.</w:t>
            </w:r>
          </w:p>
        </w:tc>
      </w:tr>
      <w:tr>
        <w:tc>
          <w:tcPr>
            <w:tcW w:type="dxa" w:w="5040"/>
            <w:shd w:fill="F6F6F6"/>
            <w:vAlign w:val="center"/>
          </w:tcPr>
          <w:p>
            <w:pPr>
              <w:spacing w:after="0"/>
            </w:pPr>
            <w:r/>
            <w:r>
              <w:rPr>
                <w:rFonts w:ascii="Aptos" w:hAnsi="Aptos"/>
                <w:b w:val="0"/>
                <w:color w:val="111111"/>
                <w:sz w:val="17"/>
              </w:rPr>
              <w:t>Botón secundario</w:t>
            </w:r>
          </w:p>
        </w:tc>
        <w:tc>
          <w:tcPr>
            <w:tcW w:type="dxa" w:w="5040"/>
            <w:shd w:fill="F6F6F6"/>
            <w:vAlign w:val="center"/>
          </w:tcPr>
          <w:p>
            <w:pPr>
              <w:spacing w:after="0"/>
            </w:pPr>
            <w:r/>
            <w:r>
              <w:rPr>
                <w:rFonts w:ascii="Aptos" w:hAnsi="Aptos"/>
                <w:b w:val="0"/>
                <w:color w:val="111111"/>
                <w:sz w:val="17"/>
              </w:rPr>
              <w:t>Fondo claro con borde oscuro o versión discreta sin relleno.</w:t>
            </w:r>
          </w:p>
        </w:tc>
      </w:tr>
      <w:tr>
        <w:tc>
          <w:tcPr>
            <w:tcW w:type="dxa" w:w="5040"/>
            <w:vAlign w:val="center"/>
          </w:tcPr>
          <w:p>
            <w:pPr>
              <w:spacing w:after="0"/>
            </w:pPr>
            <w:r/>
            <w:r>
              <w:rPr>
                <w:rFonts w:ascii="Aptos" w:hAnsi="Aptos"/>
                <w:b w:val="0"/>
                <w:color w:val="111111"/>
                <w:sz w:val="17"/>
              </w:rPr>
              <w:t>Tarjetas de producto</w:t>
            </w:r>
          </w:p>
        </w:tc>
        <w:tc>
          <w:tcPr>
            <w:tcW w:type="dxa" w:w="5040"/>
            <w:vAlign w:val="center"/>
          </w:tcPr>
          <w:p>
            <w:pPr>
              <w:spacing w:after="0"/>
            </w:pPr>
            <w:r/>
            <w:r>
              <w:rPr>
                <w:rFonts w:ascii="Aptos" w:hAnsi="Aptos"/>
                <w:b w:val="0"/>
                <w:color w:val="111111"/>
                <w:sz w:val="17"/>
              </w:rPr>
              <w:t>Fondo blanco, márgenes regulares, nombre y precio claramente separados.</w:t>
            </w:r>
          </w:p>
        </w:tc>
      </w:tr>
      <w:tr>
        <w:tc>
          <w:tcPr>
            <w:tcW w:type="dxa" w:w="5040"/>
            <w:shd w:fill="F6F6F6"/>
            <w:vAlign w:val="center"/>
          </w:tcPr>
          <w:p>
            <w:pPr>
              <w:spacing w:after="0"/>
            </w:pPr>
            <w:r/>
            <w:r>
              <w:rPr>
                <w:rFonts w:ascii="Aptos" w:hAnsi="Aptos"/>
                <w:b w:val="0"/>
                <w:color w:val="111111"/>
                <w:sz w:val="17"/>
              </w:rPr>
              <w:t>Navegación</w:t>
            </w:r>
          </w:p>
        </w:tc>
        <w:tc>
          <w:tcPr>
            <w:tcW w:type="dxa" w:w="5040"/>
            <w:shd w:fill="F6F6F6"/>
            <w:vAlign w:val="center"/>
          </w:tcPr>
          <w:p>
            <w:pPr>
              <w:spacing w:after="0"/>
            </w:pPr>
            <w:r/>
            <w:r>
              <w:rPr>
                <w:rFonts w:ascii="Aptos" w:hAnsi="Aptos"/>
                <w:b w:val="0"/>
                <w:color w:val="111111"/>
                <w:sz w:val="17"/>
              </w:rPr>
              <w:t>Texto pequeño pero legible; mantener consistencia de espaciado y estados activos.</w:t>
            </w:r>
          </w:p>
        </w:tc>
      </w:tr>
      <w:tr>
        <w:tc>
          <w:tcPr>
            <w:tcW w:type="dxa" w:w="5040"/>
            <w:vAlign w:val="center"/>
          </w:tcPr>
          <w:p>
            <w:pPr>
              <w:spacing w:after="0"/>
            </w:pPr>
            <w:r/>
            <w:r>
              <w:rPr>
                <w:rFonts w:ascii="Aptos" w:hAnsi="Aptos"/>
                <w:b w:val="0"/>
                <w:color w:val="111111"/>
                <w:sz w:val="17"/>
              </w:rPr>
              <w:t>WhatsApp / contacto</w:t>
            </w:r>
          </w:p>
        </w:tc>
        <w:tc>
          <w:tcPr>
            <w:tcW w:type="dxa" w:w="5040"/>
            <w:vAlign w:val="center"/>
          </w:tcPr>
          <w:p>
            <w:pPr>
              <w:spacing w:after="0"/>
            </w:pPr>
            <w:r/>
            <w:r>
              <w:rPr>
                <w:rFonts w:ascii="Aptos" w:hAnsi="Aptos"/>
                <w:b w:val="0"/>
                <w:color w:val="111111"/>
                <w:sz w:val="17"/>
              </w:rPr>
              <w:t>Mantener el color oficial del servicio solo cuando sea necesario reconocer el canal; evitar que compita con el CTA principal.</w:t>
            </w:r>
          </w:p>
        </w:tc>
      </w:tr>
    </w:tbl>
    <w:p>
      <w:pPr>
        <w:spacing w:after="20"/>
      </w:pPr>
    </w:p>
    <w:p>
      <w:pPr>
        <w:pStyle w:val="Heading2"/>
      </w:pPr>
      <w:r>
        <w:t>Estados de interacción</w:t>
      </w:r>
    </w:p>
    <w:p>
      <w:pPr>
        <w:pStyle w:val="ListBullet"/>
        <w:spacing w:after="40"/>
      </w:pPr>
      <w:r>
        <w:t>Hover: cambio moderado de tono, subrayado o elevación ligera; no combinar todos los efectos.</w:t>
      </w:r>
    </w:p>
    <w:p>
      <w:pPr>
        <w:pStyle w:val="ListBullet"/>
        <w:spacing w:after="40"/>
      </w:pPr>
      <w:r>
        <w:t>Activo/seleccionado: señal visual clara además del color.</w:t>
      </w:r>
    </w:p>
    <w:p>
      <w:pPr>
        <w:pStyle w:val="ListBullet"/>
        <w:spacing w:after="40"/>
      </w:pPr>
      <w:r>
        <w:t>Deshabilitado: menor contraste, pero sin volver ilegible el texto.</w:t>
      </w:r>
    </w:p>
    <w:p>
      <w:pPr>
        <w:pStyle w:val="ListBullet"/>
        <w:spacing w:after="40"/>
      </w:pPr>
      <w:r>
        <w:t>Foco de teclado: borde visible y consistente para accesibilidad.</w:t>
      </w:r>
    </w:p>
    <w:p>
      <w:pPr>
        <w:pStyle w:val="Heading1"/>
      </w:pPr>
      <w:r>
        <w:t>08. Aplicaciones de marca</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Aplicación</w:t>
            </w:r>
          </w:p>
        </w:tc>
        <w:tc>
          <w:tcPr>
            <w:tcW w:type="dxa" w:w="5040"/>
            <w:shd w:fill="111111"/>
            <w:vAlign w:val="center"/>
          </w:tcPr>
          <w:p>
            <w:pPr>
              <w:spacing w:after="0"/>
            </w:pPr>
            <w:r/>
            <w:r>
              <w:rPr>
                <w:rFonts w:ascii="Aptos" w:hAnsi="Aptos"/>
                <w:b/>
                <w:color w:val="FFFFFF"/>
                <w:sz w:val="18"/>
              </w:rPr>
              <w:t>Tratamiento sugerido</w:t>
            </w:r>
          </w:p>
        </w:tc>
      </w:tr>
      <w:tr>
        <w:tc>
          <w:tcPr>
            <w:tcW w:type="dxa" w:w="5040"/>
            <w:shd w:fill="F6F6F6"/>
            <w:vAlign w:val="center"/>
          </w:tcPr>
          <w:p>
            <w:pPr>
              <w:spacing w:after="0"/>
            </w:pPr>
            <w:r/>
            <w:r>
              <w:rPr>
                <w:rFonts w:ascii="Aptos" w:hAnsi="Aptos"/>
                <w:b w:val="0"/>
                <w:color w:val="111111"/>
                <w:sz w:val="17"/>
              </w:rPr>
              <w:t>Banner principal</w:t>
            </w:r>
          </w:p>
        </w:tc>
        <w:tc>
          <w:tcPr>
            <w:tcW w:type="dxa" w:w="5040"/>
            <w:shd w:fill="F6F6F6"/>
            <w:vAlign w:val="center"/>
          </w:tcPr>
          <w:p>
            <w:pPr>
              <w:spacing w:after="0"/>
            </w:pPr>
            <w:r/>
            <w:r>
              <w:rPr>
                <w:rFonts w:ascii="Aptos" w:hAnsi="Aptos"/>
                <w:b w:val="0"/>
                <w:color w:val="111111"/>
                <w:sz w:val="17"/>
              </w:rPr>
              <w:t>Una idea por campaña, titular fuerte, producto protagonista y CTA visible.</w:t>
            </w:r>
          </w:p>
        </w:tc>
      </w:tr>
      <w:tr>
        <w:tc>
          <w:tcPr>
            <w:tcW w:type="dxa" w:w="5040"/>
            <w:vAlign w:val="center"/>
          </w:tcPr>
          <w:p>
            <w:pPr>
              <w:spacing w:after="0"/>
            </w:pPr>
            <w:r/>
            <w:r>
              <w:rPr>
                <w:rFonts w:ascii="Aptos" w:hAnsi="Aptos"/>
                <w:b w:val="0"/>
                <w:color w:val="111111"/>
                <w:sz w:val="17"/>
              </w:rPr>
              <w:t>Categorías</w:t>
            </w:r>
          </w:p>
        </w:tc>
        <w:tc>
          <w:tcPr>
            <w:tcW w:type="dxa" w:w="5040"/>
            <w:vAlign w:val="center"/>
          </w:tcPr>
          <w:p>
            <w:pPr>
              <w:spacing w:after="0"/>
            </w:pPr>
            <w:r/>
            <w:r>
              <w:rPr>
                <w:rFonts w:ascii="Aptos" w:hAnsi="Aptos"/>
                <w:b w:val="0"/>
                <w:color w:val="111111"/>
                <w:sz w:val="17"/>
              </w:rPr>
              <w:t>Código cromático propio por categoría cuando ayude a orientarse; mantener tipografía y márgenes comunes.</w:t>
            </w:r>
          </w:p>
        </w:tc>
      </w:tr>
      <w:tr>
        <w:tc>
          <w:tcPr>
            <w:tcW w:type="dxa" w:w="5040"/>
            <w:shd w:fill="F6F6F6"/>
            <w:vAlign w:val="center"/>
          </w:tcPr>
          <w:p>
            <w:pPr>
              <w:spacing w:after="0"/>
            </w:pPr>
            <w:r/>
            <w:r>
              <w:rPr>
                <w:rFonts w:ascii="Aptos" w:hAnsi="Aptos"/>
                <w:b w:val="0"/>
                <w:color w:val="111111"/>
                <w:sz w:val="17"/>
              </w:rPr>
              <w:t>Producto destacado</w:t>
            </w:r>
          </w:p>
        </w:tc>
        <w:tc>
          <w:tcPr>
            <w:tcW w:type="dxa" w:w="5040"/>
            <w:shd w:fill="F6F6F6"/>
            <w:vAlign w:val="center"/>
          </w:tcPr>
          <w:p>
            <w:pPr>
              <w:spacing w:after="0"/>
            </w:pPr>
            <w:r/>
            <w:r>
              <w:rPr>
                <w:rFonts w:ascii="Aptos" w:hAnsi="Aptos"/>
                <w:b w:val="0"/>
                <w:color w:val="111111"/>
                <w:sz w:val="17"/>
              </w:rPr>
              <w:t>Fondo claro y fotografía de producto limpia; nombre, atributos y precio en jerarquía.</w:t>
            </w:r>
          </w:p>
        </w:tc>
      </w:tr>
      <w:tr>
        <w:tc>
          <w:tcPr>
            <w:tcW w:type="dxa" w:w="5040"/>
            <w:vAlign w:val="center"/>
          </w:tcPr>
          <w:p>
            <w:pPr>
              <w:spacing w:after="0"/>
            </w:pPr>
            <w:r/>
            <w:r>
              <w:rPr>
                <w:rFonts w:ascii="Aptos" w:hAnsi="Aptos"/>
                <w:b w:val="0"/>
                <w:color w:val="111111"/>
                <w:sz w:val="17"/>
              </w:rPr>
              <w:t>Lo más vendido</w:t>
            </w:r>
          </w:p>
        </w:tc>
        <w:tc>
          <w:tcPr>
            <w:tcW w:type="dxa" w:w="5040"/>
            <w:vAlign w:val="center"/>
          </w:tcPr>
          <w:p>
            <w:pPr>
              <w:spacing w:after="0"/>
            </w:pPr>
            <w:r/>
            <w:r>
              <w:rPr>
                <w:rFonts w:ascii="Aptos" w:hAnsi="Aptos"/>
                <w:b w:val="0"/>
                <w:color w:val="111111"/>
                <w:sz w:val="17"/>
              </w:rPr>
              <w:t>Diseño más enérgico con naranja/rojo, pero sin sacrificar legibilidad de nombres y precios.</w:t>
            </w:r>
          </w:p>
        </w:tc>
      </w:tr>
      <w:tr>
        <w:tc>
          <w:tcPr>
            <w:tcW w:type="dxa" w:w="5040"/>
            <w:shd w:fill="F6F6F6"/>
            <w:vAlign w:val="center"/>
          </w:tcPr>
          <w:p>
            <w:pPr>
              <w:spacing w:after="0"/>
            </w:pPr>
            <w:r/>
            <w:r>
              <w:rPr>
                <w:rFonts w:ascii="Aptos" w:hAnsi="Aptos"/>
                <w:b w:val="0"/>
                <w:color w:val="111111"/>
                <w:sz w:val="17"/>
              </w:rPr>
              <w:t>Blog</w:t>
            </w:r>
          </w:p>
        </w:tc>
        <w:tc>
          <w:tcPr>
            <w:tcW w:type="dxa" w:w="5040"/>
            <w:shd w:fill="F6F6F6"/>
            <w:vAlign w:val="center"/>
          </w:tcPr>
          <w:p>
            <w:pPr>
              <w:spacing w:after="0"/>
            </w:pPr>
            <w:r/>
            <w:r>
              <w:rPr>
                <w:rFonts w:ascii="Aptos" w:hAnsi="Aptos"/>
                <w:b w:val="0"/>
                <w:color w:val="111111"/>
                <w:sz w:val="17"/>
              </w:rPr>
              <w:t>Fotografía editorial rectangular, título corto, extracto breve y metadatos discretos.</w:t>
            </w:r>
          </w:p>
        </w:tc>
      </w:tr>
      <w:tr>
        <w:tc>
          <w:tcPr>
            <w:tcW w:type="dxa" w:w="5040"/>
            <w:vAlign w:val="center"/>
          </w:tcPr>
          <w:p>
            <w:pPr>
              <w:spacing w:after="0"/>
            </w:pPr>
            <w:r/>
            <w:r>
              <w:rPr>
                <w:rFonts w:ascii="Aptos" w:hAnsi="Aptos"/>
                <w:b w:val="0"/>
                <w:color w:val="111111"/>
                <w:sz w:val="17"/>
              </w:rPr>
              <w:t>Redes sociales</w:t>
            </w:r>
          </w:p>
        </w:tc>
        <w:tc>
          <w:tcPr>
            <w:tcW w:type="dxa" w:w="5040"/>
            <w:vAlign w:val="center"/>
          </w:tcPr>
          <w:p>
            <w:pPr>
              <w:spacing w:after="0"/>
            </w:pPr>
            <w:r/>
            <w:r>
              <w:rPr>
                <w:rFonts w:ascii="Aptos" w:hAnsi="Aptos"/>
                <w:b w:val="0"/>
                <w:color w:val="111111"/>
                <w:sz w:val="17"/>
              </w:rPr>
              <w:t>Repetir paleta y tipografía; reservar espacio seguro para logo y adaptar cada formato a su proporción.</w:t>
            </w:r>
          </w:p>
        </w:tc>
      </w:tr>
      <w:tr>
        <w:tc>
          <w:tcPr>
            <w:tcW w:type="dxa" w:w="5040"/>
            <w:shd w:fill="F6F6F6"/>
            <w:vAlign w:val="center"/>
          </w:tcPr>
          <w:p>
            <w:pPr>
              <w:spacing w:after="0"/>
            </w:pPr>
            <w:r/>
            <w:r>
              <w:rPr>
                <w:rFonts w:ascii="Aptos" w:hAnsi="Aptos"/>
                <w:b w:val="0"/>
                <w:color w:val="111111"/>
                <w:sz w:val="17"/>
              </w:rPr>
              <w:t>Pie de página</w:t>
            </w:r>
          </w:p>
        </w:tc>
        <w:tc>
          <w:tcPr>
            <w:tcW w:type="dxa" w:w="5040"/>
            <w:shd w:fill="F6F6F6"/>
            <w:vAlign w:val="center"/>
          </w:tcPr>
          <w:p>
            <w:pPr>
              <w:spacing w:after="0"/>
            </w:pPr>
            <w:r/>
            <w:r>
              <w:rPr>
                <w:rFonts w:ascii="Aptos" w:hAnsi="Aptos"/>
                <w:b w:val="0"/>
                <w:color w:val="111111"/>
                <w:sz w:val="17"/>
              </w:rPr>
              <w:t>Fondo negro, logotipo claro y bloques de enlaces organizados; no reducir el contraste de los textos.</w:t>
            </w:r>
          </w:p>
        </w:tc>
      </w:tr>
    </w:tbl>
    <w:p>
      <w:pPr>
        <w:spacing w:after="20"/>
      </w:pPr>
    </w:p>
    <w:p>
      <w:pPr>
        <w:pStyle w:val="Heading2"/>
      </w:pPr>
      <w:r>
        <w:t>Formatos digitales sugeridos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111"/>
            <w:vAlign w:val="center"/>
          </w:tcPr>
          <w:p>
            <w:pPr>
              <w:spacing w:after="0"/>
            </w:pPr>
            <w:r/>
            <w:r>
              <w:rPr>
                <w:rFonts w:ascii="Aptos" w:hAnsi="Aptos"/>
                <w:b/>
                <w:color w:val="FFFFFF"/>
                <w:sz w:val="18"/>
              </w:rPr>
              <w:t>Formato</w:t>
            </w:r>
          </w:p>
        </w:tc>
        <w:tc>
          <w:tcPr>
            <w:tcW w:type="dxa" w:w="3360"/>
            <w:shd w:fill="111111"/>
            <w:vAlign w:val="center"/>
          </w:tcPr>
          <w:p>
            <w:pPr>
              <w:spacing w:after="0"/>
            </w:pPr>
            <w:r/>
            <w:r>
              <w:rPr>
                <w:rFonts w:ascii="Aptos" w:hAnsi="Aptos"/>
                <w:b/>
                <w:color w:val="FFFFFF"/>
                <w:sz w:val="18"/>
              </w:rPr>
              <w:t>Tamaño de trabajo recomendado</w:t>
            </w:r>
          </w:p>
        </w:tc>
        <w:tc>
          <w:tcPr>
            <w:tcW w:type="dxa" w:w="3360"/>
            <w:shd w:fill="111111"/>
            <w:vAlign w:val="center"/>
          </w:tcPr>
          <w:p>
            <w:pPr>
              <w:spacing w:after="0"/>
            </w:pPr>
            <w:r/>
            <w:r>
              <w:rPr>
                <w:rFonts w:ascii="Aptos" w:hAnsi="Aptos"/>
                <w:b/>
                <w:color w:val="FFFFFF"/>
                <w:sz w:val="18"/>
              </w:rPr>
              <w:t>Criterio</w:t>
            </w:r>
          </w:p>
        </w:tc>
      </w:tr>
      <w:tr>
        <w:tc>
          <w:tcPr>
            <w:tcW w:type="dxa" w:w="3360"/>
            <w:shd w:fill="F6F6F6"/>
            <w:vAlign w:val="center"/>
          </w:tcPr>
          <w:p>
            <w:pPr>
              <w:spacing w:after="0"/>
            </w:pPr>
            <w:r/>
            <w:r>
              <w:rPr>
                <w:rFonts w:ascii="Aptos" w:hAnsi="Aptos"/>
                <w:b w:val="0"/>
                <w:color w:val="111111"/>
                <w:sz w:val="17"/>
              </w:rPr>
              <w:t>Post cuadrado</w:t>
            </w:r>
          </w:p>
        </w:tc>
        <w:tc>
          <w:tcPr>
            <w:tcW w:type="dxa" w:w="3360"/>
            <w:shd w:fill="F6F6F6"/>
            <w:vAlign w:val="center"/>
          </w:tcPr>
          <w:p>
            <w:pPr>
              <w:spacing w:after="0"/>
            </w:pPr>
            <w:r/>
            <w:r>
              <w:rPr>
                <w:rFonts w:ascii="Aptos" w:hAnsi="Aptos"/>
                <w:b w:val="0"/>
                <w:color w:val="111111"/>
                <w:sz w:val="17"/>
              </w:rPr>
              <w:t>1080 × 1080 px</w:t>
            </w:r>
          </w:p>
        </w:tc>
        <w:tc>
          <w:tcPr>
            <w:tcW w:type="dxa" w:w="3360"/>
            <w:shd w:fill="F6F6F6"/>
            <w:vAlign w:val="center"/>
          </w:tcPr>
          <w:p>
            <w:pPr>
              <w:spacing w:after="0"/>
            </w:pPr>
            <w:r/>
            <w:r>
              <w:rPr>
                <w:rFonts w:ascii="Aptos" w:hAnsi="Aptos"/>
                <w:b w:val="0"/>
                <w:color w:val="111111"/>
                <w:sz w:val="17"/>
              </w:rPr>
              <w:t>Producto o mensaje central.</w:t>
            </w:r>
          </w:p>
        </w:tc>
      </w:tr>
      <w:tr>
        <w:tc>
          <w:tcPr>
            <w:tcW w:type="dxa" w:w="3360"/>
            <w:vAlign w:val="center"/>
          </w:tcPr>
          <w:p>
            <w:pPr>
              <w:spacing w:after="0"/>
            </w:pPr>
            <w:r/>
            <w:r>
              <w:rPr>
                <w:rFonts w:ascii="Aptos" w:hAnsi="Aptos"/>
                <w:b w:val="0"/>
                <w:color w:val="111111"/>
                <w:sz w:val="17"/>
              </w:rPr>
              <w:t>Post vertical</w:t>
            </w:r>
          </w:p>
        </w:tc>
        <w:tc>
          <w:tcPr>
            <w:tcW w:type="dxa" w:w="3360"/>
            <w:vAlign w:val="center"/>
          </w:tcPr>
          <w:p>
            <w:pPr>
              <w:spacing w:after="0"/>
            </w:pPr>
            <w:r/>
            <w:r>
              <w:rPr>
                <w:rFonts w:ascii="Aptos" w:hAnsi="Aptos"/>
                <w:b w:val="0"/>
                <w:color w:val="111111"/>
                <w:sz w:val="17"/>
              </w:rPr>
              <w:t>1080 × 1350 px</w:t>
            </w:r>
          </w:p>
        </w:tc>
        <w:tc>
          <w:tcPr>
            <w:tcW w:type="dxa" w:w="3360"/>
            <w:vAlign w:val="center"/>
          </w:tcPr>
          <w:p>
            <w:pPr>
              <w:spacing w:after="0"/>
            </w:pPr>
            <w:r/>
            <w:r>
              <w:rPr>
                <w:rFonts w:ascii="Aptos" w:hAnsi="Aptos"/>
                <w:b w:val="0"/>
                <w:color w:val="111111"/>
                <w:sz w:val="17"/>
              </w:rPr>
              <w:t>Más espacio para campaña y jerarquía.</w:t>
            </w:r>
          </w:p>
        </w:tc>
      </w:tr>
      <w:tr>
        <w:tc>
          <w:tcPr>
            <w:tcW w:type="dxa" w:w="3360"/>
            <w:shd w:fill="F6F6F6"/>
            <w:vAlign w:val="center"/>
          </w:tcPr>
          <w:p>
            <w:pPr>
              <w:spacing w:after="0"/>
            </w:pPr>
            <w:r/>
            <w:r>
              <w:rPr>
                <w:rFonts w:ascii="Aptos" w:hAnsi="Aptos"/>
                <w:b w:val="0"/>
                <w:color w:val="111111"/>
                <w:sz w:val="17"/>
              </w:rPr>
              <w:t>Story / reel cover</w:t>
            </w:r>
          </w:p>
        </w:tc>
        <w:tc>
          <w:tcPr>
            <w:tcW w:type="dxa" w:w="3360"/>
            <w:shd w:fill="F6F6F6"/>
            <w:vAlign w:val="center"/>
          </w:tcPr>
          <w:p>
            <w:pPr>
              <w:spacing w:after="0"/>
            </w:pPr>
            <w:r/>
            <w:r>
              <w:rPr>
                <w:rFonts w:ascii="Aptos" w:hAnsi="Aptos"/>
                <w:b w:val="0"/>
                <w:color w:val="111111"/>
                <w:sz w:val="17"/>
              </w:rPr>
              <w:t>1080 × 1920 px</w:t>
            </w:r>
          </w:p>
        </w:tc>
        <w:tc>
          <w:tcPr>
            <w:tcW w:type="dxa" w:w="3360"/>
            <w:shd w:fill="F6F6F6"/>
            <w:vAlign w:val="center"/>
          </w:tcPr>
          <w:p>
            <w:pPr>
              <w:spacing w:after="0"/>
            </w:pPr>
            <w:r/>
            <w:r>
              <w:rPr>
                <w:rFonts w:ascii="Aptos" w:hAnsi="Aptos"/>
                <w:b w:val="0"/>
                <w:color w:val="111111"/>
                <w:sz w:val="17"/>
              </w:rPr>
              <w:t>Mantener texto importante lejos de zonas de interfaz.</w:t>
            </w:r>
          </w:p>
        </w:tc>
      </w:tr>
      <w:tr>
        <w:tc>
          <w:tcPr>
            <w:tcW w:type="dxa" w:w="3360"/>
            <w:vAlign w:val="center"/>
          </w:tcPr>
          <w:p>
            <w:pPr>
              <w:spacing w:after="0"/>
            </w:pPr>
            <w:r/>
            <w:r>
              <w:rPr>
                <w:rFonts w:ascii="Aptos" w:hAnsi="Aptos"/>
                <w:b w:val="0"/>
                <w:color w:val="111111"/>
                <w:sz w:val="17"/>
              </w:rPr>
              <w:t>Banner web</w:t>
            </w:r>
          </w:p>
        </w:tc>
        <w:tc>
          <w:tcPr>
            <w:tcW w:type="dxa" w:w="3360"/>
            <w:vAlign w:val="center"/>
          </w:tcPr>
          <w:p>
            <w:pPr>
              <w:spacing w:after="0"/>
            </w:pPr>
            <w:r/>
            <w:r>
              <w:rPr>
                <w:rFonts w:ascii="Aptos" w:hAnsi="Aptos"/>
                <w:b w:val="0"/>
                <w:color w:val="111111"/>
                <w:sz w:val="17"/>
              </w:rPr>
              <w:t>Adaptado al contenedor real</w:t>
            </w:r>
          </w:p>
        </w:tc>
        <w:tc>
          <w:tcPr>
            <w:tcW w:type="dxa" w:w="3360"/>
            <w:vAlign w:val="center"/>
          </w:tcPr>
          <w:p>
            <w:pPr>
              <w:spacing w:after="0"/>
            </w:pPr>
            <w:r/>
            <w:r>
              <w:rPr>
                <w:rFonts w:ascii="Aptos" w:hAnsi="Aptos"/>
                <w:b w:val="0"/>
                <w:color w:val="111111"/>
                <w:sz w:val="17"/>
              </w:rPr>
              <w:t>Preparar versiones desktop y móvil; no estirar una sola imagen.</w:t>
            </w:r>
          </w:p>
        </w:tc>
      </w:tr>
      <w:tr>
        <w:tc>
          <w:tcPr>
            <w:tcW w:type="dxa" w:w="3360"/>
            <w:shd w:fill="F6F6F6"/>
            <w:vAlign w:val="center"/>
          </w:tcPr>
          <w:p>
            <w:pPr>
              <w:spacing w:after="0"/>
            </w:pPr>
            <w:r/>
            <w:r>
              <w:rPr>
                <w:rFonts w:ascii="Aptos" w:hAnsi="Aptos"/>
                <w:b w:val="0"/>
                <w:color w:val="111111"/>
                <w:sz w:val="17"/>
              </w:rPr>
              <w:t>Miniatura de blog</w:t>
            </w:r>
          </w:p>
        </w:tc>
        <w:tc>
          <w:tcPr>
            <w:tcW w:type="dxa" w:w="3360"/>
            <w:shd w:fill="F6F6F6"/>
            <w:vAlign w:val="center"/>
          </w:tcPr>
          <w:p>
            <w:pPr>
              <w:spacing w:after="0"/>
            </w:pPr>
            <w:r/>
            <w:r>
              <w:rPr>
                <w:rFonts w:ascii="Aptos" w:hAnsi="Aptos"/>
                <w:b w:val="0"/>
                <w:color w:val="111111"/>
                <w:sz w:val="17"/>
              </w:rPr>
              <w:t>1200 × 675 px</w:t>
            </w:r>
          </w:p>
        </w:tc>
        <w:tc>
          <w:tcPr>
            <w:tcW w:type="dxa" w:w="3360"/>
            <w:shd w:fill="F6F6F6"/>
            <w:vAlign w:val="center"/>
          </w:tcPr>
          <w:p>
            <w:pPr>
              <w:spacing w:after="0"/>
            </w:pPr>
            <w:r/>
            <w:r>
              <w:rPr>
                <w:rFonts w:ascii="Aptos" w:hAnsi="Aptos"/>
                <w:b w:val="0"/>
                <w:color w:val="111111"/>
                <w:sz w:val="17"/>
              </w:rPr>
              <w:t>Imagen legible en tarjetas y vista previa.</w:t>
            </w:r>
          </w:p>
        </w:tc>
      </w:tr>
    </w:tbl>
    <w:p>
      <w:pPr>
        <w:spacing w:after="20"/>
      </w:pPr>
    </w:p>
    <w:p>
      <w:pPr>
        <w:pStyle w:val="Heading1"/>
      </w:pPr>
      <w:r>
        <w:t>09. Voz y redacción de marca</w:t>
      </w:r>
    </w:p>
    <w:p>
      <w:r>
        <w:t>La identidad verbal debe acompañar la estética directa y visual de la web. Se recomienda un tono claro, contemporáneo y comercial, sin promesas exageradas ni frases ambiguas.</w:t>
      </w:r>
    </w:p>
    <w:tbl>
      <w:tblPr>
        <w:tblStyle w:val="TableGrid"/>
        <w:tblW w:type="auto" w:w="0"/>
        <w:jc w:val="center"/>
        <w:tblLook w:firstColumn="1" w:firstRow="1" w:lastColumn="0" w:lastRow="0" w:noHBand="0" w:noVBand="1" w:val="04A0"/>
      </w:tblPr>
      <w:tblGrid>
        <w:gridCol w:w="5040"/>
        <w:gridCol w:w="5040"/>
      </w:tblGrid>
      <w:tr>
        <w:tc>
          <w:tcPr>
            <w:tcW w:type="dxa" w:w="5040"/>
            <w:shd w:fill="111111"/>
            <w:vAlign w:val="center"/>
          </w:tcPr>
          <w:p>
            <w:pPr>
              <w:spacing w:after="0"/>
            </w:pPr>
            <w:r/>
            <w:r>
              <w:rPr>
                <w:rFonts w:ascii="Aptos" w:hAnsi="Aptos"/>
                <w:b/>
                <w:color w:val="FFFFFF"/>
                <w:sz w:val="18"/>
              </w:rPr>
              <w:t>Sí hacer</w:t>
            </w:r>
          </w:p>
        </w:tc>
        <w:tc>
          <w:tcPr>
            <w:tcW w:type="dxa" w:w="5040"/>
            <w:shd w:fill="111111"/>
            <w:vAlign w:val="center"/>
          </w:tcPr>
          <w:p>
            <w:pPr>
              <w:spacing w:after="0"/>
            </w:pPr>
            <w:r/>
            <w:r>
              <w:rPr>
                <w:rFonts w:ascii="Aptos" w:hAnsi="Aptos"/>
                <w:b/>
                <w:color w:val="FFFFFF"/>
                <w:sz w:val="18"/>
              </w:rPr>
              <w:t>Evitar</w:t>
            </w:r>
          </w:p>
        </w:tc>
      </w:tr>
      <w:tr>
        <w:tc>
          <w:tcPr>
            <w:tcW w:type="dxa" w:w="5040"/>
            <w:shd w:fill="F6F6F6"/>
            <w:vAlign w:val="center"/>
          </w:tcPr>
          <w:p>
            <w:pPr>
              <w:spacing w:after="0"/>
            </w:pPr>
            <w:r/>
            <w:r>
              <w:rPr>
                <w:rFonts w:ascii="Aptos" w:hAnsi="Aptos"/>
                <w:b w:val="0"/>
                <w:color w:val="111111"/>
                <w:sz w:val="17"/>
              </w:rPr>
              <w:t>Titulares cortos y concretos.</w:t>
            </w:r>
          </w:p>
        </w:tc>
        <w:tc>
          <w:tcPr>
            <w:tcW w:type="dxa" w:w="5040"/>
            <w:shd w:fill="F6F6F6"/>
            <w:vAlign w:val="center"/>
          </w:tcPr>
          <w:p>
            <w:pPr>
              <w:spacing w:after="0"/>
            </w:pPr>
            <w:r/>
            <w:r>
              <w:rPr>
                <w:rFonts w:ascii="Aptos" w:hAnsi="Aptos"/>
                <w:b w:val="0"/>
                <w:color w:val="111111"/>
                <w:sz w:val="17"/>
              </w:rPr>
              <w:t>Párrafos largos dentro de banners.</w:t>
            </w:r>
          </w:p>
        </w:tc>
      </w:tr>
      <w:tr>
        <w:tc>
          <w:tcPr>
            <w:tcW w:type="dxa" w:w="5040"/>
            <w:vAlign w:val="center"/>
          </w:tcPr>
          <w:p>
            <w:pPr>
              <w:spacing w:after="0"/>
            </w:pPr>
            <w:r/>
            <w:r>
              <w:rPr>
                <w:rFonts w:ascii="Aptos" w:hAnsi="Aptos"/>
                <w:b w:val="0"/>
                <w:color w:val="111111"/>
                <w:sz w:val="17"/>
              </w:rPr>
              <w:t>Beneficios verificables y especificaciones claras.</w:t>
            </w:r>
          </w:p>
        </w:tc>
        <w:tc>
          <w:tcPr>
            <w:tcW w:type="dxa" w:w="5040"/>
            <w:vAlign w:val="center"/>
          </w:tcPr>
          <w:p>
            <w:pPr>
              <w:spacing w:after="0"/>
            </w:pPr>
            <w:r/>
            <w:r>
              <w:rPr>
                <w:rFonts w:ascii="Aptos" w:hAnsi="Aptos"/>
                <w:b w:val="0"/>
                <w:color w:val="111111"/>
                <w:sz w:val="17"/>
              </w:rPr>
              <w:t>Afirmaciones absolutas o características no confirmadas.</w:t>
            </w:r>
          </w:p>
        </w:tc>
      </w:tr>
      <w:tr>
        <w:tc>
          <w:tcPr>
            <w:tcW w:type="dxa" w:w="5040"/>
            <w:shd w:fill="F6F6F6"/>
            <w:vAlign w:val="center"/>
          </w:tcPr>
          <w:p>
            <w:pPr>
              <w:spacing w:after="0"/>
            </w:pPr>
            <w:r/>
            <w:r>
              <w:rPr>
                <w:rFonts w:ascii="Aptos" w:hAnsi="Aptos"/>
                <w:b w:val="0"/>
                <w:color w:val="111111"/>
                <w:sz w:val="17"/>
              </w:rPr>
              <w:t>Llamadas a la acción directas.</w:t>
            </w:r>
          </w:p>
        </w:tc>
        <w:tc>
          <w:tcPr>
            <w:tcW w:type="dxa" w:w="5040"/>
            <w:shd w:fill="F6F6F6"/>
            <w:vAlign w:val="center"/>
          </w:tcPr>
          <w:p>
            <w:pPr>
              <w:spacing w:after="0"/>
            </w:pPr>
            <w:r/>
            <w:r>
              <w:rPr>
                <w:rFonts w:ascii="Aptos" w:hAnsi="Aptos"/>
                <w:b w:val="0"/>
                <w:color w:val="111111"/>
                <w:sz w:val="17"/>
              </w:rPr>
              <w:t>Demasiados CTA compitiendo entre sí.</w:t>
            </w:r>
          </w:p>
        </w:tc>
      </w:tr>
      <w:tr>
        <w:tc>
          <w:tcPr>
            <w:tcW w:type="dxa" w:w="5040"/>
            <w:vAlign w:val="center"/>
          </w:tcPr>
          <w:p>
            <w:pPr>
              <w:spacing w:after="0"/>
            </w:pPr>
            <w:r/>
            <w:r>
              <w:rPr>
                <w:rFonts w:ascii="Aptos" w:hAnsi="Aptos"/>
                <w:b w:val="0"/>
                <w:color w:val="111111"/>
                <w:sz w:val="17"/>
              </w:rPr>
              <w:t>Consistencia en nombres de categorías y productos.</w:t>
            </w:r>
          </w:p>
        </w:tc>
        <w:tc>
          <w:tcPr>
            <w:tcW w:type="dxa" w:w="5040"/>
            <w:vAlign w:val="center"/>
          </w:tcPr>
          <w:p>
            <w:pPr>
              <w:spacing w:after="0"/>
            </w:pPr>
            <w:r/>
            <w:r>
              <w:rPr>
                <w:rFonts w:ascii="Aptos" w:hAnsi="Aptos"/>
                <w:b w:val="0"/>
                <w:color w:val="111111"/>
                <w:sz w:val="17"/>
              </w:rPr>
              <w:t>Cambiar términos para el mismo producto sin motivo.</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4E8"/>
          </w:tcPr>
          <w:p>
            <w:r/>
            <w:r>
              <w:rPr>
                <w:b/>
                <w:color w:val="F36B21"/>
              </w:rPr>
              <w:t xml:space="preserve">Criterio de responsabilidad  </w:t>
            </w:r>
            <w:r>
              <w:t>Por tratarse de productos relacionados con vapeo, las comunicaciones deben cumplir la normativa aplicable en cada mercado, las restricciones de edad y las políticas de cada plataforma. No dirigir promociones a menores ni presentar los productos como inocuos o como tratamiento médico.</w:t>
            </w:r>
          </w:p>
        </w:tc>
      </w:tr>
    </w:tbl>
    <w:p/>
    <w:p>
      <w:pPr>
        <w:pStyle w:val="Heading1"/>
      </w:pPr>
      <w:r>
        <w:t>10. Checklist de control de calidad</w:t>
      </w:r>
    </w:p>
    <w:p>
      <w:pPr>
        <w:pStyle w:val="ListBullet"/>
        <w:spacing w:after="40"/>
      </w:pPr>
      <w:r>
        <w:t>¿Se utiliza el logotipo oficial y está en proporción correcta?</w:t>
      </w:r>
    </w:p>
    <w:p>
      <w:pPr>
        <w:pStyle w:val="ListBullet"/>
        <w:spacing w:after="40"/>
      </w:pPr>
      <w:r>
        <w:t>¿El contraste permite leer todo el contenido en móvil?</w:t>
      </w:r>
    </w:p>
    <w:p>
      <w:pPr>
        <w:pStyle w:val="ListBullet"/>
        <w:spacing w:after="40"/>
      </w:pPr>
      <w:r>
        <w:t>¿Existe un solo mensaje principal?</w:t>
      </w:r>
    </w:p>
    <w:p>
      <w:pPr>
        <w:pStyle w:val="ListBullet"/>
        <w:spacing w:after="40"/>
      </w:pPr>
      <w:r>
        <w:t>¿El producto está representado con fidelidad?</w:t>
      </w:r>
    </w:p>
    <w:p>
      <w:pPr>
        <w:pStyle w:val="ListBullet"/>
        <w:spacing w:after="40"/>
      </w:pPr>
      <w:r>
        <w:t>¿Los colores se ajustan a la paleta y el acento no domina sin motivo?</w:t>
      </w:r>
    </w:p>
    <w:p>
      <w:pPr>
        <w:pStyle w:val="ListBullet"/>
        <w:spacing w:after="40"/>
      </w:pPr>
      <w:r>
        <w:t>¿Se utilizan como máximo dos familias tipográficas?</w:t>
      </w:r>
    </w:p>
    <w:p>
      <w:pPr>
        <w:pStyle w:val="ListBullet"/>
        <w:spacing w:after="40"/>
      </w:pPr>
      <w:r>
        <w:t>¿El CTA se distingue claramente de la información secundaria?</w:t>
      </w:r>
    </w:p>
    <w:p>
      <w:pPr>
        <w:pStyle w:val="ListBullet"/>
        <w:spacing w:after="40"/>
      </w:pPr>
      <w:r>
        <w:t>¿Se verificaron precios, características, disponibilidad y condiciones promocionales?</w:t>
      </w:r>
    </w:p>
    <w:p>
      <w:pPr>
        <w:pStyle w:val="ListBullet"/>
        <w:spacing w:after="40"/>
      </w:pPr>
      <w:r>
        <w:t>¿La pieza cumple las políticas de edad, publicidad y plataforma aplicables?</w:t>
      </w:r>
    </w:p>
    <w:p>
      <w:pPr>
        <w:pStyle w:val="Heading1"/>
      </w:pPr>
      <w:r>
        <w:t>11. Activos que se deben solicitar para cerrar la versión oficial</w:t>
      </w:r>
    </w:p>
    <w:p>
      <w:r>
        <w:t>Para transformar esta guía preliminar en un manual normativo definitivo, solicitar al equipo de Vapor Club:</w:t>
      </w:r>
    </w:p>
    <w:p>
      <w:pPr>
        <w:pStyle w:val="ListBullet"/>
        <w:spacing w:after="40"/>
      </w:pPr>
      <w:r>
        <w:t>Logotipo vectorial original (SVG, AI, EPS o PDF) y versiones clara/oscura.</w:t>
      </w:r>
    </w:p>
    <w:p>
      <w:pPr>
        <w:pStyle w:val="ListBullet"/>
        <w:spacing w:after="40"/>
      </w:pPr>
      <w:r>
        <w:t>Archivos de marca y guía anterior, si existe.</w:t>
      </w:r>
    </w:p>
    <w:p>
      <w:pPr>
        <w:pStyle w:val="ListBullet"/>
        <w:spacing w:after="40"/>
      </w:pPr>
      <w:r>
        <w:t>CSS o design tokens del sitio para confirmar HEX, tipografías y pesos reales.</w:t>
      </w:r>
    </w:p>
    <w:p>
      <w:pPr>
        <w:pStyle w:val="ListBullet"/>
        <w:spacing w:after="40"/>
      </w:pPr>
      <w:r>
        <w:t>Nombres/licencias de las fuentes empleadas.</w:t>
      </w:r>
    </w:p>
    <w:p>
      <w:pPr>
        <w:pStyle w:val="ListBullet"/>
        <w:spacing w:after="40"/>
      </w:pPr>
      <w:r>
        <w:t>Plantillas actuales de redes sociales, banners y fichas de producto.</w:t>
      </w:r>
    </w:p>
    <w:p>
      <w:pPr>
        <w:pStyle w:val="ListBullet"/>
        <w:spacing w:after="40"/>
      </w:pPr>
      <w:r>
        <w:t>Reglas de uso comercial, claims aprobados y restricciones legales por territorio.</w:t>
      </w:r>
    </w:p>
    <w:p>
      <w:pPr>
        <w:pStyle w:val="Heading2"/>
      </w:pPr>
      <w:r>
        <w:t>Resumen ejecutivo</w:t>
      </w:r>
    </w:p>
    <w:p>
      <w:r>
        <w:t>La identidad visual observada se apoya en negro y blanco como base, naranja y amarillo para energía comercial, turquesa como acento fresco/tecnológico, titulares sans serif de gran peso y fotografía de producto protagonista. La consistencia dependerá de limitar los efectos decorativos, preservar el logotipo oficial y priorizar legibilidad y jerarquía.</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Guía preliminar basada en captura web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VAPOR CLUB  |  MANUAL DE MARCA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F36B2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