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MEMORANDUM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TO</w:t>
            </w:r>
          </w:p>
        </w:tc>
        <w:tc>
          <w:tcPr>
            <w:tcW w:type="dxa" w:w="81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Chief Executive Officer | Chief Financial Officer</w:t>
            </w:r>
          </w:p>
        </w:tc>
      </w:tr>
      <w:tr>
        <w:tc>
          <w:tcPr>
            <w:tcW w:type="dxa" w:w="12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FROM</w:t>
            </w:r>
          </w:p>
        </w:tc>
        <w:tc>
          <w:tcPr>
            <w:tcW w:type="dxa" w:w="81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 Jegadeswari, VP of Operations</w:t>
            </w:r>
          </w:p>
        </w:tc>
      </w:tr>
      <w:tr>
        <w:tc>
          <w:tcPr>
            <w:tcW w:type="dxa" w:w="12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DATE</w:t>
            </w:r>
          </w:p>
        </w:tc>
        <w:tc>
          <w:tcPr>
            <w:tcW w:type="dxa" w:w="81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 March 2026</w:t>
            </w:r>
          </w:p>
        </w:tc>
      </w:tr>
      <w:tr>
        <w:tc>
          <w:tcPr>
            <w:tcW w:type="dxa" w:w="12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</w:t>
            </w:r>
          </w:p>
        </w:tc>
        <w:tc>
          <w:tcPr>
            <w:tcW w:type="dxa" w:w="81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Vendor Spend Rationalisation — Findings &amp; Recommendations</w:t>
            </w:r>
          </w:p>
        </w:tc>
      </w:tr>
    </w:tbl>
    <w:p>
      <w:pPr>
        <w:pBdr>
          <w:bottom w:val="single" w:color="1F3864" w:sz="10" w:space="1"/>
        </w:pBdr>
        <w:spacing w:after="140" w:before="80"/>
      </w:pPr>
    </w:p>
    <w:p>
      <w:pPr>
        <w:pBdr>
          <w:bottom w:val="single" w:color="1F3864" w:sz="6" w:space="1"/>
        </w:pBdr>
        <w:spacing w:after="8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VENDOR SPEND OVERVIEW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386 active vendors | Total LTM spend: $7,887,360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Breakdown: 344 vendors for Termination ($1,552,621, 19.7%); 25 for Optimisation ($6,189,417, 78.5%); 17 for Consolidation ($145,322, 1.8%)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Top 10 vendors account for 63.9% of total spend — acute concentration risk</w:t>
      </w:r>
    </w:p>
    <w:p>
      <w:pPr>
        <w:pBdr>
          <w:bottom w:val="single" w:color="1F3864" w:sz="6" w:space="1"/>
        </w:pBdr>
        <w:spacing w:after="8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MAJOR COST DRIVERS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Salesforce UK Ltd-UK represents $3,117,226 (39.5% of total spend) — highest-impact renegotiation target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Top departments by spend: Sales ($3,172,799), G&amp;A ($881,895), Facilities ($852,015)</w:t>
      </w:r>
    </w:p>
    <w:p>
      <w:pPr>
        <w:pBdr>
          <w:bottom w:val="single" w:color="1F3864" w:sz="6" w:space="1"/>
        </w:pBdr>
        <w:spacing w:after="8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TOP 3 OPPORTUNITIES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Salesforce Enterprise Renegotiation: Seat-count audit + multi-year renewal renegotiation + Slack bundle consolidation — est. $467,000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Navan T&amp;E Platform Consolidation: Merge duplicate entities + renegotiate master agreement on $415,913 combined spend — est. $73,000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BDO + RSM Finance Advisory Right-sizing: Competitive re-tender + scope rationalisation across $460,159 combined advisory spend — est. $92,000</w:t>
      </w:r>
    </w:p>
    <w:p>
      <w:pPr>
        <w:spacing w:after="60"/>
        <w:jc w:val="both"/>
      </w:pPr>
      <w:r>
        <w:rPr>
          <w:rFonts w:ascii="Arial" w:cs="Arial" w:eastAsia="Arial" w:hAnsi="Arial"/>
          <w:sz w:val="20"/>
          <w:szCs w:val="20"/>
        </w:rPr>
        <w:t xml:space="preserve">Total estimated savings: $632,000</w:t>
      </w:r>
    </w:p>
    <w:p>
      <w:pPr>
        <w:pBdr>
          <w:bottom w:val="single" w:color="1F3864" w:sz="6" w:space="1"/>
        </w:pBdr>
        <w:spacing w:after="8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ESTIMATED SAVINGS SUMMARY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Total identified savings: $2,213,621 (28.1% of total LTM spend)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Year 1 conservatively realisable: $1,300,000 (50–70% of identified savings)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Payback on implementation effort: under 6 months</w:t>
      </w:r>
    </w:p>
    <w:p>
      <w:pPr>
        <w:pBdr>
          <w:bottom w:val="single" w:color="1F3864" w:sz="6" w:space="1"/>
        </w:pBdr>
        <w:spacing w:after="8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IMPLEMENTATION ROADMAP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Month 1-2: Terminate low-value vendor contracts at next renewal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Month 2-4: Consolidate duplicate tool categories; migrate to preferred platform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Month 3-6: Renegotiate strategic vendor contracts with benchmarking data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Month 6+:  Establish quarterly vendor review cadence and spend monitoring</w:t>
      </w:r>
    </w:p>
    <w:p>
      <w:pPr>
        <w:pBdr>
          <w:bottom w:val="single" w:color="1F3864" w:sz="6" w:space="1"/>
        </w:pBdr>
        <w:spacing w:after="8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RISKS AND MITIGATIONS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Salesforce concentration (39.5% single-vendor): benchmark alternatives to strengthen negotiation leverage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Contract exit penalties on terminations: time all exits to coincide with next renewal dates</w:t>
      </w:r>
    </w:p>
    <w:p>
      <w:pPr>
        <w:pBdr>
          <w:top w:val="single" w:color="CCCCCC" w:sz="4" w:space="1"/>
        </w:pBdr>
        <w:spacing w:after="60" w:before="120"/>
      </w:pP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RECOMMENDED NEXT STEP</w:t>
      </w:r>
    </w:p>
    <w:p>
      <w:pPr>
        <w:spacing w:after="60"/>
        <w:jc w:val="both"/>
      </w:pPr>
      <w:r>
        <w:rPr>
          <w:rFonts w:ascii="Arial" w:cs="Arial" w:eastAsia="Arial" w:hAnsi="Arial"/>
          <w:sz w:val="20"/>
          <w:szCs w:val="20"/>
        </w:rPr>
        <w:t xml:space="preserve">Convene a vendor rationalisation steering committee within 30 days to approve termination and renegotiation mandates.</w:t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Vendor Spend Strategy Assessment  ·  21 March 2026  ·  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of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jc w:val="left"/>
    </w:pPr>
    <w:r>
      <w:rPr>
        <w:rFonts w:ascii="Arial" w:cs="Arial" w:eastAsia="Arial" w:hAnsi="Arial"/>
        <w:b/>
        <w:bCs/>
        <w:color w:val="C00000"/>
        <w:sz w:val="16"/>
        <w:szCs w:val="16"/>
      </w:rPr>
      <w:t xml:space="preserve">CONFIDENTIAL</w:t>
    </w:r>
    <w:r>
      <w:rPr>
        <w:rFonts w:ascii="Arial" w:cs="Arial" w:eastAsia="Arial" w:hAnsi="Arial"/>
        <w:color w:val="888888"/>
        <w:sz w:val="16"/>
        <w:szCs w:val="16"/>
      </w:rPr>
      <w:t xml:space="preserve">  ·  Vendor Spend Strategy Assessment  ·  For CEO and CFO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2026-03-20T21:50:38.963Z</dcterms:created>
  <dcterms:modified xsi:type="dcterms:W3CDTF">2026-03-20T21:50:38.963Z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