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MEMORANDUM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Executive Officer | Chief Financial Officer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FROM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R. Jegadeswari, Procurement &amp; Finance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March 2026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Spend Rationalisation — Findings &amp; Recommendations</w:t>
            </w:r>
          </w:p>
        </w:tc>
      </w:tr>
    </w:tbl>
    <w:p>
      <w:pPr>
        <w:pBdr>
          <w:bottom w:val="single" w:color="1F3864" w:sz="10" w:space="1"/>
        </w:pBdr>
        <w:spacing w:after="140" w:before="80"/>
      </w:pPr>
    </w:p>
    <w:p>
      <w:pPr>
        <w:pBdr>
          <w:bottom w:val="single" w:color="1F3864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VENDOR SPEND OVERVIEW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386 active vendors | Total LTM spend: $7.89M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Breakdown: 265 vendors for Termination ($1.48M, 18.7%); 22 for Optimisation ($4.90M, 62.1%); 99 for Consolidation ($1.51M, 19.2%)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Top 10 vendors account for 63.9% of total spend — acute concentration risk</w:t>
      </w:r>
    </w:p>
    <w:p>
      <w:pPr>
        <w:pBdr>
          <w:bottom w:val="single" w:color="1F3864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TOP 3 OPPORTUNITIES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Opportunities structured across Immediate and Parallel Strategic tracks to maximise speed, feasibility, and minimise operational risk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Salesforce UK Contract Renegotiation (Immediate): right-size licences and secure multi-year pricing — est. $467,584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Long-tail Vendor Termination Program (Parallel Strategic): cancel 265 Terminate-rated vendors, prioritising Score-1 SaaS first — est. $163,215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Co-working &amp; Office Space Consolidation: rationalise 8 vendors ($828K portfolio) to 1–2 preferred operators — est. $124,175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Total estimated savings: $754,974</w:t>
      </w:r>
    </w:p>
    <w:p>
      <w:pPr>
        <w:pBdr>
          <w:bottom w:val="single" w:color="1F3864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ESTIMATED SAVINGS 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Total identified savings: $754,974 (9.6% of total LTM spend)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Year 1 conservatively realisable: $453,000 (60% of identified savings)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Payback on implementation effort: under 6 months</w:t>
      </w:r>
    </w:p>
    <w:p>
      <w:pPr>
        <w:pBdr>
          <w:bottom w:val="single" w:color="1F3864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IMPLEMENTATION ROADMAP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Month 1–2: Launch Salesforce renegotiation with procurement lead; activate 265-vendor termination program targeting Score-1 SaaS cancellations first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Month 3–4: Continue vendor termination closures; issue co-working RFP and consolidate 8 operators to preferred panel of 1–2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Month 4–6: Execute final Salesforce contract amendment; complete co-working consolidation and migrate headcount to retained locations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Month 6+: Institutionalise quarterly vendor governance reviews; enforce category ownership to prevent tail-spend creep</w:t>
      </w:r>
    </w:p>
    <w:p>
      <w:pPr>
        <w:pBdr>
          <w:bottom w:val="single" w:color="1F3864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RISKS AND MITIGATIONS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Salesforce service disruption: Negotiate phased licence reduction with no-downtime SLA protection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Departmental resistance to terminations: Engage budget owners early to pre-empt escalations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Co-working lease break penalties: Review break clauses before issuing termination notices</w:t>
      </w:r>
    </w:p>
    <w:p>
      <w:pPr>
        <w:pBdr>
          <w:top w:val="single" w:color="CCCCCC" w:sz="4" w:space="1"/>
        </w:pBdr>
        <w:spacing w:after="60" w:before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RECOMMENDED NEXT STEP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Assign procurement lead to initiate Salesforce UK renegotiation by 30 April 2026, while simultaneously activating the 265-vendor termination program in Week 1 to capture quick-win savings in parallel.</w:t>
      </w:r>
    </w:p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Vendor Spend Strategy Assessment  ·  23 March 2026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left"/>
    </w:pPr>
    <w:r>
      <w:rPr>
        <w:rFonts w:ascii="Arial" w:cs="Arial" w:eastAsia="Arial" w:hAnsi="Arial"/>
        <w:b/>
        <w:bCs/>
        <w:color w:val="C00000"/>
        <w:sz w:val="16"/>
        <w:szCs w:val="16"/>
      </w:rPr>
      <w:t xml:space="preserve">CONFIDENTIAL</w:t>
    </w:r>
    <w:r>
      <w:rPr>
        <w:rFonts w:ascii="Arial" w:cs="Arial" w:eastAsia="Arial" w:hAnsi="Arial"/>
        <w:color w:val="888888"/>
        <w:sz w:val="16"/>
        <w:szCs w:val="16"/>
      </w:rPr>
      <w:t xml:space="preserve">  ·  Vendor Spend Strategy Assessment  ·  For CEO and CFO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2026-03-22T18:59:28.067Z</dcterms:created>
  <dcterms:modified xsi:type="dcterms:W3CDTF">2026-03-22T18:59:28.067Z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