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MEMORANDUM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TO</w:t>
            </w:r>
          </w:p>
        </w:tc>
        <w:tc>
          <w:tcPr>
            <w:tcW w:type="dxa" w:w="81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Chief Executive Officer | Chief Financial Officer</w:t>
            </w:r>
          </w:p>
        </w:tc>
      </w:tr>
      <w:tr>
        <w:tc>
          <w:tcPr>
            <w:tcW w:type="dxa" w:w="12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FROM</w:t>
            </w:r>
          </w:p>
        </w:tc>
        <w:tc>
          <w:tcPr>
            <w:tcW w:type="dxa" w:w="81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R. Jegadeswari, Strategic Procurement Lead</w:t>
            </w:r>
          </w:p>
        </w:tc>
      </w:tr>
      <w:tr>
        <w:tc>
          <w:tcPr>
            <w:tcW w:type="dxa" w:w="12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DATE</w:t>
            </w:r>
          </w:p>
        </w:tc>
        <w:tc>
          <w:tcPr>
            <w:tcW w:type="dxa" w:w="81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 March 2026</w:t>
            </w:r>
          </w:p>
        </w:tc>
      </w:tr>
      <w:tr>
        <w:tc>
          <w:tcPr>
            <w:tcW w:type="dxa" w:w="12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RE</w:t>
            </w:r>
          </w:p>
        </w:tc>
        <w:tc>
          <w:tcPr>
            <w:tcW w:type="dxa" w:w="81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Vendor Spend Rationalisation — Findings &amp; Recommendations</w:t>
            </w:r>
          </w:p>
        </w:tc>
      </w:tr>
    </w:tbl>
    <w:p>
      <w:pPr>
        <w:pBdr>
          <w:bottom w:val="single" w:color="1F3864" w:sz="10" w:space="1"/>
        </w:pBdr>
        <w:spacing w:after="140" w:before="80"/>
      </w:pPr>
    </w:p>
    <w:p>
      <w:pPr>
        <w:pBdr>
          <w:bottom w:val="single" w:color="1F3864" w:sz="6" w:space="1"/>
        </w:pBdr>
        <w:spacing w:after="80" w:before="1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VENDOR SPEND OVERVIEW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386 active vendors | Total LTM spend: $7,887,360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Breakdown: 265 vendors for Termination ($1,475,052, 18.7%); 22 for Optimisation ($4,899,490, 62.1%); 99 for Consolidation ($1,512,819, 19.2%)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Top 10 vendors account for 63.9% of total spend — acute concentration risk</w:t>
      </w:r>
    </w:p>
    <w:p>
      <w:pPr>
        <w:pBdr>
          <w:bottom w:val="single" w:color="1F3864" w:sz="6" w:space="1"/>
        </w:pBdr>
        <w:spacing w:after="80" w:before="1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TOP 3 OPPORTUNITIES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Opportunities structured across Immediate and Parallel Strategic tracks to maximise speed, feasibility, and minimise operational risk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Renegotiate Salesforce UK Enterprise Contract: right-size licences and renegotiate multi-year pricing using $3.1M volume leverage — est. $468,000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Execute Long-tail Vendor Termination Program: cancel 265 low-value SaaS subscriptions and non-renew tail contracts immediately — est. $163,000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Consolidate Co-working and Office Space Portfolio: consolidate 8 co-working vendors to 1–2 preferred operators; renegotiate volume-based terms — est. $124,000</w:t>
      </w:r>
    </w:p>
    <w:p>
      <w:pPr>
        <w:spacing w:after="60"/>
        <w:jc w:val="both"/>
      </w:pPr>
      <w:r>
        <w:rPr>
          <w:rFonts w:ascii="Arial" w:cs="Arial" w:eastAsia="Arial" w:hAnsi="Arial"/>
          <w:sz w:val="20"/>
          <w:szCs w:val="20"/>
        </w:rPr>
        <w:t xml:space="preserve">Total estimated savings: $755,000</w:t>
      </w:r>
    </w:p>
    <w:p>
      <w:pPr>
        <w:pBdr>
          <w:bottom w:val="single" w:color="1F3864" w:sz="6" w:space="1"/>
        </w:pBdr>
        <w:spacing w:after="80" w:before="1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ESTIMATED SAVINGS SUMMARY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Total identified savings: $755,000 (9.6% of total LTM spend)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Year 1 conservatively realisable: $453,000 (60% of identified savings)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Payback on implementation effort: under 6 months</w:t>
      </w:r>
    </w:p>
    <w:p>
      <w:pPr>
        <w:pBdr>
          <w:bottom w:val="single" w:color="1F3864" w:sz="6" w:space="1"/>
        </w:pBdr>
        <w:spacing w:after="80" w:before="1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IMPLEMENTATION ROADMAP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Month 1–2: Terminate 265 low-value vendors; close duplicate AP entities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Month 3–4: Consolidate co-working portfolio to two preferred operators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Month 4–6: Launch Salesforce renegotiation with executive sponsorship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Month 6+: Execute insurance and audit consolidation; embed vendor governance</w:t>
      </w:r>
    </w:p>
    <w:p>
      <w:pPr>
        <w:pBdr>
          <w:bottom w:val="single" w:color="1F3864" w:sz="6" w:space="1"/>
        </w:pBdr>
        <w:spacing w:after="80" w:before="1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RISKS AND MITIGATIONS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Service disruption: stagger terminations; confirm substitutes before exit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Negotiation failure: engage Salesforce pre-renewal; deploy volume leverage early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Vendor concentration: Salesforce at 39.5% — run parallel CRM benchmark if talks stall</w:t>
      </w:r>
    </w:p>
    <w:p>
      <w:pPr>
        <w:pBdr>
          <w:top w:val="single" w:color="CCCCCC" w:sz="4" w:space="1"/>
        </w:pBdr>
        <w:spacing w:after="60" w:before="120"/>
      </w:pP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RECOMMENDED NEXT STEP</w:t>
      </w:r>
    </w:p>
    <w:p>
      <w:pPr>
        <w:spacing w:after="60"/>
        <w:jc w:val="both"/>
      </w:pPr>
      <w:r>
        <w:rPr>
          <w:rFonts w:ascii="Arial" w:cs="Arial" w:eastAsia="Arial" w:hAnsi="Arial"/>
          <w:sz w:val="20"/>
          <w:szCs w:val="20"/>
        </w:rPr>
        <w:t xml:space="preserve">CPO to engage Salesforce UK in Q2 2026 ahead of the enterprise renewal window — leveraging the $3.1M contract volume to negotiate a minimum 15% reduction and multi-year lock-in; this single action unlocks $468,000 annually and directly addresses the portfolio's most acute concentration risk.</w:t>
      </w:r>
    </w:p>
    <w:sectPr>
      <w:headerReference w:type="default" r:id="rId7"/>
      <w:footerReference w:type="default" r:id="rId8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Vendor Spend Strategy Assessment  ·  22 March 2026  ·  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of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jc w:val="left"/>
    </w:pPr>
    <w:r>
      <w:rPr>
        <w:rFonts w:ascii="Arial" w:cs="Arial" w:eastAsia="Arial" w:hAnsi="Arial"/>
        <w:b/>
        <w:bCs/>
        <w:color w:val="C00000"/>
        <w:sz w:val="16"/>
        <w:szCs w:val="16"/>
      </w:rPr>
      <w:t xml:space="preserve">CONFIDENTIAL</w:t>
    </w:r>
    <w:r>
      <w:rPr>
        <w:rFonts w:ascii="Arial" w:cs="Arial" w:eastAsia="Arial" w:hAnsi="Arial"/>
        <w:color w:val="888888"/>
        <w:sz w:val="16"/>
        <w:szCs w:val="16"/>
      </w:rPr>
      <w:t xml:space="preserve">  ·  Vendor Spend Strategy Assessment  ·  For CEO and CFO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2026-03-22T17:15:48.479Z</dcterms:created>
  <dcterms:modified xsi:type="dcterms:W3CDTF">2026-03-22T17:15:48.479Z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