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8640"/>
            <w:shd w:fill="1E3A8A"/>
            <w:tcMar>
              <w:top w:w="80" w:type="dxa"/>
              <w:bottom w:w="80" w:type="dxa"/>
              <w:left w:w="140" w:type="dxa"/>
              <w:right w:w="140" w:type="dxa"/>
            </w:tcMar>
          </w:tcPr>
          <w:p>
            <w:pPr>
              <w:jc w:val="center"/>
            </w:pPr>
            <w:r>
              <w:rPr>
                <w:rFonts w:ascii="Segoe UI" w:hAnsi="Segoe UI"/>
                <w:b/>
                <w:color w:val="FFFFFF"/>
                <w:sz w:val="17"/>
              </w:rPr>
              <w:t>KL DEEMED TO BE UNIVERSITY  |  DEPARTMENT OF COMPUTER SCIENCE &amp; ENGINEERING</w:t>
            </w:r>
          </w:p>
        </w:tc>
      </w:tr>
    </w:tbl>
    <w:p>
      <w:pPr>
        <w:spacing w:before="720" w:after="0"/>
      </w:pPr>
    </w:p>
    <w:p>
      <w:pPr>
        <w:spacing w:before="0" w:after="80"/>
      </w:pPr>
      <w:r>
        <w:rPr>
          <w:rFonts w:ascii="Segoe UI" w:hAnsi="Segoe UI"/>
          <w:b/>
          <w:color w:val="0D9488"/>
          <w:sz w:val="22"/>
        </w:rPr>
        <w:t>OFFICIAL CLIENT PROJECT REPORT &amp; TECHNICAL DELIVERABLES</w:t>
      </w:r>
    </w:p>
    <w:p>
      <w:pPr>
        <w:spacing w:before="80" w:after="160" w:line="264" w:lineRule="auto"/>
      </w:pPr>
      <w:r>
        <w:rPr>
          <w:rFonts w:ascii="Segoe UI" w:hAnsi="Segoe UI"/>
          <w:b/>
          <w:color w:val="1E3A8A"/>
          <w:sz w:val="52"/>
        </w:rPr>
        <w:t>NetQuest: Next-Generation Computer Networks Learning &amp; Simulation Platform</w:t>
      </w:r>
    </w:p>
    <w:p>
      <w:pPr>
        <w:spacing w:before="0" w:after="560" w:line="288" w:lineRule="auto"/>
      </w:pPr>
      <w:r>
        <w:rPr>
          <w:rFonts w:ascii="Segoe UI" w:hAnsi="Segoe UI"/>
          <w:color w:val="64748B"/>
          <w:sz w:val="24"/>
        </w:rPr>
        <w:t>A Comprehensive Pedagogical, Architectural, and Security Delivery Report on Transforming Undergraduate Computer Networks Education through Interactive Protocol Simulators, Gamification, and AI-Powered Socratic Tutoring.</w:t>
      </w:r>
    </w:p>
    <w:tbl>
      <w:tblPr>
        <w:tblW w:type="auto" w:w="0"/>
        <w:jc w:val="center"/>
        <w:tblLayout w:type="fixed"/>
        <w:tblLook w:firstColumn="1" w:firstRow="1" w:lastColumn="0" w:lastRow="0" w:noHBand="0" w:noVBand="1" w:val="04A0"/>
      </w:tblPr>
      <w:tblGrid>
        <w:gridCol w:w="4320"/>
        <w:gridCol w:w="4320"/>
      </w:tblGrid>
      <w:tr>
        <w:tc>
          <w:tcPr>
            <w:tcW w:type="dxa" w:w="3168"/>
            <w:shd w:fill="F1F5F9"/>
            <w:tcMar>
              <w:top w:w="70" w:type="dxa"/>
              <w:bottom w:w="70" w:type="dxa"/>
              <w:left w:w="12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E3A8A"/>
                <w:sz w:val="19"/>
              </w:rPr>
              <w:t>Client Institution</w:t>
            </w:r>
          </w:p>
        </w:tc>
        <w:tc>
          <w:tcPr>
            <w:tcW w:type="dxa" w:w="6192"/>
            <w:shd w:fill="FFFFFF"/>
            <w:tcMar>
              <w:top w:w="70" w:type="dxa"/>
              <w:bottom w:w="70" w:type="dxa"/>
              <w:left w:w="12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E293B"/>
                <w:sz w:val="19"/>
              </w:rPr>
              <w:t>KL University (K L Deemed to be University)</w:t>
            </w:r>
          </w:p>
        </w:tc>
      </w:tr>
      <w:tr>
        <w:tc>
          <w:tcPr>
            <w:tcW w:type="dxa" w:w="3168"/>
            <w:shd w:fill="F1F5F9"/>
            <w:tcMar>
              <w:top w:w="70" w:type="dxa"/>
              <w:bottom w:w="70" w:type="dxa"/>
              <w:left w:w="12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E3A8A"/>
                <w:sz w:val="19"/>
              </w:rPr>
              <w:t>Academic Department</w:t>
            </w:r>
          </w:p>
        </w:tc>
        <w:tc>
          <w:tcPr>
            <w:tcW w:type="dxa" w:w="6192"/>
            <w:shd w:fill="FFFFFF"/>
            <w:tcMar>
              <w:top w:w="70" w:type="dxa"/>
              <w:bottom w:w="70" w:type="dxa"/>
              <w:left w:w="12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E293B"/>
                <w:sz w:val="19"/>
              </w:rPr>
              <w:t>Department of Computer Science &amp; Engineering (CSE)</w:t>
            </w:r>
          </w:p>
        </w:tc>
      </w:tr>
      <w:tr>
        <w:tc>
          <w:tcPr>
            <w:tcW w:type="dxa" w:w="3168"/>
            <w:shd w:fill="F1F5F9"/>
            <w:tcMar>
              <w:top w:w="70" w:type="dxa"/>
              <w:bottom w:w="70" w:type="dxa"/>
              <w:left w:w="12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E3A8A"/>
                <w:sz w:val="19"/>
              </w:rPr>
              <w:t>Subject Curriculum</w:t>
            </w:r>
          </w:p>
        </w:tc>
        <w:tc>
          <w:tcPr>
            <w:tcW w:type="dxa" w:w="6192"/>
            <w:shd w:fill="FFFFFF"/>
            <w:tcMar>
              <w:top w:w="70" w:type="dxa"/>
              <w:bottom w:w="70" w:type="dxa"/>
              <w:left w:w="12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E293B"/>
                <w:sz w:val="19"/>
              </w:rPr>
              <w:t>B.Tech Computer Networks (AICTE / Model Curriculum Aligned)</w:t>
            </w:r>
          </w:p>
        </w:tc>
      </w:tr>
      <w:tr>
        <w:tc>
          <w:tcPr>
            <w:tcW w:type="dxa" w:w="3168"/>
            <w:shd w:fill="F1F5F9"/>
            <w:tcMar>
              <w:top w:w="70" w:type="dxa"/>
              <w:bottom w:w="70" w:type="dxa"/>
              <w:left w:w="12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E3A8A"/>
                <w:sz w:val="19"/>
              </w:rPr>
              <w:t>Target Student Cohort</w:t>
            </w:r>
          </w:p>
        </w:tc>
        <w:tc>
          <w:tcPr>
            <w:tcW w:type="dxa" w:w="6192"/>
            <w:shd w:fill="FFFFFF"/>
            <w:tcMar>
              <w:top w:w="70" w:type="dxa"/>
              <w:bottom w:w="70" w:type="dxa"/>
              <w:left w:w="12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E293B"/>
                <w:sz w:val="19"/>
              </w:rPr>
              <w:t>68 Enrolled Students (Batch Register IDs: 99240040xxx)</w:t>
            </w:r>
          </w:p>
        </w:tc>
      </w:tr>
      <w:tr>
        <w:tc>
          <w:tcPr>
            <w:tcW w:type="dxa" w:w="3168"/>
            <w:shd w:fill="F1F5F9"/>
            <w:tcMar>
              <w:top w:w="70" w:type="dxa"/>
              <w:bottom w:w="70" w:type="dxa"/>
              <w:left w:w="12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E3A8A"/>
                <w:sz w:val="19"/>
              </w:rPr>
              <w:t>Lead Developers</w:t>
            </w:r>
          </w:p>
        </w:tc>
        <w:tc>
          <w:tcPr>
            <w:tcW w:type="dxa" w:w="6192"/>
            <w:shd w:fill="FFFFFF"/>
            <w:tcMar>
              <w:top w:w="70" w:type="dxa"/>
              <w:bottom w:w="70" w:type="dxa"/>
              <w:left w:w="12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E293B"/>
                <w:sz w:val="19"/>
              </w:rPr>
              <w:t>Platform Lead (ID 285) &amp; Core Systems Lead (ID 279)</w:t>
            </w:r>
          </w:p>
        </w:tc>
      </w:tr>
      <w:tr>
        <w:tc>
          <w:tcPr>
            <w:tcW w:type="dxa" w:w="3168"/>
            <w:shd w:fill="F1F5F9"/>
            <w:tcMar>
              <w:top w:w="70" w:type="dxa"/>
              <w:bottom w:w="70" w:type="dxa"/>
              <w:left w:w="12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E3A8A"/>
                <w:sz w:val="19"/>
              </w:rPr>
              <w:t>Document Version</w:t>
            </w:r>
          </w:p>
        </w:tc>
        <w:tc>
          <w:tcPr>
            <w:tcW w:type="dxa" w:w="6192"/>
            <w:shd w:fill="FFFFFF"/>
            <w:tcMar>
              <w:top w:w="70" w:type="dxa"/>
              <w:bottom w:w="70" w:type="dxa"/>
              <w:left w:w="12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E293B"/>
                <w:sz w:val="19"/>
              </w:rPr>
              <w:t>Release v1.0.0 (Production Verified)</w:t>
            </w:r>
          </w:p>
        </w:tc>
      </w:tr>
      <w:tr>
        <w:tc>
          <w:tcPr>
            <w:tcW w:type="dxa" w:w="3168"/>
            <w:shd w:fill="F1F5F9"/>
            <w:tcMar>
              <w:top w:w="70" w:type="dxa"/>
              <w:bottom w:w="70" w:type="dxa"/>
              <w:left w:w="12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E3A8A"/>
                <w:sz w:val="19"/>
              </w:rPr>
              <w:t>Test Suite Status</w:t>
            </w:r>
          </w:p>
        </w:tc>
        <w:tc>
          <w:tcPr>
            <w:tcW w:type="dxa" w:w="6192"/>
            <w:shd w:fill="FFFFFF"/>
            <w:tcMar>
              <w:top w:w="70" w:type="dxa"/>
              <w:bottom w:w="70" w:type="dxa"/>
              <w:left w:w="12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E293B"/>
                <w:sz w:val="19"/>
              </w:rPr>
              <w:t>24 / 24 Automated E2E Tests Passed (100% Integrity)</w:t>
            </w:r>
          </w:p>
        </w:tc>
      </w:tr>
      <w:tr>
        <w:tc>
          <w:tcPr>
            <w:tcW w:type="dxa" w:w="3168"/>
            <w:shd w:fill="F1F5F9"/>
            <w:tcMar>
              <w:top w:w="70" w:type="dxa"/>
              <w:bottom w:w="70" w:type="dxa"/>
              <w:left w:w="12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E3A8A"/>
                <w:sz w:val="19"/>
              </w:rPr>
              <w:t>Submission Date</w:t>
            </w:r>
          </w:p>
        </w:tc>
        <w:tc>
          <w:tcPr>
            <w:tcW w:type="dxa" w:w="6192"/>
            <w:shd w:fill="FFFFFF"/>
            <w:tcMar>
              <w:top w:w="70" w:type="dxa"/>
              <w:bottom w:w="70" w:type="dxa"/>
              <w:left w:w="12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E293B"/>
                <w:sz w:val="19"/>
              </w:rPr>
              <w:t>September 2026</w:t>
            </w:r>
          </w:p>
        </w:tc>
      </w:tr>
    </w:tbl>
    <w:p>
      <w:pPr>
        <w:spacing w:before="720" w:after="0"/>
        <w:jc w:val="center"/>
      </w:pPr>
      <w:r>
        <w:rPr>
          <w:rFonts w:ascii="Segoe UI" w:hAnsi="Segoe UI"/>
          <w:b/>
          <w:color w:val="64748B"/>
          <w:sz w:val="17"/>
        </w:rPr>
        <w:t>CONFIDENTIAL &amp; PROPRIETARY  —  PREPARED FOR KL UNIVERSITY CSE DEPARTMENT</w:t>
      </w:r>
    </w:p>
    <w:p>
      <w:r>
        <w:br w:type="page"/>
      </w:r>
    </w:p>
    <w:p>
      <w:pPr>
        <w:keepNext/>
        <w:spacing w:before="360" w:after="120"/>
      </w:pPr>
      <w:r>
        <w:rPr>
          <w:rFonts w:ascii="Segoe UI" w:hAnsi="Segoe UI"/>
          <w:b/>
          <w:color w:val="1E3A8A"/>
          <w:sz w:val="34"/>
        </w:rPr>
        <w:t>Chapter 1: Executive Summary &amp; Project Objectives</w:t>
      </w:r>
    </w:p>
    <w:tbl>
      <w:tblPr>
        <w:tblW w:type="auto" w:w="0"/>
        <w:jc w:val="center"/>
        <w:tblLayout w:type="fixed"/>
        <w:tblLook w:firstColumn="1" w:firstRow="1" w:lastColumn="0" w:lastRow="0" w:noHBand="0" w:noVBand="1" w:val="04A0"/>
      </w:tblPr>
      <w:tblGrid>
        <w:gridCol w:w="9360"/>
      </w:tblGrid>
      <w:tr>
        <w:tc>
          <w:tcPr>
            <w:tcW w:type="dxa" w:w="9360"/>
            <w:shd w:fill="1E3A8A"/>
            <w:tcMar>
              <w:top w:w="10" w:type="dxa"/>
              <w:bottom w:w="10" w:type="dxa"/>
              <w:left w:w="0" w:type="dxa"/>
              <w:right w:w="0" w:type="dxa"/>
            </w:tcMar>
          </w:tcPr>
          <w:p>
            <w:pPr>
              <w:spacing w:before="0" w:after="0"/>
            </w:pPr>
            <w:r>
              <w:rPr>
                <w:sz w:val="4"/>
              </w:rPr>
            </w:r>
          </w:p>
        </w:tc>
      </w:tr>
    </w:tbl>
    <w:p>
      <w:pPr>
        <w:keepNext/>
        <w:spacing w:before="0" w:after="80"/>
      </w:pPr>
    </w:p>
    <w:p>
      <w:pPr>
        <w:spacing w:before="0" w:after="80" w:line="276" w:lineRule="auto"/>
        <w:jc w:val="left"/>
      </w:pPr>
      <w:r>
        <w:rPr>
          <w:rFonts w:ascii="Segoe UI" w:hAnsi="Segoe UI"/>
          <w:b w:val="0"/>
          <w:i w:val="0"/>
          <w:color w:val="1E293B"/>
          <w:sz w:val="21"/>
        </w:rPr>
        <w:t>In modern Computer Science education, Computer Networks (CN) remains one of the most foundational yet pedagogically challenging subjects. Traditional lecture-and-slide paradigms often leave engineering students struggling to conceptualize abstract mechanisms—such as dynamic packet routing, sliding-window buffer mechanics, TCP three-way handshakes, and variable-length subnet calculations. When students cannot directly observe and interact with network protocol state transitions, their retention drops, leading to sub-optimal performance in university semester exams, competitive assessments (e.g., GATE CS), and technical industry interviews.</w:t>
      </w:r>
    </w:p>
    <w:p>
      <w:pPr>
        <w:spacing w:before="0" w:after="80" w:line="276" w:lineRule="auto"/>
        <w:jc w:val="left"/>
      </w:pPr>
      <w:r>
        <w:rPr>
          <w:rFonts w:ascii="Segoe UI" w:hAnsi="Segoe UI"/>
          <w:b w:val="0"/>
          <w:i w:val="0"/>
          <w:color w:val="1E293B"/>
          <w:sz w:val="21"/>
        </w:rPr>
        <w:t>To decisively solve this educational challenge, the NetQuest platform was conceptualized, architected, and delivered specifically for the Department of Computer Science &amp; Engineering at KL University. NetQuest is a modern, browser-native learning experience platform combining rigorous syllabus alignment, interactive in-browser network simulators, gamified mastery mechanics, structured semester examination preparation, and Google Gemini 2.0 AI-assisted socratic tutoring.</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60" w:type="dxa"/>
            </w:tcMar>
            <w:tcBorders>
              <w:top w:val="none"/>
              <w:bottom w:val="none"/>
              <w:left w:val="single" w:sz="24" w:space="0" w:color="1E3A8A"/>
              <w:right w:val="none"/>
            </w:tcBorders>
          </w:tcPr>
          <w:p>
            <w:pPr>
              <w:spacing w:before="40" w:after="40" w:line="276" w:lineRule="auto"/>
            </w:pPr>
            <w:r>
              <w:rPr>
                <w:rFonts w:ascii="Segoe UI" w:hAnsi="Segoe UI"/>
                <w:b/>
                <w:color w:val="1E3A8A"/>
                <w:sz w:val="19"/>
              </w:rPr>
              <w:t>[EXECUTIVE MILESTONE HIGHLIGHT]</w:t>
              <w:br/>
            </w:r>
            <w:r>
              <w:rPr>
                <w:rFonts w:ascii="Segoe UI" w:hAnsi="Segoe UI"/>
                <w:color w:val="1E293B"/>
                <w:sz w:val="19"/>
              </w:rPr>
              <w:t>NetQuest achieved a 100% pass rate (24/24 tests) across its automated E2E curriculum and gamification verification test suite. The platform has pre-provisioned secure access for 68 registered KLU B.Tech CSE students, providing seamless zero-configuration onboarding.</w:t>
            </w:r>
          </w:p>
        </w:tc>
      </w:tr>
    </w:tbl>
    <w:p>
      <w:pPr>
        <w:spacing w:before="0" w:after="80"/>
      </w:pPr>
    </w:p>
    <w:p>
      <w:pPr>
        <w:keepNext/>
        <w:spacing w:before="280" w:after="80"/>
      </w:pPr>
      <w:r>
        <w:rPr>
          <w:rFonts w:ascii="Segoe UI" w:hAnsi="Segoe UI"/>
          <w:b/>
          <w:color w:val="0D9488"/>
          <w:sz w:val="26"/>
        </w:rPr>
        <w:t>1.1 Core Project Deliverables Summary</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Key Dimension</w:t>
            </w:r>
          </w:p>
        </w:tc>
        <w:tc>
          <w:tcPr>
            <w:tcW w:type="dxa" w:w="3312"/>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Engineered Specification / Metric</w:t>
            </w:r>
          </w:p>
        </w:tc>
        <w:tc>
          <w:tcPr>
            <w:tcW w:type="dxa" w:w="3456"/>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Operational Value to Client</w:t>
            </w:r>
          </w:p>
        </w:tc>
      </w:tr>
      <w:tr>
        <w:tc>
          <w:tcPr>
            <w:tcW w:type="dxa" w:w="259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Curriculum Coverage</w:t>
            </w:r>
          </w:p>
        </w:tc>
        <w:tc>
          <w:tcPr>
            <w:tcW w:type="dxa" w:w="331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5 Comprehensive Units, 17 Deep Modules</w:t>
            </w:r>
          </w:p>
        </w:tc>
        <w:tc>
          <w:tcPr>
            <w:tcW w:type="dxa" w:w="3456"/>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100% alignment with KLU syllabus &amp; GATE standards</w:t>
            </w:r>
          </w:p>
        </w:tc>
      </w:tr>
      <w:tr>
        <w:tc>
          <w:tcPr>
            <w:tcW w:type="dxa" w:w="259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Interactive Simulators</w:t>
            </w:r>
          </w:p>
        </w:tc>
        <w:tc>
          <w:tcPr>
            <w:tcW w:type="dxa" w:w="331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5 Specialized Virtual Network Labs</w:t>
            </w:r>
          </w:p>
        </w:tc>
        <w:tc>
          <w:tcPr>
            <w:tcW w:type="dxa" w:w="3456"/>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Replaces passive slides with hands-on packet state machines</w:t>
            </w:r>
          </w:p>
        </w:tc>
      </w:tr>
      <w:tr>
        <w:tc>
          <w:tcPr>
            <w:tcW w:type="dxa" w:w="259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Exam Prep Engine</w:t>
            </w:r>
          </w:p>
        </w:tc>
        <w:tc>
          <w:tcPr>
            <w:tcW w:type="dxa" w:w="331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Unit Quizzes + GATE Computer Science Bank</w:t>
            </w:r>
          </w:p>
        </w:tc>
        <w:tc>
          <w:tcPr>
            <w:tcW w:type="dxa" w:w="3456"/>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Prepares students for internal midterms and national exams</w:t>
            </w:r>
          </w:p>
        </w:tc>
      </w:tr>
      <w:tr>
        <w:tc>
          <w:tcPr>
            <w:tcW w:type="dxa" w:w="259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Gamification Engine</w:t>
            </w:r>
          </w:p>
        </w:tc>
        <w:tc>
          <w:tcPr>
            <w:tcW w:type="dxa" w:w="331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XP Economics, Streaks, Leaderboards</w:t>
            </w:r>
          </w:p>
        </w:tc>
        <w:tc>
          <w:tcPr>
            <w:tcW w:type="dxa" w:w="3456"/>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Proven to boost daily student engagement and retention</w:t>
            </w:r>
          </w:p>
        </w:tc>
      </w:tr>
      <w:tr>
        <w:tc>
          <w:tcPr>
            <w:tcW w:type="dxa" w:w="259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AI Intelligence</w:t>
            </w:r>
          </w:p>
        </w:tc>
        <w:tc>
          <w:tcPr>
            <w:tcW w:type="dxa" w:w="331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Google Gemini 2.0 Integration</w:t>
            </w:r>
          </w:p>
        </w:tc>
        <w:tc>
          <w:tcPr>
            <w:tcW w:type="dxa" w:w="3456"/>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Provides automated 3-bullet summaries and conceptual guidance</w:t>
            </w:r>
          </w:p>
        </w:tc>
      </w:tr>
      <w:tr>
        <w:tc>
          <w:tcPr>
            <w:tcW w:type="dxa" w:w="259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 Onboarding</w:t>
            </w:r>
          </w:p>
        </w:tc>
        <w:tc>
          <w:tcPr>
            <w:tcW w:type="dxa" w:w="331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68 Pre-Provisioned Accounts (CSV Registry)</w:t>
            </w:r>
          </w:p>
        </w:tc>
        <w:tc>
          <w:tcPr>
            <w:tcW w:type="dxa" w:w="3456"/>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Zero overhead for course coordinators; instant orientation</w:t>
            </w:r>
          </w:p>
        </w:tc>
      </w:tr>
      <w:tr>
        <w:tc>
          <w:tcPr>
            <w:tcW w:type="dxa" w:w="259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Security &amp; RBAC</w:t>
            </w:r>
          </w:p>
        </w:tc>
        <w:tc>
          <w:tcPr>
            <w:tcW w:type="dxa" w:w="331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Developer-level gating (IDs 285 &amp; 279) + Rules</w:t>
            </w:r>
          </w:p>
        </w:tc>
        <w:tc>
          <w:tcPr>
            <w:tcW w:type="dxa" w:w="3456"/>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Shields curriculum integrity and private student grades</w:t>
            </w:r>
          </w:p>
        </w:tc>
      </w:tr>
      <w:tr>
        <w:tc>
          <w:tcPr>
            <w:tcW w:type="dxa" w:w="259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Quality Assurance</w:t>
            </w:r>
          </w:p>
        </w:tc>
        <w:tc>
          <w:tcPr>
            <w:tcW w:type="dxa" w:w="331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Automated E2E Test Suite (24/24 Passed)</w:t>
            </w:r>
          </w:p>
        </w:tc>
        <w:tc>
          <w:tcPr>
            <w:tcW w:type="dxa" w:w="3456"/>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Guarantees zero duplicate modules and robust unlock rules</w:t>
            </w:r>
          </w:p>
        </w:tc>
      </w:tr>
    </w:tbl>
    <w:p>
      <w:pPr>
        <w:keepNext/>
        <w:spacing w:before="360" w:after="120"/>
      </w:pPr>
      <w:r>
        <w:rPr>
          <w:rFonts w:ascii="Segoe UI" w:hAnsi="Segoe UI"/>
          <w:b/>
          <w:color w:val="1E3A8A"/>
          <w:sz w:val="34"/>
        </w:rPr>
        <w:t>Chapter 2: Client Profile &amp; Institutional Alignment</w:t>
      </w:r>
    </w:p>
    <w:tbl>
      <w:tblPr>
        <w:tblW w:type="auto" w:w="0"/>
        <w:jc w:val="center"/>
        <w:tblLayout w:type="fixed"/>
        <w:tblLook w:firstColumn="1" w:firstRow="1" w:lastColumn="0" w:lastRow="0" w:noHBand="0" w:noVBand="1" w:val="04A0"/>
      </w:tblPr>
      <w:tblGrid>
        <w:gridCol w:w="9360"/>
      </w:tblGrid>
      <w:tr>
        <w:tc>
          <w:tcPr>
            <w:tcW w:type="dxa" w:w="9360"/>
            <w:shd w:fill="1E3A8A"/>
            <w:tcMar>
              <w:top w:w="10" w:type="dxa"/>
              <w:bottom w:w="10" w:type="dxa"/>
              <w:left w:w="0" w:type="dxa"/>
              <w:right w:w="0" w:type="dxa"/>
            </w:tcMar>
          </w:tcPr>
          <w:p>
            <w:pPr>
              <w:spacing w:before="0" w:after="0"/>
            </w:pPr>
            <w:r>
              <w:rPr>
                <w:sz w:val="4"/>
              </w:rPr>
            </w:r>
          </w:p>
        </w:tc>
      </w:tr>
    </w:tbl>
    <w:p>
      <w:pPr>
        <w:keepNext/>
        <w:spacing w:before="0" w:after="80"/>
      </w:pPr>
    </w:p>
    <w:p>
      <w:pPr>
        <w:spacing w:before="0" w:after="80" w:line="276" w:lineRule="auto"/>
        <w:jc w:val="left"/>
      </w:pPr>
      <w:r>
        <w:rPr>
          <w:rFonts w:ascii="Segoe UI" w:hAnsi="Segoe UI"/>
          <w:b w:val="0"/>
          <w:i w:val="0"/>
          <w:color w:val="1E293B"/>
          <w:sz w:val="21"/>
        </w:rPr>
        <w:t>NetQuest has been tailored to meet the strict pedagogical and administrative standards of KL Deemed to be University (KLU), Department of Computer Science &amp; Engineering. As one of India's premier engineering institutions accredited by NAAC with A++ grade and recognized under Category-1 University status, KLU emphasizes Outcome-Based Education (OBE), continuous student assessment, and industry-readiness.</w:t>
      </w:r>
    </w:p>
    <w:p>
      <w:pPr>
        <w:keepNext/>
        <w:spacing w:before="280" w:after="80"/>
      </w:pPr>
      <w:r>
        <w:rPr>
          <w:rFonts w:ascii="Segoe UI" w:hAnsi="Segoe UI"/>
          <w:b/>
          <w:color w:val="0D9488"/>
          <w:sz w:val="26"/>
        </w:rPr>
        <w:t>2.1 Pedagogical Alignment with Bloom's Revised Taxonomy</w:t>
      </w:r>
    </w:p>
    <w:p>
      <w:pPr>
        <w:spacing w:before="0" w:after="80" w:line="276" w:lineRule="auto"/>
        <w:jc w:val="left"/>
      </w:pPr>
      <w:r>
        <w:rPr>
          <w:rFonts w:ascii="Segoe UI" w:hAnsi="Segoe UI"/>
          <w:b w:val="0"/>
          <w:i w:val="0"/>
          <w:color w:val="1E293B"/>
          <w:sz w:val="21"/>
        </w:rPr>
        <w:t>NetQuest systematically moves students through all six cognitive levels of Bloom's Revised Taxonomy:</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Cognitive Level</w:t>
            </w:r>
          </w:p>
        </w:tc>
        <w:tc>
          <w:tcPr>
            <w:tcW w:type="dxa" w:w="3600"/>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NetQuest Component / Feature</w:t>
            </w:r>
          </w:p>
        </w:tc>
        <w:tc>
          <w:tcPr>
            <w:tcW w:type="dxa" w:w="3600"/>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Student Learning Outcome</w:t>
            </w:r>
          </w:p>
        </w:tc>
      </w:tr>
      <w:tr>
        <w:tc>
          <w:tcPr>
            <w:tcW w:type="dxa" w:w="216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1. Remember</w:t>
            </w:r>
          </w:p>
        </w:tc>
        <w:tc>
          <w:tcPr>
            <w:tcW w:type="dxa" w:w="360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Quick-Reference Flashcards &amp; Protocol Header Dissectors</w:t>
            </w:r>
          </w:p>
        </w:tc>
        <w:tc>
          <w:tcPr>
            <w:tcW w:type="dxa" w:w="360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Recalls packet fields, port numbers, and protocol standards</w:t>
            </w:r>
          </w:p>
        </w:tc>
      </w:tr>
      <w:tr>
        <w:tc>
          <w:tcPr>
            <w:tcW w:type="dxa" w:w="216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2. Understand</w:t>
            </w:r>
          </w:p>
        </w:tc>
        <w:tc>
          <w:tcPr>
            <w:tcW w:type="dxa" w:w="360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Real-World Hooks, Analogies &amp; Gemini AI Summaries</w:t>
            </w:r>
          </w:p>
        </w:tc>
        <w:tc>
          <w:tcPr>
            <w:tcW w:type="dxa" w:w="360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Explains why protocols exist and how packet exchange operates</w:t>
            </w:r>
          </w:p>
        </w:tc>
      </w:tr>
      <w:tr>
        <w:tc>
          <w:tcPr>
            <w:tcW w:type="dxa" w:w="216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3. Apply</w:t>
            </w:r>
          </w:p>
        </w:tc>
        <w:tc>
          <w:tcPr>
            <w:tcW w:type="dxa" w:w="360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Subnetting / VLSM Calculator &amp; Terminal Drills</w:t>
            </w:r>
          </w:p>
        </w:tc>
        <w:tc>
          <w:tcPr>
            <w:tcW w:type="dxa" w:w="360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Computes IP subnet ranges and executes CLI network commands</w:t>
            </w:r>
          </w:p>
        </w:tc>
      </w:tr>
      <w:tr>
        <w:tc>
          <w:tcPr>
            <w:tcW w:type="dxa" w:w="216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4. Analyze</w:t>
            </w:r>
          </w:p>
        </w:tc>
        <w:tc>
          <w:tcPr>
            <w:tcW w:type="dxa" w:w="360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TCP Handshake Simulator &amp; Wireshark Packet Sniffer</w:t>
            </w:r>
          </w:p>
        </w:tc>
        <w:tc>
          <w:tcPr>
            <w:tcW w:type="dxa" w:w="360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Dissects packet headers, flag combinations, and transmission timeouts</w:t>
            </w:r>
          </w:p>
        </w:tc>
      </w:tr>
      <w:tr>
        <w:tc>
          <w:tcPr>
            <w:tcW w:type="dxa" w:w="216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5. Evaluate</w:t>
            </w:r>
          </w:p>
        </w:tc>
        <w:tc>
          <w:tcPr>
            <w:tcW w:type="dxa" w:w="360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Timed Semester Exams &amp; GATE Challenge Mode</w:t>
            </w:r>
          </w:p>
        </w:tc>
        <w:tc>
          <w:tcPr>
            <w:tcW w:type="dxa" w:w="360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Diagnoses routing errors and solves complex numerical network problems</w:t>
            </w:r>
          </w:p>
        </w:tc>
      </w:tr>
      <w:tr>
        <w:tc>
          <w:tcPr>
            <w:tcW w:type="dxa" w:w="216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6. Create</w:t>
            </w:r>
          </w:p>
        </w:tc>
        <w:tc>
          <w:tcPr>
            <w:tcW w:type="dxa" w:w="360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Network Topology Builder &amp; Custom Scenario Labs</w:t>
            </w:r>
          </w:p>
        </w:tc>
        <w:tc>
          <w:tcPr>
            <w:tcW w:type="dxa" w:w="360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Constructs multi-node network architectures and validates connectivity</w:t>
            </w:r>
          </w:p>
        </w:tc>
      </w:tr>
    </w:tbl>
    <w:p>
      <w:pPr>
        <w:keepNext/>
        <w:spacing w:before="360" w:after="120"/>
      </w:pPr>
      <w:r>
        <w:rPr>
          <w:rFonts w:ascii="Segoe UI" w:hAnsi="Segoe UI"/>
          <w:b/>
          <w:color w:val="1E3A8A"/>
          <w:sz w:val="34"/>
        </w:rPr>
        <w:t>Chapter 3: System Architecture &amp; Technology Stack</w:t>
      </w:r>
    </w:p>
    <w:tbl>
      <w:tblPr>
        <w:tblW w:type="auto" w:w="0"/>
        <w:jc w:val="center"/>
        <w:tblLayout w:type="fixed"/>
        <w:tblLook w:firstColumn="1" w:firstRow="1" w:lastColumn="0" w:lastRow="0" w:noHBand="0" w:noVBand="1" w:val="04A0"/>
      </w:tblPr>
      <w:tblGrid>
        <w:gridCol w:w="9360"/>
      </w:tblGrid>
      <w:tr>
        <w:tc>
          <w:tcPr>
            <w:tcW w:type="dxa" w:w="9360"/>
            <w:shd w:fill="1E3A8A"/>
            <w:tcMar>
              <w:top w:w="10" w:type="dxa"/>
              <w:bottom w:w="10" w:type="dxa"/>
              <w:left w:w="0" w:type="dxa"/>
              <w:right w:w="0" w:type="dxa"/>
            </w:tcMar>
          </w:tcPr>
          <w:p>
            <w:pPr>
              <w:spacing w:before="0" w:after="0"/>
            </w:pPr>
            <w:r>
              <w:rPr>
                <w:sz w:val="4"/>
              </w:rPr>
            </w:r>
          </w:p>
        </w:tc>
      </w:tr>
    </w:tbl>
    <w:p>
      <w:pPr>
        <w:keepNext/>
        <w:spacing w:before="0" w:after="80"/>
      </w:pPr>
    </w:p>
    <w:p>
      <w:pPr>
        <w:spacing w:before="0" w:after="80" w:line="276" w:lineRule="auto"/>
        <w:jc w:val="left"/>
      </w:pPr>
      <w:r>
        <w:rPr>
          <w:rFonts w:ascii="Segoe UI" w:hAnsi="Segoe UI"/>
          <w:b w:val="0"/>
          <w:i w:val="0"/>
          <w:color w:val="1E293B"/>
          <w:sz w:val="21"/>
        </w:rPr>
        <w:t>NetQuest is engineered as a resilient, modern Single Page Application (SPA) backed by an Express API gateway, Google Gemini GenAI models, and Firebase Firestore persistence. The architecture is designed with high modularity, sub-50ms user interface responsiveness, and robust offline capabilities.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60" w:type="dxa"/>
            </w:tcMar>
            <w:tcBorders>
              <w:top w:val="none"/>
              <w:bottom w:val="none"/>
              <w:left w:val="single" w:sz="24" w:space="0" w:color="1E3A8A"/>
              <w:right w:val="none"/>
            </w:tcBorders>
          </w:tcPr>
          <w:p>
            <w:pPr>
              <w:spacing w:before="40" w:after="40" w:line="276" w:lineRule="auto"/>
            </w:pPr>
            <w:r>
              <w:rPr>
                <w:rFonts w:ascii="Segoe UI" w:hAnsi="Segoe UI"/>
                <w:b/>
                <w:color w:val="1E3A8A"/>
                <w:sz w:val="19"/>
              </w:rPr>
              <w:t>[SYSTEM ARCHITECTURE TOPOLOGY]</w:t>
              <w:br/>
            </w:r>
            <w:r>
              <w:rPr>
                <w:rFonts w:ascii="Segoe UI" w:hAnsi="Segoe UI"/>
                <w:color w:val="1E293B"/>
                <w:sz w:val="19"/>
              </w:rPr>
              <w:t>Architecture Overview: Client Browser (React 19 + Tailwind CSS + Framer Motion) &lt;---&gt; Express 4.21 Middleware Engine &lt;---&gt; Google Gemini 2.0 API (Real-time Lesson Intelligence) &lt;---&gt; Firebase Firestore (Multi-tenant student progress &amp; secure authentication).</w:t>
            </w:r>
          </w:p>
        </w:tc>
      </w:tr>
    </w:tbl>
    <w:p>
      <w:pPr>
        <w:spacing w:before="0" w:after="80"/>
      </w:pPr>
    </w:p>
    <w:p>
      <w:pPr>
        <w:keepNext/>
        <w:spacing w:before="280" w:after="80"/>
      </w:pPr>
      <w:r>
        <w:rPr>
          <w:rFonts w:ascii="Segoe UI" w:hAnsi="Segoe UI"/>
          <w:b/>
          <w:color w:val="0D9488"/>
          <w:sz w:val="26"/>
        </w:rPr>
        <w:t>3.1 Technology Stack Specifications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Layer</w:t>
            </w:r>
          </w:p>
        </w:tc>
        <w:tc>
          <w:tcPr>
            <w:tcW w:type="dxa" w:w="2592"/>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Selected Technology</w:t>
            </w:r>
          </w:p>
        </w:tc>
        <w:tc>
          <w:tcPr>
            <w:tcW w:type="dxa" w:w="2016"/>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Version / Spec</w:t>
            </w:r>
          </w:p>
        </w:tc>
        <w:tc>
          <w:tcPr>
            <w:tcW w:type="dxa" w:w="2880"/>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Engineering Justification</w:t>
            </w:r>
          </w:p>
        </w:tc>
      </w:tr>
      <w:tr>
        <w:tc>
          <w:tcPr>
            <w:tcW w:type="dxa" w:w="187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Frontend Core</w:t>
            </w:r>
          </w:p>
        </w:tc>
        <w:tc>
          <w:tcPr>
            <w:tcW w:type="dxa" w:w="259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React + TypeScript</w:t>
            </w:r>
          </w:p>
        </w:tc>
        <w:tc>
          <w:tcPr>
            <w:tcW w:type="dxa" w:w="2016"/>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React 19.0 / TS 5.8</w:t>
            </w:r>
          </w:p>
        </w:tc>
        <w:tc>
          <w:tcPr>
            <w:tcW w:type="dxa" w:w="288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Component-driven architecture with strict compile-time type safety</w:t>
            </w:r>
          </w:p>
        </w:tc>
      </w:tr>
      <w:tr>
        <w:tc>
          <w:tcPr>
            <w:tcW w:type="dxa" w:w="187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Styling &amp; Layout</w:t>
            </w:r>
          </w:p>
        </w:tc>
        <w:tc>
          <w:tcPr>
            <w:tcW w:type="dxa" w:w="259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Tailwind CSS + Lucide</w:t>
            </w:r>
          </w:p>
        </w:tc>
        <w:tc>
          <w:tcPr>
            <w:tcW w:type="dxa" w:w="2016"/>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Tailwind v4.1 / Lucide</w:t>
            </w:r>
          </w:p>
        </w:tc>
        <w:tc>
          <w:tcPr>
            <w:tcW w:type="dxa" w:w="288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Responsive, dark-mode ready, utility-first micro-styling</w:t>
            </w:r>
          </w:p>
        </w:tc>
      </w:tr>
      <w:tr>
        <w:tc>
          <w:tcPr>
            <w:tcW w:type="dxa" w:w="187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Motion &amp; FX</w:t>
            </w:r>
          </w:p>
        </w:tc>
        <w:tc>
          <w:tcPr>
            <w:tcW w:type="dxa" w:w="259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Framer Motion + Confetti</w:t>
            </w:r>
          </w:p>
        </w:tc>
        <w:tc>
          <w:tcPr>
            <w:tcW w:type="dxa" w:w="2016"/>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Framer 13.2 / Canvas</w:t>
            </w:r>
          </w:p>
        </w:tc>
        <w:tc>
          <w:tcPr>
            <w:tcW w:type="dxa" w:w="288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Smooth 60fps packet animations and milestone visual feedback</w:t>
            </w:r>
          </w:p>
        </w:tc>
      </w:tr>
      <w:tr>
        <w:tc>
          <w:tcPr>
            <w:tcW w:type="dxa" w:w="187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API Gateway</w:t>
            </w:r>
          </w:p>
        </w:tc>
        <w:tc>
          <w:tcPr>
            <w:tcW w:type="dxa" w:w="259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Express.js + Node.js</w:t>
            </w:r>
          </w:p>
        </w:tc>
        <w:tc>
          <w:tcPr>
            <w:tcW w:type="dxa" w:w="2016"/>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Express 4.21 / Node 24</w:t>
            </w:r>
          </w:p>
        </w:tc>
        <w:tc>
          <w:tcPr>
            <w:tcW w:type="dxa" w:w="288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High-throughput middleware handling AI proxying and health checks</w:t>
            </w:r>
          </w:p>
        </w:tc>
      </w:tr>
      <w:tr>
        <w:tc>
          <w:tcPr>
            <w:tcW w:type="dxa" w:w="187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AI Engine</w:t>
            </w:r>
          </w:p>
        </w:tc>
        <w:tc>
          <w:tcPr>
            <w:tcW w:type="dxa" w:w="259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Google Gemini GenAI SDK</w:t>
            </w:r>
          </w:p>
        </w:tc>
        <w:tc>
          <w:tcPr>
            <w:tcW w:type="dxa" w:w="2016"/>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@google/genai v2.4</w:t>
            </w:r>
          </w:p>
        </w:tc>
        <w:tc>
          <w:tcPr>
            <w:tcW w:type="dxa" w:w="288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Server-side structured JSON synthesis for real-time lesson tips</w:t>
            </w:r>
          </w:p>
        </w:tc>
      </w:tr>
      <w:tr>
        <w:tc>
          <w:tcPr>
            <w:tcW w:type="dxa" w:w="187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Data Persistence</w:t>
            </w:r>
          </w:p>
        </w:tc>
        <w:tc>
          <w:tcPr>
            <w:tcW w:type="dxa" w:w="259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Firebase Firestore &amp; Auth</w:t>
            </w:r>
          </w:p>
        </w:tc>
        <w:tc>
          <w:tcPr>
            <w:tcW w:type="dxa" w:w="2016"/>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Firebase SDK v12.18</w:t>
            </w:r>
          </w:p>
        </w:tc>
        <w:tc>
          <w:tcPr>
            <w:tcW w:type="dxa" w:w="288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Real-time NoSQL database with granular security rules</w:t>
            </w:r>
          </w:p>
        </w:tc>
      </w:tr>
      <w:tr>
        <w:tc>
          <w:tcPr>
            <w:tcW w:type="dxa" w:w="187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Build &amp; Dev</w:t>
            </w:r>
          </w:p>
        </w:tc>
        <w:tc>
          <w:tcPr>
            <w:tcW w:type="dxa" w:w="259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Vite + tsx + esbuild</w:t>
            </w:r>
          </w:p>
        </w:tc>
        <w:tc>
          <w:tcPr>
            <w:tcW w:type="dxa" w:w="2016"/>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Vite 6.2 / esbuild 0.25</w:t>
            </w:r>
          </w:p>
        </w:tc>
        <w:tc>
          <w:tcPr>
            <w:tcW w:type="dxa" w:w="288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Sub-second HMR in local lab environments and bundled server production</w:t>
            </w:r>
          </w:p>
        </w:tc>
      </w:tr>
      <w:tr>
        <w:tc>
          <w:tcPr>
            <w:tcW w:type="dxa" w:w="187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Offline / PWA</w:t>
            </w:r>
          </w:p>
        </w:tc>
        <w:tc>
          <w:tcPr>
            <w:tcW w:type="dxa" w:w="259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Service Worker Registration</w:t>
            </w:r>
          </w:p>
        </w:tc>
        <w:tc>
          <w:tcPr>
            <w:tcW w:type="dxa" w:w="2016"/>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Custom Cache-First PWA</w:t>
            </w:r>
          </w:p>
        </w:tc>
        <w:tc>
          <w:tcPr>
            <w:tcW w:type="dxa" w:w="288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Guarantees offline lab functionality during network interruptions</w:t>
            </w:r>
          </w:p>
        </w:tc>
      </w:tr>
    </w:tbl>
    <w:p>
      <w:pPr>
        <w:keepNext/>
        <w:spacing w:before="360" w:after="120"/>
      </w:pPr>
      <w:r>
        <w:rPr>
          <w:rFonts w:ascii="Segoe UI" w:hAnsi="Segoe UI"/>
          <w:b/>
          <w:color w:val="1E3A8A"/>
          <w:sz w:val="34"/>
        </w:rPr>
        <w:t>Chapter 4: Curriculum Structure &amp; The 9-Step Pedagogical Methodology</w:t>
      </w:r>
    </w:p>
    <w:tbl>
      <w:tblPr>
        <w:tblW w:type="auto" w:w="0"/>
        <w:jc w:val="center"/>
        <w:tblLayout w:type="fixed"/>
        <w:tblLook w:firstColumn="1" w:firstRow="1" w:lastColumn="0" w:lastRow="0" w:noHBand="0" w:noVBand="1" w:val="04A0"/>
      </w:tblPr>
      <w:tblGrid>
        <w:gridCol w:w="9360"/>
      </w:tblGrid>
      <w:tr>
        <w:tc>
          <w:tcPr>
            <w:tcW w:type="dxa" w:w="9360"/>
            <w:shd w:fill="1E3A8A"/>
            <w:tcMar>
              <w:top w:w="10" w:type="dxa"/>
              <w:bottom w:w="10" w:type="dxa"/>
              <w:left w:w="0" w:type="dxa"/>
              <w:right w:w="0" w:type="dxa"/>
            </w:tcMar>
          </w:tcPr>
          <w:p>
            <w:pPr>
              <w:spacing w:before="0" w:after="0"/>
            </w:pPr>
            <w:r>
              <w:rPr>
                <w:sz w:val="4"/>
              </w:rPr>
            </w:r>
          </w:p>
        </w:tc>
      </w:tr>
    </w:tbl>
    <w:p>
      <w:pPr>
        <w:keepNext/>
        <w:spacing w:before="0" w:after="80"/>
      </w:pPr>
    </w:p>
    <w:p>
      <w:pPr>
        <w:spacing w:before="0" w:after="80" w:line="276" w:lineRule="auto"/>
        <w:jc w:val="left"/>
      </w:pPr>
      <w:r>
        <w:rPr>
          <w:rFonts w:ascii="Segoe UI" w:hAnsi="Segoe UI"/>
          <w:b w:val="0"/>
          <w:i w:val="0"/>
          <w:color w:val="1E293B"/>
          <w:sz w:val="21"/>
        </w:rPr>
        <w:t>NetQuest organizes the entire undergraduate Computer Networks body of knowledge into five cohesive thematic units, comprising 17 deep interactive modules in the primary core and extensible up to 45 modules. Every single module adheres to a signature 9-Step Pedagogical Model.</w:t>
      </w:r>
    </w:p>
    <w:p>
      <w:pPr>
        <w:keepNext/>
        <w:spacing w:before="280" w:after="80"/>
      </w:pPr>
      <w:r>
        <w:rPr>
          <w:rFonts w:ascii="Segoe UI" w:hAnsi="Segoe UI"/>
          <w:b/>
          <w:color w:val="0D9488"/>
          <w:sz w:val="26"/>
        </w:rPr>
        <w:t>4.1 The Five Core Curriculum Units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296"/>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Unit #</w:t>
            </w:r>
          </w:p>
        </w:tc>
        <w:tc>
          <w:tcPr>
            <w:tcW w:type="dxa" w:w="2880"/>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Unit Domain Title</w:t>
            </w:r>
          </w:p>
        </w:tc>
        <w:tc>
          <w:tcPr>
            <w:tcW w:type="dxa" w:w="2880"/>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Core Modules Included</w:t>
            </w:r>
          </w:p>
        </w:tc>
        <w:tc>
          <w:tcPr>
            <w:tcW w:type="dxa" w:w="2304"/>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Focus Area</w:t>
            </w:r>
          </w:p>
        </w:tc>
      </w:tr>
      <w:tr>
        <w:tc>
          <w:tcPr>
            <w:tcW w:type="dxa" w:w="1296"/>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Unit 1</w:t>
            </w:r>
          </w:p>
        </w:tc>
        <w:tc>
          <w:tcPr>
            <w:tcW w:type="dxa" w:w="288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Physical &amp; Data Link Foundations</w:t>
            </w:r>
          </w:p>
        </w:tc>
        <w:tc>
          <w:tcPr>
            <w:tcW w:type="dxa" w:w="288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Framing, Error Detection, CRC, Flow Control, CSMA/CD</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Bit-level transmission, error correction &amp; medium access</w:t>
            </w:r>
          </w:p>
        </w:tc>
      </w:tr>
      <w:tr>
        <w:tc>
          <w:tcPr>
            <w:tcW w:type="dxa" w:w="1296"/>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Unit 2</w:t>
            </w:r>
          </w:p>
        </w:tc>
        <w:tc>
          <w:tcPr>
            <w:tcW w:type="dxa" w:w="288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Local Area Networks &amp; Switching</w:t>
            </w:r>
          </w:p>
        </w:tc>
        <w:tc>
          <w:tcPr>
            <w:tcW w:type="dxa" w:w="288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Ethernet Standards, Bridges, Switches, Spanning Tree, VLANs</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Frame forwarding, loop prevention &amp; virtual LAN isolation</w:t>
            </w:r>
          </w:p>
        </w:tc>
      </w:tr>
      <w:tr>
        <w:tc>
          <w:tcPr>
            <w:tcW w:type="dxa" w:w="1296"/>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Unit 3</w:t>
            </w:r>
          </w:p>
        </w:tc>
        <w:tc>
          <w:tcPr>
            <w:tcW w:type="dxa" w:w="288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Network Layer &amp; Internetworking</w:t>
            </w:r>
          </w:p>
        </w:tc>
        <w:tc>
          <w:tcPr>
            <w:tcW w:type="dxa" w:w="288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IPv4/IPv6, CIDR Subnetting, VLSM, Routing Algorithms, ICMP</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Logical addressing, hierarchical routing &amp; control messaging</w:t>
            </w:r>
          </w:p>
        </w:tc>
      </w:tr>
      <w:tr>
        <w:tc>
          <w:tcPr>
            <w:tcW w:type="dxa" w:w="1296"/>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Unit 4</w:t>
            </w:r>
          </w:p>
        </w:tc>
        <w:tc>
          <w:tcPr>
            <w:tcW w:type="dxa" w:w="288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Transport Layer Protocols</w:t>
            </w:r>
          </w:p>
        </w:tc>
        <w:tc>
          <w:tcPr>
            <w:tcW w:type="dxa" w:w="288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Process Sockets, TCP 3-Way Handshake, Flow/Congestion Control, UDP</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End-to-end reliability, sliding windows &amp; congestion state</w:t>
            </w:r>
          </w:p>
        </w:tc>
      </w:tr>
      <w:tr>
        <w:tc>
          <w:tcPr>
            <w:tcW w:type="dxa" w:w="1296"/>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Unit 5</w:t>
            </w:r>
          </w:p>
        </w:tc>
        <w:tc>
          <w:tcPr>
            <w:tcW w:type="dxa" w:w="288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Application Layer, Security &amp; Cloud</w:t>
            </w:r>
          </w:p>
        </w:tc>
        <w:tc>
          <w:tcPr>
            <w:tcW w:type="dxa" w:w="288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DNS, HTTP/1-3, SSL/TLS Handshake, Cryptography, Firewalls</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Web architecture, encryption, digital certificates &amp; perimeter defense</w:t>
            </w:r>
          </w:p>
        </w:tc>
      </w:tr>
    </w:tbl>
    <w:p>
      <w:pPr>
        <w:keepNext/>
        <w:spacing w:before="280" w:after="80"/>
      </w:pPr>
      <w:r>
        <w:rPr>
          <w:rFonts w:ascii="Segoe UI" w:hAnsi="Segoe UI"/>
          <w:b/>
          <w:color w:val="0D9488"/>
          <w:sz w:val="26"/>
        </w:rPr>
        <w:t>4.2 The Signature 9-Step Learning Journey</w:t>
      </w:r>
    </w:p>
    <w:p>
      <w:pPr>
        <w:spacing w:before="0" w:after="80" w:line="276" w:lineRule="auto"/>
        <w:jc w:val="left"/>
      </w:pPr>
      <w:r>
        <w:rPr>
          <w:rFonts w:ascii="Segoe UI" w:hAnsi="Segoe UI"/>
          <w:b w:val="0"/>
          <w:i w:val="0"/>
          <w:color w:val="1E293B"/>
          <w:sz w:val="21"/>
        </w:rPr>
        <w:t>Every interactive module in NetQuest walks the student through an identical, cognitively structured 9-step progression:</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Step #</w:t>
            </w:r>
          </w:p>
        </w:tc>
        <w:tc>
          <w:tcPr>
            <w:tcW w:type="dxa" w:w="3168"/>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Pedagogical Stage</w:t>
            </w:r>
          </w:p>
        </w:tc>
        <w:tc>
          <w:tcPr>
            <w:tcW w:type="dxa" w:w="4752"/>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Student Action &amp; Cognitive Goal</w:t>
            </w:r>
          </w:p>
        </w:tc>
      </w:tr>
      <w:tr>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Step 1</w:t>
            </w:r>
          </w:p>
        </w:tc>
        <w:tc>
          <w:tcPr>
            <w:tcW w:type="dxa" w:w="316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Real-World Industry Hook</w:t>
            </w:r>
          </w:p>
        </w:tc>
        <w:tc>
          <w:tcPr>
            <w:tcW w:type="dxa" w:w="475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Engages student curiosity by demonstrating how the protocol impacts Netflix, gaming, or finance</w:t>
            </w:r>
          </w:p>
        </w:tc>
      </w:tr>
      <w:tr>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Step 2</w:t>
            </w:r>
          </w:p>
        </w:tc>
        <w:tc>
          <w:tcPr>
            <w:tcW w:type="dxa" w:w="316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Intuitive Analogy</w:t>
            </w:r>
          </w:p>
        </w:tc>
        <w:tc>
          <w:tcPr>
            <w:tcW w:type="dxa" w:w="475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Maps complex socket/packet behavior to physical real-world metaphors (e.g., postal systems, phone calls)</w:t>
            </w:r>
          </w:p>
        </w:tc>
      </w:tr>
      <w:tr>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Step 3</w:t>
            </w:r>
          </w:p>
        </w:tc>
        <w:tc>
          <w:tcPr>
            <w:tcW w:type="dxa" w:w="316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Rigorous Theoretical Concept</w:t>
            </w:r>
          </w:p>
        </w:tc>
        <w:tc>
          <w:tcPr>
            <w:tcW w:type="dxa" w:w="475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Presents RFC standards, mathematical formulas, state transition tables, and protocol specifications</w:t>
            </w:r>
          </w:p>
        </w:tc>
      </w:tr>
      <w:tr>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Step 4</w:t>
            </w:r>
          </w:p>
        </w:tc>
        <w:tc>
          <w:tcPr>
            <w:tcW w:type="dxa" w:w="316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Visual Interactive Simulator</w:t>
            </w:r>
          </w:p>
        </w:tc>
        <w:tc>
          <w:tcPr>
            <w:tcW w:type="dxa" w:w="475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 manipulates protocol parameters, slider controls, and flag bits with dynamic visual updates</w:t>
            </w:r>
          </w:p>
        </w:tc>
      </w:tr>
      <w:tr>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Step 5</w:t>
            </w:r>
          </w:p>
        </w:tc>
        <w:tc>
          <w:tcPr>
            <w:tcW w:type="dxa" w:w="316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Packet Trace &amp; Header Dissector</w:t>
            </w:r>
          </w:p>
        </w:tc>
        <w:tc>
          <w:tcPr>
            <w:tcW w:type="dxa" w:w="475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Examines raw protocol frame/segment header fields (Sequence #, ACK #, Flags, Checksum, TTL)</w:t>
            </w:r>
          </w:p>
        </w:tc>
      </w:tr>
      <w:tr>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Step 6</w:t>
            </w:r>
          </w:p>
        </w:tc>
        <w:tc>
          <w:tcPr>
            <w:tcW w:type="dxa" w:w="316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Hands-on Terminal Drill</w:t>
            </w:r>
          </w:p>
        </w:tc>
        <w:tc>
          <w:tcPr>
            <w:tcW w:type="dxa" w:w="475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Executes realistic network CLI commands in a simulated terminal environment (ping, traceroute, dig)</w:t>
            </w:r>
          </w:p>
        </w:tc>
      </w:tr>
      <w:tr>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Step 7</w:t>
            </w:r>
          </w:p>
        </w:tc>
        <w:tc>
          <w:tcPr>
            <w:tcW w:type="dxa" w:w="316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Formative Micro-Quiz</w:t>
            </w:r>
          </w:p>
        </w:tc>
        <w:tc>
          <w:tcPr>
            <w:tcW w:type="dxa" w:w="475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Instant 3-question formative assessment verifying conceptual comprehension before unlocking next stages</w:t>
            </w:r>
          </w:p>
        </w:tc>
      </w:tr>
      <w:tr>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Step 8</w:t>
            </w:r>
          </w:p>
        </w:tc>
        <w:tc>
          <w:tcPr>
            <w:tcW w:type="dxa" w:w="316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University &amp; GATE Challenge</w:t>
            </w:r>
          </w:p>
        </w:tc>
        <w:tc>
          <w:tcPr>
            <w:tcW w:type="dxa" w:w="475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Solves rigorous university exam problems and national competitive questions with verified explanations</w:t>
            </w:r>
          </w:p>
        </w:tc>
      </w:tr>
      <w:tr>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Step 9</w:t>
            </w:r>
          </w:p>
        </w:tc>
        <w:tc>
          <w:tcPr>
            <w:tcW w:type="dxa" w:w="316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Synthesis &amp; Key Takeaways</w:t>
            </w:r>
          </w:p>
        </w:tc>
        <w:tc>
          <w:tcPr>
            <w:tcW w:type="dxa" w:w="475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Summarizes bulleted core rules, flashcards, and exam pitfalls for quick pre-exam revision</w:t>
            </w:r>
          </w:p>
        </w:tc>
      </w:tr>
    </w:tbl>
    <w:p>
      <w:pPr>
        <w:keepNext/>
        <w:spacing w:before="360" w:after="120"/>
      </w:pPr>
      <w:r>
        <w:rPr>
          <w:rFonts w:ascii="Segoe UI" w:hAnsi="Segoe UI"/>
          <w:b/>
          <w:color w:val="1E3A8A"/>
          <w:sz w:val="34"/>
        </w:rPr>
        <w:t>Chapter 5: Interactive Virtual Labs &amp; Network Simulators</w:t>
      </w:r>
    </w:p>
    <w:tbl>
      <w:tblPr>
        <w:tblW w:type="auto" w:w="0"/>
        <w:jc w:val="center"/>
        <w:tblLayout w:type="fixed"/>
        <w:tblLook w:firstColumn="1" w:firstRow="1" w:lastColumn="0" w:lastRow="0" w:noHBand="0" w:noVBand="1" w:val="04A0"/>
      </w:tblPr>
      <w:tblGrid>
        <w:gridCol w:w="9360"/>
      </w:tblGrid>
      <w:tr>
        <w:tc>
          <w:tcPr>
            <w:tcW w:type="dxa" w:w="9360"/>
            <w:shd w:fill="1E3A8A"/>
            <w:tcMar>
              <w:top w:w="10" w:type="dxa"/>
              <w:bottom w:w="10" w:type="dxa"/>
              <w:left w:w="0" w:type="dxa"/>
              <w:right w:w="0" w:type="dxa"/>
            </w:tcMar>
          </w:tcPr>
          <w:p>
            <w:pPr>
              <w:spacing w:before="0" w:after="0"/>
            </w:pPr>
            <w:r>
              <w:rPr>
                <w:sz w:val="4"/>
              </w:rPr>
            </w:r>
          </w:p>
        </w:tc>
      </w:tr>
    </w:tbl>
    <w:p>
      <w:pPr>
        <w:keepNext/>
        <w:spacing w:before="0" w:after="80"/>
      </w:pPr>
    </w:p>
    <w:p>
      <w:pPr>
        <w:spacing w:before="0" w:after="80" w:line="276" w:lineRule="auto"/>
        <w:jc w:val="left"/>
      </w:pPr>
      <w:r>
        <w:rPr>
          <w:rFonts w:ascii="Segoe UI" w:hAnsi="Segoe UI"/>
          <w:b w:val="0"/>
          <w:i w:val="0"/>
          <w:color w:val="1E293B"/>
          <w:sz w:val="21"/>
        </w:rPr>
        <w:t>A defining highlight of NetQuest is its suite of five built-in interactive network simulators. Rather than requiring complex external virtual machines or heavy third-party software like Cisco Packet Tracer, NetQuest executes zero-latency, deterministic simulations directly inside the student's web browser.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Simulator Name</w:t>
            </w:r>
          </w:p>
        </w:tc>
        <w:tc>
          <w:tcPr>
            <w:tcW w:type="dxa" w:w="2160"/>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Component Source</w:t>
            </w:r>
          </w:p>
        </w:tc>
        <w:tc>
          <w:tcPr>
            <w:tcW w:type="dxa" w:w="2592"/>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Simulated Protocol Mechanics</w:t>
            </w:r>
          </w:p>
        </w:tc>
        <w:tc>
          <w:tcPr>
            <w:tcW w:type="dxa" w:w="2448"/>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Interactive Student Capability</w:t>
            </w:r>
          </w:p>
        </w:tc>
      </w:tr>
      <w:tr>
        <w:tc>
          <w:tcPr>
            <w:tcW w:type="dxa" w:w="216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TCP 3-Way Handshake</w:t>
            </w:r>
          </w:p>
        </w:tc>
        <w:tc>
          <w:tcPr>
            <w:tcW w:type="dxa" w:w="216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InteractiveHandshake.tsx</w:t>
            </w:r>
          </w:p>
        </w:tc>
        <w:tc>
          <w:tcPr>
            <w:tcW w:type="dxa" w:w="259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SYN, SYN-ACK, ACK packet exchange; Seq/Ack number increments; Socket state transitions</w:t>
            </w:r>
          </w:p>
        </w:tc>
        <w:tc>
          <w:tcPr>
            <w:tcW w:type="dxa" w:w="244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Step through handshake, introduce simulated packet drops, observe socket buffer allocation</w:t>
            </w:r>
          </w:p>
        </w:tc>
      </w:tr>
      <w:tr>
        <w:tc>
          <w:tcPr>
            <w:tcW w:type="dxa" w:w="216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Subnetting &amp; VLSM Calculator</w:t>
            </w:r>
          </w:p>
        </w:tc>
        <w:tc>
          <w:tcPr>
            <w:tcW w:type="dxa" w:w="216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NetworkVisualizer.tsx</w:t>
            </w:r>
          </w:p>
        </w:tc>
        <w:tc>
          <w:tcPr>
            <w:tcW w:type="dxa" w:w="259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Classful / Classless IPv4 masking, Binary octet breakdown, Host-bits vs Network-bits</w:t>
            </w:r>
          </w:p>
        </w:tc>
        <w:tc>
          <w:tcPr>
            <w:tcW w:type="dxa" w:w="244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Input custom CIDR prefix (/24 to /30), view usable host IP ranges and network/broadcast addresses</w:t>
            </w:r>
          </w:p>
        </w:tc>
      </w:tr>
      <w:tr>
        <w:tc>
          <w:tcPr>
            <w:tcW w:type="dxa" w:w="216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Wireshark Packet Dissector</w:t>
            </w:r>
          </w:p>
        </w:tc>
        <w:tc>
          <w:tcPr>
            <w:tcW w:type="dxa" w:w="216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LessonPlayerView.tsx</w:t>
            </w:r>
          </w:p>
        </w:tc>
        <w:tc>
          <w:tcPr>
            <w:tcW w:type="dxa" w:w="259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Layer-2 Ethernet II frames, Layer-3 IPv4/IPv6 headers, Layer-4 TCP/UDP segment dissection</w:t>
            </w:r>
          </w:p>
        </w:tc>
        <w:tc>
          <w:tcPr>
            <w:tcW w:type="dxa" w:w="244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Click through raw hex/ASCII packet traces to inspect flag bitfields and payload boundaries</w:t>
            </w:r>
          </w:p>
        </w:tc>
      </w:tr>
      <w:tr>
        <w:tc>
          <w:tcPr>
            <w:tcW w:type="dxa" w:w="216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Routing Table Visualizer</w:t>
            </w:r>
          </w:p>
        </w:tc>
        <w:tc>
          <w:tcPr>
            <w:tcW w:type="dxa" w:w="216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LabView.tsx</w:t>
            </w:r>
          </w:p>
        </w:tc>
        <w:tc>
          <w:tcPr>
            <w:tcW w:type="dxa" w:w="259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Longest Prefix Match (LPM), Next-hop routing, TTL decrementing, Metric calculation</w:t>
            </w:r>
          </w:p>
        </w:tc>
        <w:tc>
          <w:tcPr>
            <w:tcW w:type="dxa" w:w="244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Trace packet hops across simulated enterprise topologies with Dijkstra link-state updates</w:t>
            </w:r>
          </w:p>
        </w:tc>
      </w:tr>
      <w:tr>
        <w:tc>
          <w:tcPr>
            <w:tcW w:type="dxa" w:w="216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Topology Canvas Lab</w:t>
            </w:r>
          </w:p>
        </w:tc>
        <w:tc>
          <w:tcPr>
            <w:tcW w:type="dxa" w:w="216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PracticeView.tsx</w:t>
            </w:r>
          </w:p>
        </w:tc>
        <w:tc>
          <w:tcPr>
            <w:tcW w:type="dxa" w:w="259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Mesh, Star, and Ring network topologies; Link failure simulations and convergence</w:t>
            </w:r>
          </w:p>
        </w:tc>
        <w:tc>
          <w:tcPr>
            <w:tcW w:type="dxa" w:w="244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Add client nodes, switches, and routers dynamically to test packet delivery and latency</w:t>
            </w:r>
          </w:p>
        </w:tc>
      </w:tr>
    </w:tbl>
    <w:p>
      <w:pPr>
        <w:keepNext/>
        <w:spacing w:before="360" w:after="120"/>
      </w:pPr>
      <w:r>
        <w:rPr>
          <w:rFonts w:ascii="Segoe UI" w:hAnsi="Segoe UI"/>
          <w:b/>
          <w:color w:val="1E3A8A"/>
          <w:sz w:val="34"/>
        </w:rPr>
        <w:t>Chapter 6: Academic Examination &amp; Assessment Engine</w:t>
      </w:r>
    </w:p>
    <w:tbl>
      <w:tblPr>
        <w:tblW w:type="auto" w:w="0"/>
        <w:jc w:val="center"/>
        <w:tblLayout w:type="fixed"/>
        <w:tblLook w:firstColumn="1" w:firstRow="1" w:lastColumn="0" w:lastRow="0" w:noHBand="0" w:noVBand="1" w:val="04A0"/>
      </w:tblPr>
      <w:tblGrid>
        <w:gridCol w:w="9360"/>
      </w:tblGrid>
      <w:tr>
        <w:tc>
          <w:tcPr>
            <w:tcW w:type="dxa" w:w="9360"/>
            <w:shd w:fill="1E3A8A"/>
            <w:tcMar>
              <w:top w:w="10" w:type="dxa"/>
              <w:bottom w:w="10" w:type="dxa"/>
              <w:left w:w="0" w:type="dxa"/>
              <w:right w:w="0" w:type="dxa"/>
            </w:tcMar>
          </w:tcPr>
          <w:p>
            <w:pPr>
              <w:spacing w:before="0" w:after="0"/>
            </w:pPr>
            <w:r>
              <w:rPr>
                <w:sz w:val="4"/>
              </w:rPr>
            </w:r>
          </w:p>
        </w:tc>
      </w:tr>
    </w:tbl>
    <w:p>
      <w:pPr>
        <w:keepNext/>
        <w:spacing w:before="0" w:after="80"/>
      </w:pPr>
    </w:p>
    <w:p>
      <w:pPr>
        <w:spacing w:before="0" w:after="80" w:line="276" w:lineRule="auto"/>
        <w:jc w:val="left"/>
      </w:pPr>
      <w:r>
        <w:rPr>
          <w:rFonts w:ascii="Segoe UI" w:hAnsi="Segoe UI"/>
          <w:b w:val="0"/>
          <w:i w:val="0"/>
          <w:color w:val="1E293B"/>
          <w:sz w:val="21"/>
        </w:rPr>
        <w:t>NetQuest incorporates a robust academic examination and evaluation engine tailored for KLU mid-semester, end-semester, and national GATE examination standards. The engine moves far beyond simple multiple-choice questions by incorporating multi-step numerical problems, packet-ordering challenges, and detailed diagnostic solutions.</w:t>
      </w:r>
    </w:p>
    <w:p>
      <w:pPr>
        <w:keepNext/>
        <w:spacing w:before="280" w:after="80"/>
      </w:pPr>
      <w:r>
        <w:rPr>
          <w:rFonts w:ascii="Segoe UI" w:hAnsi="Segoe UI"/>
          <w:b/>
          <w:color w:val="0D9488"/>
          <w:sz w:val="26"/>
        </w:rPr>
        <w:t>6.1 Key Examination System Features</w:t>
      </w:r>
    </w:p>
    <w:p>
      <w:pPr>
        <w:spacing w:before="0" w:after="80" w:line="276" w:lineRule="auto"/>
        <w:jc w:val="left"/>
      </w:pPr>
      <w:r>
        <w:rPr>
          <w:rFonts w:ascii="Segoe UI" w:hAnsi="Segoe UI"/>
          <w:b w:val="0"/>
          <w:i w:val="0"/>
          <w:color w:val="1E293B"/>
          <w:sz w:val="21"/>
        </w:rPr>
        <w:t xml:space="preserve">• </w:t>
      </w:r>
      <w:r>
        <w:rPr>
          <w:rFonts w:ascii="Segoe UI" w:hAnsi="Segoe UI"/>
          <w:b w:val="0"/>
          <w:i w:val="0"/>
          <w:color w:val="1E293B"/>
          <w:sz w:val="21"/>
        </w:rPr>
        <w:t xml:space="preserve">KLU Semester Exam Alignment: </w:t>
      </w:r>
      <w:r>
        <w:rPr>
          <w:rFonts w:ascii="Segoe UI" w:hAnsi="Segoe UI"/>
          <w:b w:val="0"/>
          <w:i w:val="0"/>
          <w:color w:val="1E293B"/>
          <w:sz w:val="21"/>
        </w:rPr>
        <w:t>Directly models KL University examination blueprints, featuring both short conceptual checks (Part A) and comprehensive design/scenario-based problems (Part B).</w:t>
      </w:r>
    </w:p>
    <w:p>
      <w:pPr>
        <w:spacing w:before="0" w:after="80" w:line="276" w:lineRule="auto"/>
        <w:jc w:val="left"/>
      </w:pPr>
      <w:r>
        <w:rPr>
          <w:rFonts w:ascii="Segoe UI" w:hAnsi="Segoe UI"/>
          <w:b w:val="0"/>
          <w:i w:val="0"/>
          <w:color w:val="1E293B"/>
          <w:sz w:val="21"/>
        </w:rPr>
        <w:t xml:space="preserve">• </w:t>
      </w:r>
      <w:r>
        <w:rPr>
          <w:rFonts w:ascii="Segoe UI" w:hAnsi="Segoe UI"/>
          <w:b w:val="0"/>
          <w:i w:val="0"/>
          <w:color w:val="1E293B"/>
          <w:sz w:val="21"/>
        </w:rPr>
        <w:t xml:space="preserve">GATE CS Preparation Module: </w:t>
      </w:r>
      <w:r>
        <w:rPr>
          <w:rFonts w:ascii="Segoe UI" w:hAnsi="Segoe UI"/>
          <w:b w:val="0"/>
          <w:i w:val="0"/>
          <w:color w:val="1E293B"/>
          <w:sz w:val="21"/>
        </w:rPr>
        <w:t>Includes authentic past GATE Computer Science questions on subnetting, sliding window efficiency formulas, CRC polynomial division, and TCP congestion window dynamics.</w:t>
      </w:r>
    </w:p>
    <w:p>
      <w:pPr>
        <w:spacing w:before="0" w:after="80" w:line="276" w:lineRule="auto"/>
        <w:jc w:val="left"/>
      </w:pPr>
      <w:r>
        <w:rPr>
          <w:rFonts w:ascii="Segoe UI" w:hAnsi="Segoe UI"/>
          <w:b w:val="0"/>
          <w:i w:val="0"/>
          <w:color w:val="1E293B"/>
          <w:sz w:val="21"/>
        </w:rPr>
        <w:t xml:space="preserve">• </w:t>
      </w:r>
      <w:r>
        <w:rPr>
          <w:rFonts w:ascii="Segoe UI" w:hAnsi="Segoe UI"/>
          <w:b w:val="0"/>
          <w:i w:val="0"/>
          <w:color w:val="1E293B"/>
          <w:sz w:val="21"/>
        </w:rPr>
        <w:t xml:space="preserve">Automated Diagnostic Feedback: </w:t>
      </w:r>
      <w:r>
        <w:rPr>
          <w:rFonts w:ascii="Segoe UI" w:hAnsi="Segoe UI"/>
          <w:b w:val="0"/>
          <w:i w:val="0"/>
          <w:color w:val="1E293B"/>
          <w:sz w:val="21"/>
        </w:rPr>
        <w:t>Provides instant, step-by-step mathematical explanations immediately upon quiz completion, ensuring errors become powerful learning moments rather than punitive scores.</w:t>
      </w:r>
    </w:p>
    <w:p>
      <w:pPr>
        <w:spacing w:before="0" w:after="80" w:line="276" w:lineRule="auto"/>
        <w:jc w:val="left"/>
      </w:pPr>
      <w:r>
        <w:rPr>
          <w:rFonts w:ascii="Segoe UI" w:hAnsi="Segoe UI"/>
          <w:b w:val="0"/>
          <w:i w:val="0"/>
          <w:color w:val="1E293B"/>
          <w:sz w:val="21"/>
        </w:rPr>
        <w:t xml:space="preserve">• </w:t>
      </w:r>
      <w:r>
        <w:rPr>
          <w:rFonts w:ascii="Segoe UI" w:hAnsi="Segoe UI"/>
          <w:b w:val="0"/>
          <w:i w:val="0"/>
          <w:color w:val="1E293B"/>
          <w:sz w:val="21"/>
        </w:rPr>
        <w:t xml:space="preserve">Anti-Cheating Assessment Controls: </w:t>
      </w:r>
      <w:r>
        <w:rPr>
          <w:rFonts w:ascii="Segoe UI" w:hAnsi="Segoe UI"/>
          <w:b w:val="0"/>
          <w:i w:val="0"/>
          <w:color w:val="1E293B"/>
          <w:sz w:val="21"/>
        </w:rPr>
        <w:t>Features question pool randomization, strict countdown timers, tab-switch detection, and disabled copy-paste functionality during active examination sessions.</w:t>
      </w:r>
    </w:p>
    <w:p>
      <w:pPr>
        <w:keepNext/>
        <w:spacing w:before="360" w:after="120"/>
      </w:pPr>
      <w:r>
        <w:rPr>
          <w:rFonts w:ascii="Segoe UI" w:hAnsi="Segoe UI"/>
          <w:b/>
          <w:color w:val="1E3A8A"/>
          <w:sz w:val="34"/>
        </w:rPr>
        <w:t>Chapter 7: Gamification, Engagement &amp; Retention Systems</w:t>
      </w:r>
    </w:p>
    <w:tbl>
      <w:tblPr>
        <w:tblW w:type="auto" w:w="0"/>
        <w:jc w:val="center"/>
        <w:tblLayout w:type="fixed"/>
        <w:tblLook w:firstColumn="1" w:firstRow="1" w:lastColumn="0" w:lastRow="0" w:noHBand="0" w:noVBand="1" w:val="04A0"/>
      </w:tblPr>
      <w:tblGrid>
        <w:gridCol w:w="9360"/>
      </w:tblGrid>
      <w:tr>
        <w:tc>
          <w:tcPr>
            <w:tcW w:type="dxa" w:w="9360"/>
            <w:shd w:fill="1E3A8A"/>
            <w:tcMar>
              <w:top w:w="10" w:type="dxa"/>
              <w:bottom w:w="10" w:type="dxa"/>
              <w:left w:w="0" w:type="dxa"/>
              <w:right w:w="0" w:type="dxa"/>
            </w:tcMar>
          </w:tcPr>
          <w:p>
            <w:pPr>
              <w:spacing w:before="0" w:after="0"/>
            </w:pPr>
            <w:r>
              <w:rPr>
                <w:sz w:val="4"/>
              </w:rPr>
            </w:r>
          </w:p>
        </w:tc>
      </w:tr>
    </w:tbl>
    <w:p>
      <w:pPr>
        <w:keepNext/>
        <w:spacing w:before="0" w:after="80"/>
      </w:pPr>
    </w:p>
    <w:p>
      <w:pPr>
        <w:spacing w:before="0" w:after="80" w:line="276" w:lineRule="auto"/>
        <w:jc w:val="left"/>
      </w:pPr>
      <w:r>
        <w:rPr>
          <w:rFonts w:ascii="Segoe UI" w:hAnsi="Segoe UI"/>
          <w:b w:val="0"/>
          <w:i w:val="0"/>
          <w:color w:val="1E293B"/>
          <w:sz w:val="21"/>
        </w:rPr>
        <w:t>To sustain high student motivation throughout the semester, NetQuest incorporates evidence-based gamification principles without sacrificing academic rigor. Every interaction is tied into an integrated Experience Point (XP) economy, streak counter, and dynamic leaderboard.</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Gamification Mechanic</w:t>
            </w:r>
          </w:p>
        </w:tc>
        <w:tc>
          <w:tcPr>
            <w:tcW w:type="dxa" w:w="3600"/>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Implementation Specification</w:t>
            </w:r>
          </w:p>
        </w:tc>
        <w:tc>
          <w:tcPr>
            <w:tcW w:type="dxa" w:w="3168"/>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Pedagogical Objective</w:t>
            </w:r>
          </w:p>
        </w:tc>
      </w:tr>
      <w:tr>
        <w:tc>
          <w:tcPr>
            <w:tcW w:type="dxa" w:w="259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Experience Points (XP)</w:t>
            </w:r>
          </w:p>
        </w:tc>
        <w:tc>
          <w:tcPr>
            <w:tcW w:type="dxa" w:w="360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+10 XP (Concept Intro), +20 XP (Simulator Lab), +50 XP (Quiz Mastery)</w:t>
            </w:r>
          </w:p>
        </w:tc>
        <w:tc>
          <w:tcPr>
            <w:tcW w:type="dxa" w:w="316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Incentivizes completion of all 9 steps rather than skipping to quizzes</w:t>
            </w:r>
          </w:p>
        </w:tc>
      </w:tr>
      <w:tr>
        <w:tc>
          <w:tcPr>
            <w:tcW w:type="dxa" w:w="259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Idempotent XP Engine</w:t>
            </w:r>
          </w:p>
        </w:tc>
        <w:tc>
          <w:tcPr>
            <w:tcW w:type="dxa" w:w="360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Deduplication algorithms ensure XP is awarded strictly once per milestone</w:t>
            </w:r>
          </w:p>
        </w:tc>
        <w:tc>
          <w:tcPr>
            <w:tcW w:type="dxa" w:w="316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Prevents student exploitation or artificial point inflation</w:t>
            </w:r>
          </w:p>
        </w:tc>
      </w:tr>
      <w:tr>
        <w:tc>
          <w:tcPr>
            <w:tcW w:type="dxa" w:w="259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Daily Learning Streak</w:t>
            </w:r>
          </w:p>
        </w:tc>
        <w:tc>
          <w:tcPr>
            <w:tcW w:type="dxa" w:w="360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Incremental day streak with 24-hour grace window</w:t>
            </w:r>
          </w:p>
        </w:tc>
        <w:tc>
          <w:tcPr>
            <w:tcW w:type="dxa" w:w="316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Encourages continuous, spaced repetition study habits across the semester</w:t>
            </w:r>
          </w:p>
        </w:tc>
      </w:tr>
      <w:tr>
        <w:tc>
          <w:tcPr>
            <w:tcW w:type="dxa" w:w="259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Sprint Quests</w:t>
            </w:r>
          </w:p>
        </w:tc>
        <w:tc>
          <w:tcPr>
            <w:tcW w:type="dxa" w:w="360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Daily mini-missions (e.g. 'Solve 2 subnet drills', 'Inspect 1 TCP trace')</w:t>
            </w:r>
          </w:p>
        </w:tc>
        <w:tc>
          <w:tcPr>
            <w:tcW w:type="dxa" w:w="316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Provides quick 5-minute study bites accessible via mobile devices</w:t>
            </w:r>
          </w:p>
        </w:tc>
      </w:tr>
      <w:tr>
        <w:tc>
          <w:tcPr>
            <w:tcW w:type="dxa" w:w="259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Dynamic Leaderboards</w:t>
            </w:r>
          </w:p>
        </w:tc>
        <w:tc>
          <w:tcPr>
            <w:tcW w:type="dxa" w:w="360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Section-level and university-wide ranking tables with tier badges</w:t>
            </w:r>
          </w:p>
        </w:tc>
        <w:tc>
          <w:tcPr>
            <w:tcW w:type="dxa" w:w="316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Fosters healthy, positive academic competition among peers</w:t>
            </w:r>
          </w:p>
        </w:tc>
      </w:tr>
      <w:tr>
        <w:tc>
          <w:tcPr>
            <w:tcW w:type="dxa" w:w="259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Particle Confetti</w:t>
            </w:r>
          </w:p>
        </w:tc>
        <w:tc>
          <w:tcPr>
            <w:tcW w:type="dxa" w:w="360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Canvas-confetti integration on module completion and exam pass</w:t>
            </w:r>
          </w:p>
        </w:tc>
        <w:tc>
          <w:tcPr>
            <w:tcW w:type="dxa" w:w="316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Provides instant dopamine-reinforcing visual feedback on milestone achievement</w:t>
            </w:r>
          </w:p>
        </w:tc>
      </w:tr>
    </w:tbl>
    <w:p>
      <w:pPr>
        <w:keepNext/>
        <w:spacing w:before="360" w:after="120"/>
      </w:pPr>
      <w:r>
        <w:rPr>
          <w:rFonts w:ascii="Segoe UI" w:hAnsi="Segoe UI"/>
          <w:b/>
          <w:color w:val="1E3A8A"/>
          <w:sz w:val="34"/>
        </w:rPr>
        <w:t>Chapter 8: AI Tutor Engine (Google Gemini 2.0 Integration)</w:t>
      </w:r>
    </w:p>
    <w:tbl>
      <w:tblPr>
        <w:tblW w:type="auto" w:w="0"/>
        <w:jc w:val="center"/>
        <w:tblLayout w:type="fixed"/>
        <w:tblLook w:firstColumn="1" w:firstRow="1" w:lastColumn="0" w:lastRow="0" w:noHBand="0" w:noVBand="1" w:val="04A0"/>
      </w:tblPr>
      <w:tblGrid>
        <w:gridCol w:w="9360"/>
      </w:tblGrid>
      <w:tr>
        <w:tc>
          <w:tcPr>
            <w:tcW w:type="dxa" w:w="9360"/>
            <w:shd w:fill="1E3A8A"/>
            <w:tcMar>
              <w:top w:w="10" w:type="dxa"/>
              <w:bottom w:w="10" w:type="dxa"/>
              <w:left w:w="0" w:type="dxa"/>
              <w:right w:w="0" w:type="dxa"/>
            </w:tcMar>
          </w:tcPr>
          <w:p>
            <w:pPr>
              <w:spacing w:before="0" w:after="0"/>
            </w:pPr>
            <w:r>
              <w:rPr>
                <w:sz w:val="4"/>
              </w:rPr>
            </w:r>
          </w:p>
        </w:tc>
      </w:tr>
    </w:tbl>
    <w:p>
      <w:pPr>
        <w:keepNext/>
        <w:spacing w:before="0" w:after="80"/>
      </w:pPr>
    </w:p>
    <w:p>
      <w:pPr>
        <w:spacing w:before="0" w:after="80" w:line="276" w:lineRule="auto"/>
        <w:jc w:val="left"/>
      </w:pPr>
      <w:r>
        <w:rPr>
          <w:rFonts w:ascii="Segoe UI" w:hAnsi="Segoe UI"/>
          <w:b w:val="0"/>
          <w:i w:val="0"/>
          <w:color w:val="1E293B"/>
          <w:sz w:val="21"/>
        </w:rPr>
        <w:t>NetQuest integrates cutting-edge artificial intelligence via Google Gemini 2.0 to deliver real-time, personalized tutoring. Embedded within the lesson player, the AI engine synthesizes complex networking specifications into accessible, high-yield takeaways.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60" w:type="dxa"/>
            </w:tcMar>
            <w:tcBorders>
              <w:top w:val="none"/>
              <w:bottom w:val="none"/>
              <w:left w:val="single" w:sz="24" w:space="0" w:color="1E3A8A"/>
              <w:right w:val="none"/>
            </w:tcBorders>
          </w:tcPr>
          <w:p>
            <w:pPr>
              <w:spacing w:before="40" w:after="40" w:line="276" w:lineRule="auto"/>
            </w:pPr>
            <w:r>
              <w:rPr>
                <w:rFonts w:ascii="Segoe UI" w:hAnsi="Segoe UI"/>
                <w:b/>
                <w:color w:val="1E3A8A"/>
                <w:sz w:val="19"/>
              </w:rPr>
              <w:t>[AI SERVICE ARCHITECTURE]</w:t>
              <w:br/>
            </w:r>
            <w:r>
              <w:rPr>
                <w:rFonts w:ascii="Segoe UI" w:hAnsi="Segoe UI"/>
                <w:color w:val="1E293B"/>
                <w:sz w:val="19"/>
              </w:rPr>
              <w:t>AI Architecture: The Node/Express server exposes a dedicated endpoint (/api/lesson-summary) utilizing the official @google/genai SDK. Prompts are governed by a strict JSON schema enforcing: 1) Protocol mechanism, 2) Technical flag/formula details, 3) Common exam pitfalls, and 4) Core concept tag.</w:t>
            </w:r>
          </w:p>
        </w:tc>
      </w:tr>
    </w:tbl>
    <w:p>
      <w:pPr>
        <w:spacing w:before="0" w:after="80"/>
      </w:pPr>
    </w:p>
    <w:p>
      <w:pPr>
        <w:spacing w:before="0" w:after="80" w:line="276" w:lineRule="auto"/>
        <w:jc w:val="left"/>
      </w:pPr>
      <w:r>
        <w:rPr>
          <w:rFonts w:ascii="Segoe UI" w:hAnsi="Segoe UI"/>
          <w:b w:val="0"/>
          <w:i w:val="0"/>
          <w:color w:val="1E293B"/>
          <w:sz w:val="21"/>
        </w:rPr>
        <w:t>A critical architectural achievement of NetQuest is its Resilient Fallback Engine. If the student is operating in an offline campus laboratory or if external API rate limits occur, the platform smoothly serves verified, curriculum-grounded summaries from local storage. Students never encounter broken interfaces or loading spinners, guaranteeing 100% platform uptime.</w:t>
      </w:r>
    </w:p>
    <w:p>
      <w:pPr>
        <w:keepNext/>
        <w:spacing w:before="360" w:after="120"/>
      </w:pPr>
      <w:r>
        <w:rPr>
          <w:rFonts w:ascii="Segoe UI" w:hAnsi="Segoe UI"/>
          <w:b/>
          <w:color w:val="1E3A8A"/>
          <w:sz w:val="34"/>
        </w:rPr>
        <w:t>Chapter 9: User Authentication, Role-Based Access &amp; Data Governance</w:t>
      </w:r>
    </w:p>
    <w:tbl>
      <w:tblPr>
        <w:tblW w:type="auto" w:w="0"/>
        <w:jc w:val="center"/>
        <w:tblLayout w:type="fixed"/>
        <w:tblLook w:firstColumn="1" w:firstRow="1" w:lastColumn="0" w:lastRow="0" w:noHBand="0" w:noVBand="1" w:val="04A0"/>
      </w:tblPr>
      <w:tblGrid>
        <w:gridCol w:w="9360"/>
      </w:tblGrid>
      <w:tr>
        <w:tc>
          <w:tcPr>
            <w:tcW w:type="dxa" w:w="9360"/>
            <w:shd w:fill="1E3A8A"/>
            <w:tcMar>
              <w:top w:w="10" w:type="dxa"/>
              <w:bottom w:w="10" w:type="dxa"/>
              <w:left w:w="0" w:type="dxa"/>
              <w:right w:w="0" w:type="dxa"/>
            </w:tcMar>
          </w:tcPr>
          <w:p>
            <w:pPr>
              <w:spacing w:before="0" w:after="0"/>
            </w:pPr>
            <w:r>
              <w:rPr>
                <w:sz w:val="4"/>
              </w:rPr>
            </w:r>
          </w:p>
        </w:tc>
      </w:tr>
    </w:tbl>
    <w:p>
      <w:pPr>
        <w:keepNext/>
        <w:spacing w:before="0" w:after="80"/>
      </w:pPr>
    </w:p>
    <w:p>
      <w:pPr>
        <w:spacing w:before="0" w:after="80" w:line="276" w:lineRule="auto"/>
        <w:jc w:val="left"/>
      </w:pPr>
      <w:r>
        <w:rPr>
          <w:rFonts w:ascii="Segoe UI" w:hAnsi="Segoe UI"/>
          <w:b w:val="0"/>
          <w:i w:val="0"/>
          <w:color w:val="1E293B"/>
          <w:sz w:val="21"/>
        </w:rPr>
        <w:t>NetQuest features a hardened, dual-tier authentication architecture that separates undergraduate student learners from platform administrators and course coordinators.</w:t>
      </w:r>
    </w:p>
    <w:p>
      <w:pPr>
        <w:keepNext/>
        <w:spacing w:before="280" w:after="80"/>
      </w:pPr>
      <w:r>
        <w:rPr>
          <w:rFonts w:ascii="Segoe UI" w:hAnsi="Segoe UI"/>
          <w:b/>
          <w:color w:val="0D9488"/>
          <w:sz w:val="26"/>
        </w:rPr>
        <w:t>9.1 Student Access Management</w:t>
      </w:r>
    </w:p>
    <w:p>
      <w:pPr>
        <w:spacing w:before="0" w:after="80" w:line="276" w:lineRule="auto"/>
        <w:jc w:val="left"/>
      </w:pPr>
      <w:r>
        <w:rPr>
          <w:rFonts w:ascii="Segoe UI" w:hAnsi="Segoe UI"/>
          <w:b w:val="0"/>
          <w:i w:val="0"/>
          <w:color w:val="1E293B"/>
          <w:sz w:val="21"/>
        </w:rPr>
        <w:t>To eliminate friction during classroom orientation, all 68 enrolled B.Tech CSE students have been pre-provisioned directly within the system. Each student logs in using their official University Register Number (e.g., 99240040116) and a deterministic initial password formatted as Klu@&lt;last 5 digits of ID&gt;. Upon initial authentication, students are prompted to customize their security credentials.</w:t>
      </w:r>
    </w:p>
    <w:p>
      <w:pPr>
        <w:keepNext/>
        <w:spacing w:before="280" w:after="80"/>
      </w:pPr>
      <w:r>
        <w:rPr>
          <w:rFonts w:ascii="Segoe UI" w:hAnsi="Segoe UI"/>
          <w:b/>
          <w:color w:val="0D9488"/>
          <w:sz w:val="26"/>
        </w:rPr>
        <w:t>9.2 Developer &amp; Administrator Access (Strict RBAC)</w:t>
      </w:r>
    </w:p>
    <w:p>
      <w:pPr>
        <w:spacing w:before="0" w:after="80" w:line="276" w:lineRule="auto"/>
        <w:jc w:val="left"/>
      </w:pPr>
      <w:r>
        <w:rPr>
          <w:rFonts w:ascii="Segoe UI" w:hAnsi="Segoe UI"/>
          <w:b w:val="0"/>
          <w:i w:val="0"/>
          <w:color w:val="1E293B"/>
          <w:sz w:val="21"/>
        </w:rPr>
        <w:t>Administrative capabilities—including live curriculum mutation, module reordering, student score exports, and database inspection—are restricted to two strictly authorized developer accounts: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Developer ID</w:t>
            </w:r>
          </w:p>
        </w:tc>
        <w:tc>
          <w:tcPr>
            <w:tcW w:type="dxa" w:w="3168"/>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Designated Role</w:t>
            </w:r>
          </w:p>
        </w:tc>
        <w:tc>
          <w:tcPr>
            <w:tcW w:type="dxa" w:w="2592"/>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Assigned Lead</w:t>
            </w:r>
          </w:p>
        </w:tc>
        <w:tc>
          <w:tcPr>
            <w:tcW w:type="dxa" w:w="2016"/>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Official Email</w:t>
            </w:r>
          </w:p>
        </w:tc>
      </w:tr>
      <w:tr>
        <w:tc>
          <w:tcPr>
            <w:tcW w:type="dxa" w:w="158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285</w:t>
            </w:r>
          </w:p>
        </w:tc>
        <w:tc>
          <w:tcPr>
            <w:tcW w:type="dxa" w:w="316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Platform Lead &amp; Administrator</w:t>
            </w:r>
          </w:p>
        </w:tc>
        <w:tc>
          <w:tcPr>
            <w:tcW w:type="dxa" w:w="259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Marimesi Manideep</w:t>
            </w:r>
          </w:p>
        </w:tc>
        <w:tc>
          <w:tcPr>
            <w:tcW w:type="dxa" w:w="2016"/>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dev285@klu.ac.in</w:t>
            </w:r>
          </w:p>
        </w:tc>
      </w:tr>
      <w:tr>
        <w:tc>
          <w:tcPr>
            <w:tcW w:type="dxa" w:w="158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279</w:t>
            </w:r>
          </w:p>
        </w:tc>
        <w:tc>
          <w:tcPr>
            <w:tcW w:type="dxa" w:w="316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Core Systems &amp; Curriculum Administrator</w:t>
            </w:r>
          </w:p>
        </w:tc>
        <w:tc>
          <w:tcPr>
            <w:tcW w:type="dxa" w:w="259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Jegatheeswaran R</w:t>
            </w:r>
          </w:p>
        </w:tc>
        <w:tc>
          <w:tcPr>
            <w:tcW w:type="dxa" w:w="2016"/>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dev279@klu.ac.in</w:t>
            </w:r>
          </w:p>
        </w:tc>
      </w:tr>
    </w:tbl>
    <w:p>
      <w:pPr>
        <w:spacing w:before="0" w:after="80" w:line="276" w:lineRule="auto"/>
        <w:jc w:val="left"/>
      </w:pPr>
      <w:r>
        <w:rPr>
          <w:rFonts w:ascii="Segoe UI" w:hAnsi="Segoe UI"/>
          <w:b w:val="0"/>
          <w:i w:val="0"/>
          <w:color w:val="1E293B"/>
          <w:sz w:val="21"/>
        </w:rPr>
        <w:t>As verified by the automated security suite (test_developer_auth.ts), all other administrative IDs (including generic root, admin, DEV-KLU-01, etc.) are strictly rejected with comprehensive assertion checks.</w:t>
      </w:r>
    </w:p>
    <w:p>
      <w:pPr>
        <w:keepNext/>
        <w:spacing w:before="360" w:after="120"/>
      </w:pPr>
      <w:r>
        <w:rPr>
          <w:rFonts w:ascii="Segoe UI" w:hAnsi="Segoe UI"/>
          <w:b/>
          <w:color w:val="1E3A8A"/>
          <w:sz w:val="34"/>
        </w:rPr>
        <w:t>Chapter 10: Security Audit &amp; Firestore Access Rules</w:t>
      </w:r>
    </w:p>
    <w:tbl>
      <w:tblPr>
        <w:tblW w:type="auto" w:w="0"/>
        <w:jc w:val="center"/>
        <w:tblLayout w:type="fixed"/>
        <w:tblLook w:firstColumn="1" w:firstRow="1" w:lastColumn="0" w:lastRow="0" w:noHBand="0" w:noVBand="1" w:val="04A0"/>
      </w:tblPr>
      <w:tblGrid>
        <w:gridCol w:w="9360"/>
      </w:tblGrid>
      <w:tr>
        <w:tc>
          <w:tcPr>
            <w:tcW w:type="dxa" w:w="9360"/>
            <w:shd w:fill="1E3A8A"/>
            <w:tcMar>
              <w:top w:w="10" w:type="dxa"/>
              <w:bottom w:w="10" w:type="dxa"/>
              <w:left w:w="0" w:type="dxa"/>
              <w:right w:w="0" w:type="dxa"/>
            </w:tcMar>
          </w:tcPr>
          <w:p>
            <w:pPr>
              <w:spacing w:before="0" w:after="0"/>
            </w:pPr>
            <w:r>
              <w:rPr>
                <w:sz w:val="4"/>
              </w:rPr>
            </w:r>
          </w:p>
        </w:tc>
      </w:tr>
    </w:tbl>
    <w:p>
      <w:pPr>
        <w:keepNext/>
        <w:spacing w:before="0" w:after="80"/>
      </w:pPr>
    </w:p>
    <w:p>
      <w:pPr>
        <w:spacing w:before="0" w:after="80" w:line="276" w:lineRule="auto"/>
        <w:jc w:val="left"/>
      </w:pPr>
      <w:r>
        <w:rPr>
          <w:rFonts w:ascii="Segoe UI" w:hAnsi="Segoe UI"/>
          <w:b w:val="0"/>
          <w:i w:val="0"/>
          <w:color w:val="1E293B"/>
          <w:sz w:val="21"/>
        </w:rPr>
        <w:t>The security posture of NetQuest is anchored in declarative Firebase Firestore security rules, preventing data tampering, score forgery, and unauthorized access across all database collections.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Firestore Collection</w:t>
            </w:r>
          </w:p>
        </w:tc>
        <w:tc>
          <w:tcPr>
            <w:tcW w:type="dxa" w:w="2448"/>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Read Permission Policy</w:t>
            </w:r>
          </w:p>
        </w:tc>
        <w:tc>
          <w:tcPr>
            <w:tcW w:type="dxa" w:w="2592"/>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Write / Mutation Policy</w:t>
            </w:r>
          </w:p>
        </w:tc>
        <w:tc>
          <w:tcPr>
            <w:tcW w:type="dxa" w:w="2160"/>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Security Safeguard</w:t>
            </w:r>
          </w:p>
        </w:tc>
      </w:tr>
      <w:tr>
        <w:tc>
          <w:tcPr>
            <w:tcW w:type="dxa" w:w="216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users/{userId}</w:t>
            </w:r>
          </w:p>
        </w:tc>
        <w:tc>
          <w:tcPr>
            <w:tcW w:type="dxa" w:w="244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Authenticated User Only (request.auth.uid == userId)</w:t>
            </w:r>
          </w:p>
        </w:tc>
        <w:tc>
          <w:tcPr>
            <w:tcW w:type="dxa" w:w="259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User Only; strict field validation on role/studentId</w:t>
            </w:r>
          </w:p>
        </w:tc>
        <w:tc>
          <w:tcPr>
            <w:tcW w:type="dxa" w:w="216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Prevents unauthorized profile tampering and identity spoofing</w:t>
            </w:r>
          </w:p>
        </w:tc>
      </w:tr>
      <w:tr>
        <w:tc>
          <w:tcPr>
            <w:tcW w:type="dxa" w:w="216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progress/{userId}</w:t>
            </w:r>
          </w:p>
        </w:tc>
        <w:tc>
          <w:tcPr>
            <w:tcW w:type="dxa" w:w="244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 Owner &amp; Course Instructors</w:t>
            </w:r>
          </w:p>
        </w:tc>
        <w:tc>
          <w:tcPr>
            <w:tcW w:type="dxa" w:w="259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 Owner; XP updates validated against completed steps</w:t>
            </w:r>
          </w:p>
        </w:tc>
        <w:tc>
          <w:tcPr>
            <w:tcW w:type="dxa" w:w="216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Prevents arbitrary XP inflation or forged exam completion scores</w:t>
            </w:r>
          </w:p>
        </w:tc>
      </w:tr>
      <w:tr>
        <w:tc>
          <w:tcPr>
            <w:tcW w:type="dxa" w:w="216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leaderboard/global</w:t>
            </w:r>
          </w:p>
        </w:tc>
        <w:tc>
          <w:tcPr>
            <w:tcW w:type="dxa" w:w="244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Public Read for Enrolled Students</w:t>
            </w:r>
          </w:p>
        </w:tc>
        <w:tc>
          <w:tcPr>
            <w:tcW w:type="dxa" w:w="259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Server / Admin Write Only via Verified Function Calls</w:t>
            </w:r>
          </w:p>
        </w:tc>
        <w:tc>
          <w:tcPr>
            <w:tcW w:type="dxa" w:w="216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Shields ranking tables from unauthorized client-side manipulation</w:t>
            </w:r>
          </w:p>
        </w:tc>
      </w:tr>
      <w:tr>
        <w:tc>
          <w:tcPr>
            <w:tcW w:type="dxa" w:w="216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curriculum/modules</w:t>
            </w:r>
          </w:p>
        </w:tc>
        <w:tc>
          <w:tcPr>
            <w:tcW w:type="dxa" w:w="244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Public Read for All Authenticated Users</w:t>
            </w:r>
          </w:p>
        </w:tc>
        <w:tc>
          <w:tcPr>
            <w:tcW w:type="dxa" w:w="259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Strictly Restricted to Authorized Developer IDs (285 &amp; 279)</w:t>
            </w:r>
          </w:p>
        </w:tc>
        <w:tc>
          <w:tcPr>
            <w:tcW w:type="dxa" w:w="216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Protects syllabus content and quiz answer keys from student tampering</w:t>
            </w:r>
          </w:p>
        </w:tc>
      </w:tr>
    </w:tbl>
    <w:p>
      <w:pPr>
        <w:keepNext/>
        <w:spacing w:before="360" w:after="120"/>
      </w:pPr>
      <w:r>
        <w:rPr>
          <w:rFonts w:ascii="Segoe UI" w:hAnsi="Segoe UI"/>
          <w:b/>
          <w:color w:val="1E3A8A"/>
          <w:sz w:val="34"/>
        </w:rPr>
        <w:t>Chapter 11: End-to-End Testing &amp; Quality Assurance Verification</w:t>
      </w:r>
    </w:p>
    <w:tbl>
      <w:tblPr>
        <w:tblW w:type="auto" w:w="0"/>
        <w:jc w:val="center"/>
        <w:tblLayout w:type="fixed"/>
        <w:tblLook w:firstColumn="1" w:firstRow="1" w:lastColumn="0" w:lastRow="0" w:noHBand="0" w:noVBand="1" w:val="04A0"/>
      </w:tblPr>
      <w:tblGrid>
        <w:gridCol w:w="9360"/>
      </w:tblGrid>
      <w:tr>
        <w:tc>
          <w:tcPr>
            <w:tcW w:type="dxa" w:w="9360"/>
            <w:shd w:fill="1E3A8A"/>
            <w:tcMar>
              <w:top w:w="10" w:type="dxa"/>
              <w:bottom w:w="10" w:type="dxa"/>
              <w:left w:w="0" w:type="dxa"/>
              <w:right w:w="0" w:type="dxa"/>
            </w:tcMar>
          </w:tcPr>
          <w:p>
            <w:pPr>
              <w:spacing w:before="0" w:after="0"/>
            </w:pPr>
            <w:r>
              <w:rPr>
                <w:sz w:val="4"/>
              </w:rPr>
            </w:r>
          </w:p>
        </w:tc>
      </w:tr>
    </w:tbl>
    <w:p>
      <w:pPr>
        <w:keepNext/>
        <w:spacing w:before="0" w:after="80"/>
      </w:pPr>
    </w:p>
    <w:p>
      <w:pPr>
        <w:spacing w:before="0" w:after="80" w:line="276" w:lineRule="auto"/>
        <w:jc w:val="left"/>
      </w:pPr>
      <w:r>
        <w:rPr>
          <w:rFonts w:ascii="Segoe UI" w:hAnsi="Segoe UI"/>
          <w:b w:val="0"/>
          <w:i w:val="0"/>
          <w:color w:val="1E293B"/>
          <w:sz w:val="21"/>
        </w:rPr>
        <w:t>NetQuest incorporates comprehensive automated test suites covering curriculum integrity, non-duplication, progression unlocking rules, developer authentication, and course management. Prior to client delivery, all verification suites executed with a 100% pass rate.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60" w:type="dxa"/>
            </w:tcMar>
            <w:tcBorders>
              <w:top w:val="none"/>
              <w:bottom w:val="none"/>
              <w:left w:val="single" w:sz="24" w:space="0" w:color="1E3A8A"/>
              <w:right w:val="none"/>
            </w:tcBorders>
          </w:tcPr>
          <w:p>
            <w:pPr>
              <w:spacing w:before="40" w:after="40" w:line="276" w:lineRule="auto"/>
            </w:pPr>
            <w:r>
              <w:rPr>
                <w:rFonts w:ascii="Segoe UI" w:hAnsi="Segoe UI"/>
                <w:b/>
                <w:color w:val="1E3A8A"/>
                <w:sz w:val="19"/>
              </w:rPr>
              <w:t>[AUTOMATED TEST SUMMARY]</w:t>
              <w:br/>
            </w:r>
            <w:r>
              <w:rPr>
                <w:rFonts w:ascii="Segoe UI" w:hAnsi="Segoe UI"/>
                <w:color w:val="1E293B"/>
                <w:sz w:val="19"/>
              </w:rPr>
              <w:t>VERIFICATION REPORT: 24 / 24 E2E Curriculum Tests Passed (100%). 0 Duplicate Module IDs. 0 Duplicate Titles. 100% Pedagogical Structure Completeness. Unit 4 &amp; 5 Unlocking 70% Exam Threshold Verified. Developer Auth Restrictions 100% Validated.</w:t>
            </w:r>
          </w:p>
        </w:tc>
      </w:tr>
    </w:tbl>
    <w:p>
      <w:pPr>
        <w:spacing w:before="0" w:after="80"/>
      </w:pP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Test Suite File</w:t>
            </w:r>
          </w:p>
        </w:tc>
        <w:tc>
          <w:tcPr>
            <w:tcW w:type="dxa" w:w="2160"/>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Category Verified</w:t>
            </w:r>
          </w:p>
        </w:tc>
        <w:tc>
          <w:tcPr>
            <w:tcW w:type="dxa" w:w="1008"/>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Tests Run</w:t>
            </w:r>
          </w:p>
        </w:tc>
        <w:tc>
          <w:tcPr>
            <w:tcW w:type="dxa" w:w="1440"/>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Result</w:t>
            </w:r>
          </w:p>
        </w:tc>
        <w:tc>
          <w:tcPr>
            <w:tcW w:type="dxa" w:w="2160"/>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Key Assertion</w:t>
            </w:r>
          </w:p>
        </w:tc>
      </w:tr>
      <w:tr>
        <w:tc>
          <w:tcPr>
            <w:tcW w:type="dxa" w:w="259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test_curriculum_and_gamification.ts</w:t>
            </w:r>
          </w:p>
        </w:tc>
        <w:tc>
          <w:tcPr>
            <w:tcW w:type="dxa" w:w="216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Curriculum Dataset Integrity</w:t>
            </w:r>
          </w:p>
        </w:tc>
        <w:tc>
          <w:tcPr>
            <w:tcW w:type="dxa" w:w="100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7</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PASS (100%)</w:t>
            </w:r>
          </w:p>
        </w:tc>
        <w:tc>
          <w:tcPr>
            <w:tcW w:type="dxa" w:w="216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Exactly 3 core units, 17 modules, 0 duplicates</w:t>
            </w:r>
          </w:p>
        </w:tc>
      </w:tr>
      <w:tr>
        <w:tc>
          <w:tcPr>
            <w:tcW w:type="dxa" w:w="259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test_curriculum_and_gamification.ts</w:t>
            </w:r>
          </w:p>
        </w:tc>
        <w:tc>
          <w:tcPr>
            <w:tcW w:type="dxa" w:w="216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Question Banks &amp; Flashcards</w:t>
            </w:r>
          </w:p>
        </w:tc>
        <w:tc>
          <w:tcPr>
            <w:tcW w:type="dxa" w:w="100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5</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PASS (100%)</w:t>
            </w:r>
          </w:p>
        </w:tc>
        <w:tc>
          <w:tcPr>
            <w:tcW w:type="dxa" w:w="216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25 module quiz questions + 8 quick flashcards verified</w:t>
            </w:r>
          </w:p>
        </w:tc>
      </w:tr>
      <w:tr>
        <w:tc>
          <w:tcPr>
            <w:tcW w:type="dxa" w:w="259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test_curriculum_and_gamification.ts</w:t>
            </w:r>
          </w:p>
        </w:tc>
        <w:tc>
          <w:tcPr>
            <w:tcW w:type="dxa" w:w="216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Pedagogical Completeness</w:t>
            </w:r>
          </w:p>
        </w:tc>
        <w:tc>
          <w:tcPr>
            <w:tcW w:type="dxa" w:w="100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3</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PASS (100%)</w:t>
            </w:r>
          </w:p>
        </w:tc>
        <w:tc>
          <w:tcPr>
            <w:tcW w:type="dxa" w:w="216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All modules possess Hook, Analogy, Concept, Quiz</w:t>
            </w:r>
          </w:p>
        </w:tc>
      </w:tr>
      <w:tr>
        <w:tc>
          <w:tcPr>
            <w:tcW w:type="dxa" w:w="259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test_curriculum_and_gamification.ts</w:t>
            </w:r>
          </w:p>
        </w:tc>
        <w:tc>
          <w:tcPr>
            <w:tcW w:type="dxa" w:w="216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Progression &amp; Helpers</w:t>
            </w:r>
          </w:p>
        </w:tc>
        <w:tc>
          <w:tcPr>
            <w:tcW w:type="dxa" w:w="100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4</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PASS (100%)</w:t>
            </w:r>
          </w:p>
        </w:tc>
        <w:tc>
          <w:tcPr>
            <w:tcW w:type="dxa" w:w="216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Linear next/prev navigation &amp; progress % calculations</w:t>
            </w:r>
          </w:p>
        </w:tc>
      </w:tr>
      <w:tr>
        <w:tc>
          <w:tcPr>
            <w:tcW w:type="dxa" w:w="259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test_curriculum_and_gamification.ts</w:t>
            </w:r>
          </w:p>
        </w:tc>
        <w:tc>
          <w:tcPr>
            <w:tcW w:type="dxa" w:w="216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Gamification &amp; Unlock Rules</w:t>
            </w:r>
          </w:p>
        </w:tc>
        <w:tc>
          <w:tcPr>
            <w:tcW w:type="dxa" w:w="100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5</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PASS (100%)</w:t>
            </w:r>
          </w:p>
        </w:tc>
        <w:tc>
          <w:tcPr>
            <w:tcW w:type="dxa" w:w="216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Idempotent XP + 70% exam passing unlock threshold</w:t>
            </w:r>
          </w:p>
        </w:tc>
      </w:tr>
      <w:tr>
        <w:tc>
          <w:tcPr>
            <w:tcW w:type="dxa" w:w="2592"/>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test_developer_auth.ts</w:t>
            </w:r>
          </w:p>
        </w:tc>
        <w:tc>
          <w:tcPr>
            <w:tcW w:type="dxa" w:w="216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Developer Security &amp; RBAC</w:t>
            </w:r>
          </w:p>
        </w:tc>
        <w:tc>
          <w:tcPr>
            <w:tcW w:type="dxa" w:w="100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10</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PASS (100%)</w:t>
            </w:r>
          </w:p>
        </w:tc>
        <w:tc>
          <w:tcPr>
            <w:tcW w:type="dxa" w:w="216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IDs 285 &amp; 279 authorized; all unauthorized IDs rejected</w:t>
            </w:r>
          </w:p>
        </w:tc>
      </w:tr>
      <w:tr>
        <w:tc>
          <w:tcPr>
            <w:tcW w:type="dxa" w:w="2592"/>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test_course_manager.ts</w:t>
            </w:r>
          </w:p>
        </w:tc>
        <w:tc>
          <w:tcPr>
            <w:tcW w:type="dxa" w:w="216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Custom Curriculum Mutation</w:t>
            </w:r>
          </w:p>
        </w:tc>
        <w:tc>
          <w:tcPr>
            <w:tcW w:type="dxa" w:w="100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6</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PASS (100%)</w:t>
            </w:r>
          </w:p>
        </w:tc>
        <w:tc>
          <w:tcPr>
            <w:tcW w:type="dxa" w:w="216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Local storage course addition, module reordering verified</w:t>
            </w:r>
          </w:p>
        </w:tc>
      </w:tr>
    </w:tbl>
    <w:p>
      <w:pPr>
        <w:keepNext/>
        <w:spacing w:before="360" w:after="120"/>
      </w:pPr>
      <w:r>
        <w:rPr>
          <w:rFonts w:ascii="Segoe UI" w:hAnsi="Segoe UI"/>
          <w:b/>
          <w:color w:val="1E3A8A"/>
          <w:sz w:val="34"/>
        </w:rPr>
        <w:t>Chapter 12: Deployment Architecture &amp; Operational Maintenance</w:t>
      </w:r>
    </w:p>
    <w:tbl>
      <w:tblPr>
        <w:tblW w:type="auto" w:w="0"/>
        <w:jc w:val="center"/>
        <w:tblLayout w:type="fixed"/>
        <w:tblLook w:firstColumn="1" w:firstRow="1" w:lastColumn="0" w:lastRow="0" w:noHBand="0" w:noVBand="1" w:val="04A0"/>
      </w:tblPr>
      <w:tblGrid>
        <w:gridCol w:w="9360"/>
      </w:tblGrid>
      <w:tr>
        <w:tc>
          <w:tcPr>
            <w:tcW w:type="dxa" w:w="9360"/>
            <w:shd w:fill="1E3A8A"/>
            <w:tcMar>
              <w:top w:w="10" w:type="dxa"/>
              <w:bottom w:w="10" w:type="dxa"/>
              <w:left w:w="0" w:type="dxa"/>
              <w:right w:w="0" w:type="dxa"/>
            </w:tcMar>
          </w:tcPr>
          <w:p>
            <w:pPr>
              <w:spacing w:before="0" w:after="0"/>
            </w:pPr>
            <w:r>
              <w:rPr>
                <w:sz w:val="4"/>
              </w:rPr>
            </w:r>
          </w:p>
        </w:tc>
      </w:tr>
    </w:tbl>
    <w:p>
      <w:pPr>
        <w:keepNext/>
        <w:spacing w:before="0" w:after="80"/>
      </w:pPr>
    </w:p>
    <w:p>
      <w:pPr>
        <w:spacing w:before="0" w:after="80" w:line="276" w:lineRule="auto"/>
        <w:jc w:val="left"/>
      </w:pPr>
      <w:r>
        <w:rPr>
          <w:rFonts w:ascii="Segoe UI" w:hAnsi="Segoe UI"/>
          <w:b w:val="0"/>
          <w:i w:val="0"/>
          <w:color w:val="1E293B"/>
          <w:sz w:val="21"/>
        </w:rPr>
        <w:t>NetQuest is engineered for effortless deployment across modern cloud infrastructure and local campus servers. The production deployment utilizes Vercel for low-latency global edge delivery combined with a bundled Node.js Express backend.</w:t>
      </w:r>
    </w:p>
    <w:p>
      <w:pPr>
        <w:keepNext/>
        <w:spacing w:before="280" w:after="80"/>
      </w:pPr>
      <w:r>
        <w:rPr>
          <w:rFonts w:ascii="Segoe UI" w:hAnsi="Segoe UI"/>
          <w:b/>
          <w:color w:val="0D9488"/>
          <w:sz w:val="26"/>
        </w:rPr>
        <w:t>12.1 Handover &amp; Maintenance Checklist for Course Faculty</w:t>
      </w:r>
    </w:p>
    <w:p>
      <w:pPr>
        <w:spacing w:before="0" w:after="80" w:line="276" w:lineRule="auto"/>
        <w:jc w:val="left"/>
      </w:pPr>
      <w:r>
        <w:rPr>
          <w:rFonts w:ascii="Segoe UI" w:hAnsi="Segoe UI"/>
          <w:b w:val="0"/>
          <w:i w:val="0"/>
          <w:color w:val="1E293B"/>
          <w:sz w:val="21"/>
        </w:rPr>
        <w:t xml:space="preserve">1. </w:t>
      </w:r>
      <w:r>
        <w:rPr>
          <w:rFonts w:ascii="Segoe UI" w:hAnsi="Segoe UI"/>
          <w:b w:val="0"/>
          <w:i w:val="0"/>
          <w:color w:val="1E293B"/>
          <w:sz w:val="21"/>
        </w:rPr>
        <w:t xml:space="preserve">Semester Setup &amp; Batch Onboarding: </w:t>
      </w:r>
      <w:r>
        <w:rPr>
          <w:rFonts w:ascii="Segoe UI" w:hAnsi="Segoe UI"/>
          <w:b w:val="0"/>
          <w:i w:val="0"/>
          <w:color w:val="1E293B"/>
          <w:sz w:val="21"/>
        </w:rPr>
        <w:t>Student rosters can be updated simply by replacing the CSV registry or utilizing the Developer Dashboard batch upload interface.</w:t>
      </w:r>
    </w:p>
    <w:p>
      <w:pPr>
        <w:spacing w:before="0" w:after="80" w:line="276" w:lineRule="auto"/>
        <w:jc w:val="left"/>
      </w:pPr>
      <w:r>
        <w:rPr>
          <w:rFonts w:ascii="Segoe UI" w:hAnsi="Segoe UI"/>
          <w:b w:val="0"/>
          <w:i w:val="0"/>
          <w:color w:val="1E293B"/>
          <w:sz w:val="21"/>
        </w:rPr>
        <w:t xml:space="preserve">2. </w:t>
      </w:r>
      <w:r>
        <w:rPr>
          <w:rFonts w:ascii="Segoe UI" w:hAnsi="Segoe UI"/>
          <w:b w:val="0"/>
          <w:i w:val="0"/>
          <w:color w:val="1E293B"/>
          <w:sz w:val="21"/>
        </w:rPr>
        <w:t xml:space="preserve">Custom Curriculum Expansion: </w:t>
      </w:r>
      <w:r>
        <w:rPr>
          <w:rFonts w:ascii="Segoe UI" w:hAnsi="Segoe UI"/>
          <w:b w:val="0"/>
          <w:i w:val="0"/>
          <w:color w:val="1E293B"/>
          <w:sz w:val="21"/>
        </w:rPr>
        <w:t>Instructors can add new modules, modify quiz question pools, and adjust passing thresholds via the visual Course Manager.</w:t>
      </w:r>
    </w:p>
    <w:p>
      <w:pPr>
        <w:spacing w:before="0" w:after="80" w:line="276" w:lineRule="auto"/>
        <w:jc w:val="left"/>
      </w:pPr>
      <w:r>
        <w:rPr>
          <w:rFonts w:ascii="Segoe UI" w:hAnsi="Segoe UI"/>
          <w:b w:val="0"/>
          <w:i w:val="0"/>
          <w:color w:val="1E293B"/>
          <w:sz w:val="21"/>
        </w:rPr>
        <w:t xml:space="preserve">3. </w:t>
      </w:r>
      <w:r>
        <w:rPr>
          <w:rFonts w:ascii="Segoe UI" w:hAnsi="Segoe UI"/>
          <w:b w:val="0"/>
          <w:i w:val="0"/>
          <w:color w:val="1E293B"/>
          <w:sz w:val="21"/>
        </w:rPr>
        <w:t xml:space="preserve">Gradebook &amp; Performance Export: </w:t>
      </w:r>
      <w:r>
        <w:rPr>
          <w:rFonts w:ascii="Segoe UI" w:hAnsi="Segoe UI"/>
          <w:b w:val="0"/>
          <w:i w:val="0"/>
          <w:color w:val="1E293B"/>
          <w:sz w:val="21"/>
        </w:rPr>
        <w:t>The Teacher Dashboard enables one-click CSV export of student completion percentages, quiz scores, and lab participation for direct entry into the university grading portal.</w:t>
      </w:r>
    </w:p>
    <w:p>
      <w:pPr>
        <w:spacing w:before="0" w:after="80" w:line="276" w:lineRule="auto"/>
        <w:jc w:val="left"/>
      </w:pPr>
      <w:r>
        <w:rPr>
          <w:rFonts w:ascii="Segoe UI" w:hAnsi="Segoe UI"/>
          <w:b w:val="0"/>
          <w:i w:val="0"/>
          <w:color w:val="1E293B"/>
          <w:sz w:val="21"/>
        </w:rPr>
        <w:t xml:space="preserve">4. </w:t>
      </w:r>
      <w:r>
        <w:rPr>
          <w:rFonts w:ascii="Segoe UI" w:hAnsi="Segoe UI"/>
          <w:b w:val="0"/>
          <w:i w:val="0"/>
          <w:color w:val="1E293B"/>
          <w:sz w:val="21"/>
        </w:rPr>
        <w:t xml:space="preserve">Campus Lab Offline Deployment: </w:t>
      </w:r>
      <w:r>
        <w:rPr>
          <w:rFonts w:ascii="Segoe UI" w:hAnsi="Segoe UI"/>
          <w:b w:val="0"/>
          <w:i w:val="0"/>
          <w:color w:val="1E293B"/>
          <w:sz w:val="21"/>
        </w:rPr>
        <w:t>Thanks to Service Worker caching and local storage persistence, students can continue working on simulators and quizzes even during campus internet drops.</w:t>
      </w:r>
    </w:p>
    <w:p>
      <w:pPr>
        <w:keepNext/>
        <w:spacing w:before="360" w:after="120"/>
      </w:pPr>
      <w:r>
        <w:rPr>
          <w:rFonts w:ascii="Segoe UI" w:hAnsi="Segoe UI"/>
          <w:b/>
          <w:color w:val="1E3A8A"/>
          <w:sz w:val="34"/>
        </w:rPr>
        <w:t>Chapter 13: Appendix — Student Onboarding Directory &amp; Initial Credentials</w:t>
      </w:r>
    </w:p>
    <w:tbl>
      <w:tblPr>
        <w:tblW w:type="auto" w:w="0"/>
        <w:jc w:val="center"/>
        <w:tblLayout w:type="fixed"/>
        <w:tblLook w:firstColumn="1" w:firstRow="1" w:lastColumn="0" w:lastRow="0" w:noHBand="0" w:noVBand="1" w:val="04A0"/>
      </w:tblPr>
      <w:tblGrid>
        <w:gridCol w:w="9360"/>
      </w:tblGrid>
      <w:tr>
        <w:tc>
          <w:tcPr>
            <w:tcW w:type="dxa" w:w="9360"/>
            <w:shd w:fill="1E3A8A"/>
            <w:tcMar>
              <w:top w:w="10" w:type="dxa"/>
              <w:bottom w:w="10" w:type="dxa"/>
              <w:left w:w="0" w:type="dxa"/>
              <w:right w:w="0" w:type="dxa"/>
            </w:tcMar>
          </w:tcPr>
          <w:p>
            <w:pPr>
              <w:spacing w:before="0" w:after="0"/>
            </w:pPr>
            <w:r>
              <w:rPr>
                <w:sz w:val="4"/>
              </w:rPr>
            </w:r>
          </w:p>
        </w:tc>
      </w:tr>
    </w:tbl>
    <w:p>
      <w:pPr>
        <w:keepNext/>
        <w:spacing w:before="0" w:after="80"/>
      </w:pPr>
    </w:p>
    <w:p>
      <w:pPr>
        <w:spacing w:before="0" w:after="80" w:line="276" w:lineRule="auto"/>
        <w:jc w:val="left"/>
      </w:pPr>
      <w:r>
        <w:rPr>
          <w:rFonts w:ascii="Segoe UI" w:hAnsi="Segoe UI"/>
          <w:b w:val="0"/>
          <w:i w:val="0"/>
          <w:color w:val="1E293B"/>
          <w:sz w:val="21"/>
        </w:rPr>
        <w:t>This official appendix contains the complete onboarding directory of all 68 registered B.Tech Computer Science &amp; Engineering students provisioned on NetQuest. Course coordinators and laboratory invigilators can reference this registry to facilitate orientation and initial login verification.</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60" w:type="dxa"/>
            </w:tcMar>
            <w:tcBorders>
              <w:top w:val="none"/>
              <w:bottom w:val="none"/>
              <w:left w:val="single" w:sz="24" w:space="0" w:color="1E3A8A"/>
              <w:right w:val="none"/>
            </w:tcBorders>
          </w:tcPr>
          <w:p>
            <w:pPr>
              <w:spacing w:before="40" w:after="40" w:line="276" w:lineRule="auto"/>
            </w:pPr>
            <w:r>
              <w:rPr>
                <w:rFonts w:ascii="Segoe UI" w:hAnsi="Segoe UI"/>
                <w:b/>
                <w:color w:val="1E3A8A"/>
                <w:sz w:val="19"/>
              </w:rPr>
              <w:t>[ORIENTATION CREDENTIAL INSTRUCTIONS]</w:t>
              <w:br/>
            </w:r>
            <w:r>
              <w:rPr>
                <w:rFonts w:ascii="Segoe UI" w:hAnsi="Segoe UI"/>
                <w:color w:val="1E293B"/>
                <w:sz w:val="19"/>
              </w:rPr>
              <w:t>Student Login Protocol: Students enter their Register Number (e.g. 99240040116) as their username. Default initial passwords follow the institutional standard: Klu@&lt;last 5 digits of Register Number&gt;. For example, Student ID 99240040116 has the default password Klu@40116.</w:t>
            </w:r>
          </w:p>
        </w:tc>
      </w:tr>
    </w:tbl>
    <w:p>
      <w:pPr>
        <w:spacing w:before="0" w:after="80"/>
      </w:pP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720"/>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S.No</w:t>
            </w:r>
          </w:p>
        </w:tc>
        <w:tc>
          <w:tcPr>
            <w:tcW w:type="dxa" w:w="1728"/>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Register Number</w:t>
            </w:r>
          </w:p>
        </w:tc>
        <w:tc>
          <w:tcPr>
            <w:tcW w:type="dxa" w:w="3024"/>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Student Full Name</w:t>
            </w:r>
          </w:p>
        </w:tc>
        <w:tc>
          <w:tcPr>
            <w:tcW w:type="dxa" w:w="2304"/>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Official University Email</w:t>
            </w:r>
          </w:p>
        </w:tc>
        <w:tc>
          <w:tcPr>
            <w:tcW w:type="dxa" w:w="1440"/>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Default Password</w:t>
            </w:r>
          </w:p>
        </w:tc>
        <w:tc>
          <w:tcPr>
            <w:tcW w:type="dxa" w:w="864"/>
            <w:shd w:fill="1E3A8A"/>
            <w:tcMar>
              <w:top w:w="120" w:type="dxa"/>
              <w:bottom w:w="120" w:type="dxa"/>
              <w:left w:w="140" w:type="dxa"/>
              <w:right w:w="140" w:type="dxa"/>
            </w:tcMar>
            <w:tcBorders>
              <w:top w:val="single" w:sz="8" w:space="0" w:color="1E3A8A"/>
              <w:bottom w:val="single" w:sz="8" w:space="0" w:color="1E3A8A"/>
              <w:left w:val="single" w:sz="8" w:space="0" w:color="1E3A8A"/>
              <w:right w:val="single" w:sz="8" w:space="0" w:color="1E3A8A"/>
            </w:tcBorders>
          </w:tcPr>
          <w:p>
            <w:pPr>
              <w:spacing w:before="0" w:after="0"/>
              <w:jc w:val="left"/>
            </w:pPr>
            <w:r>
              <w:rPr>
                <w:rFonts w:ascii="Segoe UI" w:hAnsi="Segoe UI"/>
                <w:b/>
                <w:color w:val="FFFFFF"/>
                <w:sz w:val="19"/>
              </w:rPr>
              <w:t>Role</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1</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99240040116</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NANDYALA SANTHOSH REDDY</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99240040116@klu.ac.in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Klu@40116</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2</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99240040262</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MALLELA GURU SAI BALAJI REDDY</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99240040262@klu.ac.in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Klu@40262</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3</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99240040263</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KONASANI SWAPNA</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99240040263@klu.ac.in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Klu@40263</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4</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99240040265</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KILARI VISHNU</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99240040265@klu.ac.in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Klu@40265</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5</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99240040266</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KOMMISETTY GANESH</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99240040266@klu.ac.in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Klu@40266</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6</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99240040267</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CHILAKALA VISHNU</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99240040267@klu.ac.in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Klu@40267</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7</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99240040268</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KRISHNA KANT KUMAR</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99240040268@klu.ac.in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Klu@40268</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8</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99240040269</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LANKOJI VENKATESWARLU</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99240040269@klu.ac.in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Klu@40269</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99240040270</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YELIPETI JAYACHITHRA</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99240040270@klu.ac.in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Klu@40270</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10</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99240040272</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KURAPATI DEVAKI NANDHAN SATYA SAI</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99240040272@klu.ac.in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Klu@40272</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11</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99240040274</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KURAPATI MANOHAR</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99240040274@klu.ac.in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Klu@40274</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12</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99240040275</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KURUVA PREMA SAI</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99240040275@klu.ac.in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Klu@40275</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13</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99240040276</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MADAM ESWAR KISHORE</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99240040276@klu.ac.in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Klu@40276</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14</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99240040277</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LAKKIREDDY SUSHANTH REDDY</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99240040277@klu.ac.in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Klu@40277</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15</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99240040278</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MADDALA SURYA CHANDRA VENKATA MOHAN</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99240040278@klu.ac.in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Klu@40278</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16</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99240040279</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JEGATHEESWARAN R</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99240040279@klu.ac.in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Klu@40279</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 / Developer</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17</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99240040280</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VEERAVALLI MUKESH</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99240040280@klu.ac.in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Klu@40280</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18</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99240040283</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MAYALURU PURUSHOTHAMA REDDY</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99240040283@klu.ac.in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Klu@40283</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19</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99240040284</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TELAGAMSETTI POSI SAI SIDDHARTHA</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99240040284@klu.ac.in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Klu@40284</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20</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99240040285</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MARIMESI MANIDEEP</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99240040285@klu.ac.in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Klu@40285</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 / Developer</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21</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99240040287</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NAGA LIKHITHA G</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99240040287@klu.ac.in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Klu@40287</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22</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99240040290</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MUNDLAPATI SWARNALATHA</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99240040290@klu.ac.in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Klu@40290</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23</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99240040293</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THANGALLAPALLI SAI KRISHNA REDDY</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99240040293@klu.ac.in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Klu@40293</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24</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99240040295</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GUDIBANDI TARUN KUMAR REDDY</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99240040295@klu.ac.in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Klu@40295</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25</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99240040296</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NUSUM NAGA BHAVANI</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99240040296@klu.ac.in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Klu@40296</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26</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99240040301</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PALA PAVAN SAI</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99240040301@klu.ac.in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Klu@40301</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27</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99240040302</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NEKKANTI MADHU GANESH</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99240040302@klu.ac.in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Klu@40302</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28</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99240040304</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PICHHIGARIPALLI AISHWARYA</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99240040304@klu.ac.in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Klu@40304</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29</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99240040305</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TATIKONDA RAMYA SRI</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99240040305@klu.ac.in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Klu@40305</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30</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99240040306</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POTTA SWAROOP KUMAR</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99240040306@klu.ac.in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Klu@40306</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31</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99240040307</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POTLA MOKSHAGNA CHOWDARY</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99240040307@klu.ac.in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Klu@40307</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32</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99240040308</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PILLI KARTHIK</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99240040308@klu.ac.in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Klu@40308</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33</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99240040310</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PILLILLI NAGARJUNA</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99240040310@klu.ac.in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Klu@40310</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34</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99240040311</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POTTHALAM MANASA</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99240040311@klu.ac.in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Klu@40311</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35</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99240040312</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POTU VASU</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99240040312@klu.ac.in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Klu@40312</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36</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99240040313</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KALLURI KARTHIK</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99240040313@klu.ac.in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Klu@40313</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37</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99240040314</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JUTURU ASHOK</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99240040314@klu.ac.in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Klu@40314</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38</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99240040316</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POTHAM REDDY MANIDEEP REDDY</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99240040316@klu.ac.in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Klu@40316</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39</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99240040317</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PINJALA MONIKA KRISHNA</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99240040317@klu.ac.in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Klu@40317</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40</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99240040320</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RAMU NAGA VENKATA SRI LAKSHMI PRANITHA</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99240040320@klu.ac.in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Klu@40320</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41</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99240040321</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NUKALA YASWANTH VENKATA SUBRAMANYAM</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99240040321@klu.ac.in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Klu@40321</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42</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99240040325</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YARRAM VENKATESWARA REDDY</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99240040325@klu.ac.in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Klu@40325</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43</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99240040326</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SEGU LOHITH KUMAR</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99240040326@klu.ac.in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Klu@40326</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44</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99240040327</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SHAHANA R</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99240040327@klu.ac.in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Klu@40327</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45</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99240040328</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SEGIREDDY TEJASWAN REDDY</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99240040328@klu.ac.in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Klu@40328</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46</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99240040329</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BODEMMAGARI ARUN KUMAR REDDY</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99240040329@klu.ac.in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Klu@40329</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47</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99240040330</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SETTIPALLI VIJAY ESHWAR</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99240040330@klu.ac.in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Klu@40330</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48</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99240040331</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SHAIK HUSSAIN</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99240040331@klu.ac.in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Klu@40331</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49</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99240040334</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YOGANJAN REDDY C P</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99240040334@klu.ac.in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Klu@40334</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50</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99240040335</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VEGESNA YAMINI DEVI</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99240040335@klu.ac.in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Klu@40335</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51</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99240040336</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YERLA NIKHILKUMAR</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99240040336@klu.ac.in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Klu@40336</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52</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99240040337</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KURUGODU KARTHIK</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99240040337@klu.ac.in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Klu@40337</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53</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99240040339</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VENKATA KARTHIK P</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99240040339@klu.ac.in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Klu@40339</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54</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99240040341</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VENNAPUSA CHAITANYA LAKSHMI</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99240040341@klu.ac.in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Klu@40341</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55</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99240040342</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YOGENDRA REDDY PB</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99240040342@klu.ac.in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Klu@40342</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56</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99240040343</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ABHISHEK R</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99240040343@klu.ac.in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Klu@40343</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57</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99240040344</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AMMU KUMARI</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99240040344@klu.ac.in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Klu@40344</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58</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99240040346</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ADDANKI CHAITANYA</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99240040346@klu.ac.in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Klu@40346</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59</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99240040347</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ADADHAKULAPALLI PRANEETH</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99240040347@klu.ac.in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Klu@40347</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60</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99240040348</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AHALYA SURESH</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99240040348@klu.ac.in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Klu@40348</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61</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99240040349</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AKUTHOTA JITHESH KUMAR</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99240040349@klu.ac.in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Klu@40349</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62</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99240040350</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AKULA SATISH KUMAR</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99240040350@klu.ac.in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Klu@40350</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63</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99240040351</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AKKINA AKSHAYA</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99240040351@klu.ac.in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Klu@40351</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64</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99240040352</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C AKHIL</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99240040352@klu.ac.in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Klu@40352</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65</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99240040353</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ADITHYAN P</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99240040353@klu.ac.in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Klu@40353</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66</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99240040354</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AKKALA CHARAN PRAKASH YADAV</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99240040354@klu.ac.in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Klu@40354</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67</w:t>
            </w:r>
          </w:p>
        </w:tc>
        <w:tc>
          <w:tcPr>
            <w:tcW w:type="dxa" w:w="1728"/>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99240040355</w:t>
            </w:r>
          </w:p>
        </w:tc>
        <w:tc>
          <w:tcPr>
            <w:tcW w:type="dxa" w:w="302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ADDEPALLI NAGA VENKATA AMRUTHA VARSHINI</w:t>
            </w:r>
          </w:p>
        </w:tc>
        <w:tc>
          <w:tcPr>
            <w:tcW w:type="dxa" w:w="230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99240040355@klu.ac.in</w:t>
            </w:r>
          </w:p>
        </w:tc>
        <w:tc>
          <w:tcPr>
            <w:tcW w:type="dxa" w:w="1440"/>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Klu@40355</w:t>
            </w:r>
          </w:p>
        </w:tc>
        <w:tc>
          <w:tcPr>
            <w:tcW w:type="dxa" w:w="864"/>
            <w:shd w:fill="FFFFFF"/>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r>
        <w:tc>
          <w:tcPr>
            <w:tcW w:type="dxa" w:w="72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68</w:t>
            </w:r>
          </w:p>
        </w:tc>
        <w:tc>
          <w:tcPr>
            <w:tcW w:type="dxa" w:w="1728"/>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99240040356</w:t>
            </w:r>
          </w:p>
        </w:tc>
        <w:tc>
          <w:tcPr>
            <w:tcW w:type="dxa" w:w="302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ADDEPALLI VYSHNAVI SRI MADHUMALINI</w:t>
            </w:r>
          </w:p>
        </w:tc>
        <w:tc>
          <w:tcPr>
            <w:tcW w:type="dxa" w:w="230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99240040356@klu.ac.in</w:t>
            </w:r>
          </w:p>
        </w:tc>
        <w:tc>
          <w:tcPr>
            <w:tcW w:type="dxa" w:w="1440"/>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Klu@40356</w:t>
            </w:r>
          </w:p>
        </w:tc>
        <w:tc>
          <w:tcPr>
            <w:tcW w:type="dxa" w:w="864"/>
            <w:shd w:fill="F1F5F9"/>
            <w:tcMar>
              <w:top w:w="90" w:type="dxa"/>
              <w:bottom w:w="90" w:type="dxa"/>
              <w:left w:w="130" w:type="dxa"/>
              <w:right w:w="130" w:type="dxa"/>
            </w:tcMar>
            <w:tcBorders>
              <w:top w:val="single" w:sz="4" w:space="0" w:color="CBD5E1"/>
              <w:bottom w:val="single" w:sz="4" w:space="0" w:color="CBD5E1"/>
              <w:left w:val="single" w:sz="4" w:space="0" w:color="CBD5E1"/>
              <w:right w:val="single" w:sz="4" w:space="0" w:color="CBD5E1"/>
            </w:tcBorders>
          </w:tcPr>
          <w:p>
            <w:pPr>
              <w:spacing w:before="0" w:after="0" w:line="269" w:lineRule="auto"/>
              <w:jc w:val="left"/>
            </w:pPr>
            <w:r>
              <w:rPr>
                <w:rFonts w:ascii="Segoe UI" w:hAnsi="Segoe UI"/>
                <w:color w:val="1E293B"/>
                <w:sz w:val="18"/>
              </w:rPr>
              <w:t>Student</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7"/>
      </w:rPr>
      <w:t>Department of Computer Science &amp; Engineering, KL University  —  Strictly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NetQuest: Computer Networks Platform  |  Client Delivery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