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0AB3B" w14:textId="77777777" w:rsidR="009D622A" w:rsidRDefault="009D622A"/>
    <w:p w14:paraId="6DB5B6F2" w14:textId="77777777" w:rsidR="009D622A" w:rsidRDefault="009D622A"/>
    <w:p w14:paraId="6F384AD0" w14:textId="6BB4247A" w:rsidR="009D622A" w:rsidRPr="0083300D" w:rsidRDefault="0083300D" w:rsidP="0083300D">
      <w:pPr>
        <w:jc w:val="center"/>
        <w:rPr>
          <w:b/>
          <w:bCs/>
        </w:rPr>
      </w:pPr>
      <w:r w:rsidRPr="0083300D">
        <w:rPr>
          <w:b/>
          <w:bCs/>
        </w:rPr>
        <w:t>Random Noise Stimulation to Enhance Corticomotor Drive for Improved Hand Function</w:t>
      </w:r>
    </w:p>
    <w:p w14:paraId="1A11DB15" w14:textId="4F7D87C8" w:rsidR="009D19E3" w:rsidRPr="009756E7" w:rsidRDefault="009D19E3" w:rsidP="009D19E3">
      <w:pPr>
        <w:jc w:val="center"/>
        <w:rPr>
          <w:b/>
          <w:sz w:val="22"/>
          <w:szCs w:val="22"/>
        </w:rPr>
      </w:pPr>
      <w:r w:rsidRPr="009756E7">
        <w:rPr>
          <w:b/>
          <w:sz w:val="22"/>
          <w:szCs w:val="22"/>
        </w:rPr>
        <w:t>Protocol #</w:t>
      </w:r>
      <w:r w:rsidR="007760CE" w:rsidRPr="009756E7">
        <w:rPr>
          <w:b/>
          <w:sz w:val="22"/>
          <w:szCs w:val="22"/>
        </w:rPr>
        <w:t xml:space="preserve"> </w:t>
      </w:r>
      <w:r w:rsidR="000F358F">
        <w:rPr>
          <w:rFonts w:cs="Arial"/>
          <w:b/>
          <w:bCs/>
          <w:color w:val="434343"/>
          <w:sz w:val="22"/>
          <w:szCs w:val="26"/>
        </w:rPr>
        <w:t>762</w:t>
      </w:r>
    </w:p>
    <w:p w14:paraId="3A0E6482" w14:textId="516AB6E5" w:rsidR="009D622A" w:rsidRPr="00A84305" w:rsidRDefault="00411703" w:rsidP="009443BA">
      <w:pPr>
        <w:jc w:val="center"/>
      </w:pPr>
      <w:r w:rsidRPr="00177692">
        <w:rPr>
          <w:b/>
          <w:sz w:val="22"/>
          <w:szCs w:val="22"/>
        </w:rPr>
        <w:t xml:space="preserve">Version </w:t>
      </w:r>
      <w:r w:rsidR="0083300D">
        <w:rPr>
          <w:b/>
          <w:sz w:val="22"/>
          <w:szCs w:val="22"/>
        </w:rPr>
        <w:t>4</w:t>
      </w:r>
      <w:r w:rsidR="00F60402" w:rsidRPr="00177692">
        <w:rPr>
          <w:b/>
          <w:sz w:val="22"/>
          <w:szCs w:val="22"/>
        </w:rPr>
        <w:t xml:space="preserve">. </w:t>
      </w:r>
      <w:r w:rsidR="0083300D" w:rsidRPr="0083300D">
        <w:rPr>
          <w:b/>
          <w:sz w:val="22"/>
          <w:szCs w:val="22"/>
        </w:rPr>
        <w:t>June 10</w:t>
      </w:r>
      <w:r w:rsidR="0083300D" w:rsidRPr="0083300D">
        <w:rPr>
          <w:b/>
          <w:sz w:val="22"/>
          <w:szCs w:val="22"/>
          <w:vertAlign w:val="superscript"/>
        </w:rPr>
        <w:t>th</w:t>
      </w:r>
      <w:r w:rsidR="00E97C3E">
        <w:rPr>
          <w:b/>
          <w:sz w:val="22"/>
          <w:szCs w:val="22"/>
        </w:rPr>
        <w:t>,</w:t>
      </w:r>
      <w:r w:rsidR="009443BA" w:rsidRPr="00177692">
        <w:rPr>
          <w:b/>
          <w:sz w:val="22"/>
          <w:szCs w:val="22"/>
        </w:rPr>
        <w:t xml:space="preserve"> 20</w:t>
      </w:r>
      <w:r w:rsidR="00433A70">
        <w:rPr>
          <w:b/>
          <w:sz w:val="22"/>
          <w:szCs w:val="22"/>
        </w:rPr>
        <w:t>21</w:t>
      </w:r>
    </w:p>
    <w:p w14:paraId="5532ABB0" w14:textId="77777777" w:rsidR="009D622A" w:rsidRDefault="009D622A"/>
    <w:p w14:paraId="13F15E53" w14:textId="77777777" w:rsidR="00F26EB2" w:rsidRDefault="00F26EB2"/>
    <w:p w14:paraId="2DBC5265" w14:textId="77777777" w:rsidR="00F26EB2" w:rsidRPr="00A84305" w:rsidRDefault="00F26EB2"/>
    <w:p w14:paraId="2CB1C808" w14:textId="77777777" w:rsidR="009D622A" w:rsidRPr="00C3754C" w:rsidRDefault="009D622A">
      <w:pPr>
        <w:jc w:val="center"/>
        <w:rPr>
          <w:sz w:val="22"/>
          <w:szCs w:val="22"/>
        </w:rPr>
      </w:pPr>
      <w:r w:rsidRPr="00C3754C">
        <w:rPr>
          <w:b/>
          <w:sz w:val="22"/>
          <w:szCs w:val="22"/>
        </w:rPr>
        <w:t>Principal Investigator</w:t>
      </w:r>
    </w:p>
    <w:p w14:paraId="3B539E7E" w14:textId="77777777" w:rsidR="009F046C" w:rsidRDefault="00E97C3E" w:rsidP="009F046C">
      <w:pPr>
        <w:tabs>
          <w:tab w:val="left" w:pos="1800"/>
          <w:tab w:val="left" w:pos="3240"/>
          <w:tab w:val="left" w:pos="5760"/>
          <w:tab w:val="left" w:pos="6480"/>
        </w:tabs>
        <w:jc w:val="center"/>
        <w:rPr>
          <w:sz w:val="22"/>
          <w:szCs w:val="22"/>
        </w:rPr>
      </w:pPr>
      <w:r>
        <w:rPr>
          <w:sz w:val="22"/>
          <w:szCs w:val="22"/>
        </w:rPr>
        <w:t xml:space="preserve">Anastasia </w:t>
      </w:r>
      <w:proofErr w:type="spellStart"/>
      <w:r>
        <w:rPr>
          <w:sz w:val="22"/>
          <w:szCs w:val="22"/>
        </w:rPr>
        <w:t>Zarkou</w:t>
      </w:r>
      <w:proofErr w:type="spellEnd"/>
      <w:r w:rsidR="009F046C">
        <w:rPr>
          <w:sz w:val="22"/>
          <w:szCs w:val="22"/>
        </w:rPr>
        <w:t xml:space="preserve">, </w:t>
      </w:r>
      <w:r>
        <w:rPr>
          <w:sz w:val="22"/>
          <w:szCs w:val="22"/>
        </w:rPr>
        <w:t xml:space="preserve">PT, </w:t>
      </w:r>
      <w:r w:rsidR="009F046C">
        <w:rPr>
          <w:sz w:val="22"/>
          <w:szCs w:val="22"/>
        </w:rPr>
        <w:t>PhD</w:t>
      </w:r>
    </w:p>
    <w:p w14:paraId="11F41B79" w14:textId="77777777" w:rsidR="00411703" w:rsidRPr="00C3754C" w:rsidRDefault="002972B2">
      <w:pPr>
        <w:tabs>
          <w:tab w:val="left" w:pos="1800"/>
          <w:tab w:val="left" w:pos="3240"/>
          <w:tab w:val="left" w:pos="5760"/>
          <w:tab w:val="left" w:pos="6480"/>
        </w:tabs>
        <w:jc w:val="center"/>
        <w:rPr>
          <w:sz w:val="22"/>
          <w:szCs w:val="22"/>
        </w:rPr>
      </w:pPr>
      <w:r>
        <w:rPr>
          <w:sz w:val="22"/>
          <w:szCs w:val="22"/>
        </w:rPr>
        <w:t>2020 Peachtree Rd NW Atlanta GA 30309</w:t>
      </w:r>
    </w:p>
    <w:p w14:paraId="5CCEA04F" w14:textId="77777777" w:rsidR="00411703" w:rsidRPr="00C3754C" w:rsidRDefault="00E97C3E" w:rsidP="002972B2">
      <w:pPr>
        <w:tabs>
          <w:tab w:val="left" w:pos="1800"/>
          <w:tab w:val="left" w:pos="3240"/>
          <w:tab w:val="left" w:pos="5760"/>
          <w:tab w:val="left" w:pos="6480"/>
        </w:tabs>
        <w:jc w:val="center"/>
        <w:rPr>
          <w:sz w:val="22"/>
          <w:szCs w:val="22"/>
        </w:rPr>
      </w:pPr>
      <w:r>
        <w:rPr>
          <w:sz w:val="22"/>
          <w:szCs w:val="22"/>
        </w:rPr>
        <w:t>Phone: 404-603-4200</w:t>
      </w:r>
    </w:p>
    <w:p w14:paraId="7DE8EF1B" w14:textId="77777777" w:rsidR="00411703" w:rsidRPr="00C3754C" w:rsidRDefault="00411703">
      <w:pPr>
        <w:tabs>
          <w:tab w:val="left" w:pos="1800"/>
          <w:tab w:val="left" w:pos="3240"/>
          <w:tab w:val="left" w:pos="5760"/>
          <w:tab w:val="left" w:pos="6480"/>
        </w:tabs>
        <w:jc w:val="center"/>
        <w:rPr>
          <w:sz w:val="22"/>
          <w:szCs w:val="22"/>
        </w:rPr>
      </w:pPr>
      <w:r w:rsidRPr="00C3754C">
        <w:rPr>
          <w:sz w:val="22"/>
          <w:szCs w:val="22"/>
        </w:rPr>
        <w:t>Email</w:t>
      </w:r>
      <w:r w:rsidR="002972B2">
        <w:rPr>
          <w:sz w:val="22"/>
          <w:szCs w:val="22"/>
        </w:rPr>
        <w:t xml:space="preserve">: </w:t>
      </w:r>
      <w:r w:rsidR="00E97C3E">
        <w:rPr>
          <w:sz w:val="22"/>
          <w:szCs w:val="22"/>
        </w:rPr>
        <w:t>Anastasia.zarkou</w:t>
      </w:r>
      <w:r w:rsidR="002972B2">
        <w:rPr>
          <w:sz w:val="22"/>
          <w:szCs w:val="22"/>
        </w:rPr>
        <w:t>@Shepherd.org</w:t>
      </w:r>
    </w:p>
    <w:p w14:paraId="6C29DB0A" w14:textId="77777777" w:rsidR="009D622A" w:rsidRDefault="009D622A">
      <w:pPr>
        <w:tabs>
          <w:tab w:val="left" w:pos="1800"/>
          <w:tab w:val="left" w:pos="3240"/>
          <w:tab w:val="left" w:pos="5760"/>
          <w:tab w:val="left" w:pos="6480"/>
        </w:tabs>
        <w:jc w:val="center"/>
        <w:rPr>
          <w:sz w:val="22"/>
          <w:szCs w:val="22"/>
        </w:rPr>
      </w:pPr>
    </w:p>
    <w:p w14:paraId="1CC4EEC5" w14:textId="77777777" w:rsidR="00F26EB2" w:rsidRDefault="00F26EB2">
      <w:pPr>
        <w:tabs>
          <w:tab w:val="left" w:pos="1800"/>
          <w:tab w:val="left" w:pos="3240"/>
          <w:tab w:val="left" w:pos="5760"/>
          <w:tab w:val="left" w:pos="6480"/>
        </w:tabs>
        <w:jc w:val="center"/>
        <w:rPr>
          <w:sz w:val="22"/>
          <w:szCs w:val="22"/>
        </w:rPr>
      </w:pPr>
    </w:p>
    <w:p w14:paraId="4A08B0D7" w14:textId="77777777" w:rsidR="00F26EB2" w:rsidRPr="00C3754C" w:rsidRDefault="00F26EB2">
      <w:pPr>
        <w:tabs>
          <w:tab w:val="left" w:pos="1800"/>
          <w:tab w:val="left" w:pos="3240"/>
          <w:tab w:val="left" w:pos="5760"/>
          <w:tab w:val="left" w:pos="6480"/>
        </w:tabs>
        <w:jc w:val="center"/>
        <w:rPr>
          <w:sz w:val="22"/>
          <w:szCs w:val="22"/>
        </w:rPr>
      </w:pPr>
    </w:p>
    <w:p w14:paraId="4A750790" w14:textId="77777777" w:rsidR="009D622A" w:rsidRPr="00C3754C" w:rsidRDefault="009D622A">
      <w:pPr>
        <w:tabs>
          <w:tab w:val="left" w:pos="1800"/>
          <w:tab w:val="left" w:pos="3240"/>
          <w:tab w:val="left" w:pos="5760"/>
          <w:tab w:val="left" w:pos="6480"/>
        </w:tabs>
        <w:jc w:val="center"/>
        <w:rPr>
          <w:b/>
          <w:sz w:val="22"/>
          <w:szCs w:val="22"/>
        </w:rPr>
      </w:pPr>
      <w:r w:rsidRPr="00C3754C">
        <w:rPr>
          <w:b/>
          <w:sz w:val="22"/>
          <w:szCs w:val="22"/>
        </w:rPr>
        <w:t>Sub-Investigators:</w:t>
      </w:r>
    </w:p>
    <w:p w14:paraId="06B008E4" w14:textId="77777777" w:rsidR="009F046C" w:rsidRDefault="009F046C" w:rsidP="009F046C">
      <w:pPr>
        <w:tabs>
          <w:tab w:val="left" w:pos="1800"/>
          <w:tab w:val="left" w:pos="3240"/>
          <w:tab w:val="left" w:pos="5760"/>
          <w:tab w:val="left" w:pos="6480"/>
        </w:tabs>
        <w:jc w:val="center"/>
        <w:rPr>
          <w:sz w:val="22"/>
          <w:szCs w:val="22"/>
        </w:rPr>
      </w:pPr>
      <w:proofErr w:type="spellStart"/>
      <w:r>
        <w:rPr>
          <w:sz w:val="22"/>
          <w:szCs w:val="22"/>
        </w:rPr>
        <w:t>Edelle</w:t>
      </w:r>
      <w:proofErr w:type="spellEnd"/>
      <w:r>
        <w:rPr>
          <w:sz w:val="22"/>
          <w:szCs w:val="22"/>
        </w:rPr>
        <w:t xml:space="preserve"> C. Field-</w:t>
      </w:r>
      <w:proofErr w:type="spellStart"/>
      <w:r>
        <w:rPr>
          <w:sz w:val="22"/>
          <w:szCs w:val="22"/>
        </w:rPr>
        <w:t>Fote</w:t>
      </w:r>
      <w:proofErr w:type="spellEnd"/>
      <w:r>
        <w:rPr>
          <w:sz w:val="22"/>
          <w:szCs w:val="22"/>
        </w:rPr>
        <w:t>, PT, PhD, FAPTA</w:t>
      </w:r>
    </w:p>
    <w:p w14:paraId="2A51C3AF" w14:textId="77777777" w:rsidR="00E97C3E" w:rsidRPr="00C3754C" w:rsidRDefault="00E97C3E" w:rsidP="009F046C">
      <w:pPr>
        <w:tabs>
          <w:tab w:val="left" w:pos="1800"/>
          <w:tab w:val="left" w:pos="3240"/>
          <w:tab w:val="left" w:pos="5760"/>
          <w:tab w:val="left" w:pos="6480"/>
        </w:tabs>
        <w:jc w:val="center"/>
        <w:rPr>
          <w:sz w:val="22"/>
          <w:szCs w:val="22"/>
        </w:rPr>
      </w:pPr>
      <w:r>
        <w:rPr>
          <w:sz w:val="22"/>
          <w:szCs w:val="22"/>
        </w:rPr>
        <w:t>Jennifer Iddings PhD</w:t>
      </w:r>
    </w:p>
    <w:p w14:paraId="1DCCD489" w14:textId="77777777" w:rsidR="00A54DBE" w:rsidRDefault="00A54DBE">
      <w:pPr>
        <w:jc w:val="center"/>
        <w:rPr>
          <w:sz w:val="22"/>
          <w:szCs w:val="22"/>
        </w:rPr>
      </w:pPr>
      <w:r>
        <w:rPr>
          <w:sz w:val="22"/>
          <w:szCs w:val="22"/>
        </w:rPr>
        <w:t xml:space="preserve">Allison </w:t>
      </w:r>
      <w:r w:rsidRPr="0044227B">
        <w:rPr>
          <w:sz w:val="22"/>
          <w:szCs w:val="22"/>
        </w:rPr>
        <w:t>Ainswort</w:t>
      </w:r>
      <w:r w:rsidR="00282106" w:rsidRPr="0044227B">
        <w:rPr>
          <w:sz w:val="22"/>
          <w:szCs w:val="22"/>
        </w:rPr>
        <w:t>h</w:t>
      </w:r>
      <w:r w:rsidRPr="0044227B">
        <w:rPr>
          <w:sz w:val="22"/>
          <w:szCs w:val="22"/>
        </w:rPr>
        <w:t>,</w:t>
      </w:r>
      <w:r>
        <w:rPr>
          <w:sz w:val="22"/>
          <w:szCs w:val="22"/>
        </w:rPr>
        <w:t xml:space="preserve"> MOT, OTR/L</w:t>
      </w:r>
    </w:p>
    <w:p w14:paraId="56025BF1" w14:textId="05F75D31" w:rsidR="00A54DBE" w:rsidRDefault="0083300D">
      <w:pPr>
        <w:jc w:val="center"/>
        <w:rPr>
          <w:sz w:val="22"/>
          <w:szCs w:val="22"/>
        </w:rPr>
      </w:pPr>
      <w:r>
        <w:rPr>
          <w:sz w:val="22"/>
          <w:szCs w:val="22"/>
        </w:rPr>
        <w:t xml:space="preserve">Ashley </w:t>
      </w:r>
      <w:proofErr w:type="spellStart"/>
      <w:r>
        <w:rPr>
          <w:sz w:val="22"/>
          <w:szCs w:val="22"/>
        </w:rPr>
        <w:t>Heleine</w:t>
      </w:r>
      <w:proofErr w:type="spellEnd"/>
      <w:r w:rsidR="00A54DBE">
        <w:rPr>
          <w:sz w:val="22"/>
          <w:szCs w:val="22"/>
        </w:rPr>
        <w:t>, M</w:t>
      </w:r>
      <w:r w:rsidR="00D421E9">
        <w:rPr>
          <w:sz w:val="22"/>
          <w:szCs w:val="22"/>
        </w:rPr>
        <w:t>S</w:t>
      </w:r>
      <w:r w:rsidR="00A54DBE">
        <w:rPr>
          <w:sz w:val="22"/>
          <w:szCs w:val="22"/>
        </w:rPr>
        <w:t>, OTR/L</w:t>
      </w:r>
    </w:p>
    <w:p w14:paraId="338E1407" w14:textId="29142BFC" w:rsidR="00E97C3E" w:rsidRDefault="009E268D">
      <w:pPr>
        <w:jc w:val="center"/>
        <w:rPr>
          <w:sz w:val="22"/>
          <w:szCs w:val="22"/>
        </w:rPr>
      </w:pPr>
      <w:r>
        <w:rPr>
          <w:sz w:val="22"/>
          <w:szCs w:val="22"/>
        </w:rPr>
        <w:t>Kyle Condon</w:t>
      </w:r>
      <w:r w:rsidR="00E97C3E">
        <w:rPr>
          <w:sz w:val="22"/>
          <w:szCs w:val="22"/>
        </w:rPr>
        <w:t>, PT, DPT</w:t>
      </w:r>
    </w:p>
    <w:p w14:paraId="6CA32476" w14:textId="77777777" w:rsidR="00D421E9" w:rsidRDefault="00D421E9">
      <w:pPr>
        <w:jc w:val="center"/>
        <w:rPr>
          <w:sz w:val="22"/>
          <w:szCs w:val="22"/>
        </w:rPr>
      </w:pPr>
      <w:proofErr w:type="spellStart"/>
      <w:r>
        <w:rPr>
          <w:sz w:val="22"/>
          <w:szCs w:val="22"/>
        </w:rPr>
        <w:t>Cazmon</w:t>
      </w:r>
      <w:proofErr w:type="spellEnd"/>
      <w:r>
        <w:rPr>
          <w:sz w:val="22"/>
          <w:szCs w:val="22"/>
        </w:rPr>
        <w:t xml:space="preserve"> Suri, MS</w:t>
      </w:r>
    </w:p>
    <w:p w14:paraId="49BAAD7D" w14:textId="77777777" w:rsidR="009F046C" w:rsidRDefault="009F046C">
      <w:pPr>
        <w:rPr>
          <w:sz w:val="22"/>
          <w:szCs w:val="22"/>
        </w:rPr>
      </w:pPr>
    </w:p>
    <w:p w14:paraId="199E8089" w14:textId="77777777" w:rsidR="009F046C" w:rsidRDefault="009F046C">
      <w:pPr>
        <w:rPr>
          <w:sz w:val="22"/>
          <w:szCs w:val="22"/>
        </w:rPr>
      </w:pPr>
    </w:p>
    <w:p w14:paraId="70B5BF5D" w14:textId="77777777" w:rsidR="009F046C" w:rsidRDefault="009F046C">
      <w:pPr>
        <w:rPr>
          <w:sz w:val="22"/>
          <w:szCs w:val="22"/>
        </w:rPr>
      </w:pPr>
    </w:p>
    <w:p w14:paraId="077B4A73" w14:textId="77777777" w:rsidR="009F046C" w:rsidRDefault="009F046C">
      <w:pPr>
        <w:rPr>
          <w:sz w:val="22"/>
          <w:szCs w:val="22"/>
        </w:rPr>
      </w:pPr>
    </w:p>
    <w:p w14:paraId="1FE3D467" w14:textId="77777777" w:rsidR="009F046C" w:rsidRDefault="009F046C">
      <w:pPr>
        <w:rPr>
          <w:sz w:val="22"/>
          <w:szCs w:val="22"/>
        </w:rPr>
      </w:pPr>
    </w:p>
    <w:p w14:paraId="025836DC" w14:textId="77777777" w:rsidR="009F046C" w:rsidRDefault="009F046C">
      <w:pPr>
        <w:rPr>
          <w:sz w:val="22"/>
          <w:szCs w:val="22"/>
        </w:rPr>
      </w:pPr>
    </w:p>
    <w:p w14:paraId="0D3D3552" w14:textId="77777777" w:rsidR="009D622A" w:rsidRPr="00C3754C" w:rsidRDefault="009D622A">
      <w:pPr>
        <w:rPr>
          <w:sz w:val="22"/>
          <w:szCs w:val="22"/>
        </w:rPr>
      </w:pPr>
    </w:p>
    <w:p w14:paraId="00334264" w14:textId="77777777" w:rsidR="009D19E3" w:rsidRPr="00C3754C" w:rsidRDefault="009D19E3">
      <w:pPr>
        <w:rPr>
          <w:sz w:val="22"/>
          <w:szCs w:val="22"/>
        </w:rPr>
      </w:pPr>
    </w:p>
    <w:p w14:paraId="4986B841" w14:textId="77777777" w:rsidR="009D19E3" w:rsidRPr="00C3754C" w:rsidRDefault="009D19E3">
      <w:pPr>
        <w:rPr>
          <w:sz w:val="22"/>
          <w:szCs w:val="22"/>
        </w:rPr>
      </w:pPr>
    </w:p>
    <w:p w14:paraId="50578091" w14:textId="77777777" w:rsidR="00411703" w:rsidRPr="00C3754C" w:rsidRDefault="00411703">
      <w:pPr>
        <w:rPr>
          <w:sz w:val="22"/>
          <w:szCs w:val="22"/>
        </w:rPr>
      </w:pPr>
    </w:p>
    <w:p w14:paraId="47EC0BAC" w14:textId="77777777" w:rsidR="00411703" w:rsidRPr="00C3754C" w:rsidRDefault="00411703">
      <w:pPr>
        <w:rPr>
          <w:sz w:val="22"/>
          <w:szCs w:val="22"/>
        </w:rPr>
      </w:pPr>
    </w:p>
    <w:p w14:paraId="4588ACE3" w14:textId="77777777" w:rsidR="009D622A" w:rsidRPr="00C3754C" w:rsidRDefault="009D622A">
      <w:pPr>
        <w:rPr>
          <w:sz w:val="22"/>
          <w:szCs w:val="22"/>
        </w:rPr>
      </w:pPr>
    </w:p>
    <w:p w14:paraId="275D4D6B" w14:textId="77777777" w:rsidR="009D19E3" w:rsidRPr="00C3754C" w:rsidRDefault="009D19E3" w:rsidP="009D19E3">
      <w:pPr>
        <w:rPr>
          <w:b/>
          <w:sz w:val="22"/>
          <w:szCs w:val="22"/>
        </w:rPr>
      </w:pPr>
      <w:r w:rsidRPr="00C3754C">
        <w:rPr>
          <w:b/>
          <w:sz w:val="22"/>
          <w:szCs w:val="22"/>
        </w:rPr>
        <w:t>Document History</w:t>
      </w:r>
    </w:p>
    <w:p w14:paraId="416FCA41" w14:textId="77777777" w:rsidR="009D19E3" w:rsidRPr="00C3754C" w:rsidRDefault="009D19E3" w:rsidP="009D19E3">
      <w:pPr>
        <w:rPr>
          <w:sz w:val="22"/>
          <w:szCs w:val="22"/>
        </w:rPr>
      </w:pPr>
      <w:r w:rsidRPr="00C3754C">
        <w:rPr>
          <w:sz w:val="22"/>
          <w:szCs w:val="22"/>
        </w:rPr>
        <w:t xml:space="preserve">Original Protocol: </w:t>
      </w:r>
      <w:r w:rsidR="00BF47DB">
        <w:rPr>
          <w:sz w:val="22"/>
          <w:szCs w:val="22"/>
        </w:rPr>
        <w:t>06/27</w:t>
      </w:r>
      <w:r w:rsidR="00E97C3E">
        <w:rPr>
          <w:sz w:val="22"/>
          <w:szCs w:val="22"/>
        </w:rPr>
        <w:t>/2018</w:t>
      </w:r>
    </w:p>
    <w:p w14:paraId="78AEE4EB" w14:textId="1E0432D1" w:rsidR="009D19E3" w:rsidRDefault="00D421E9" w:rsidP="009D19E3">
      <w:pPr>
        <w:rPr>
          <w:sz w:val="22"/>
          <w:szCs w:val="22"/>
        </w:rPr>
      </w:pPr>
      <w:r>
        <w:rPr>
          <w:sz w:val="22"/>
          <w:szCs w:val="22"/>
        </w:rPr>
        <w:t>Amendment: 05/</w:t>
      </w:r>
      <w:r w:rsidR="00555909">
        <w:rPr>
          <w:sz w:val="22"/>
          <w:szCs w:val="22"/>
        </w:rPr>
        <w:t>22/</w:t>
      </w:r>
      <w:r>
        <w:rPr>
          <w:sz w:val="22"/>
          <w:szCs w:val="22"/>
        </w:rPr>
        <w:t>2019</w:t>
      </w:r>
    </w:p>
    <w:p w14:paraId="221E38D8" w14:textId="7DBEC6C9" w:rsidR="009670B5" w:rsidRDefault="009670B5" w:rsidP="009D19E3">
      <w:pPr>
        <w:rPr>
          <w:sz w:val="22"/>
          <w:szCs w:val="22"/>
        </w:rPr>
      </w:pPr>
      <w:r>
        <w:rPr>
          <w:sz w:val="22"/>
          <w:szCs w:val="22"/>
        </w:rPr>
        <w:t xml:space="preserve">Amendment: </w:t>
      </w:r>
      <w:r w:rsidR="0083300D">
        <w:rPr>
          <w:sz w:val="22"/>
          <w:szCs w:val="22"/>
        </w:rPr>
        <w:t>02/15</w:t>
      </w:r>
      <w:r>
        <w:rPr>
          <w:sz w:val="22"/>
          <w:szCs w:val="22"/>
        </w:rPr>
        <w:t>/2021</w:t>
      </w:r>
    </w:p>
    <w:p w14:paraId="38A1E608" w14:textId="6A7B192E" w:rsidR="0083300D" w:rsidRPr="00C3754C" w:rsidRDefault="0083300D" w:rsidP="009D19E3">
      <w:pPr>
        <w:rPr>
          <w:sz w:val="22"/>
          <w:szCs w:val="22"/>
        </w:rPr>
      </w:pPr>
      <w:r>
        <w:rPr>
          <w:sz w:val="22"/>
          <w:szCs w:val="22"/>
        </w:rPr>
        <w:t>Amendment: 06/10/2021</w:t>
      </w:r>
    </w:p>
    <w:p w14:paraId="1F8FB6EA" w14:textId="77777777" w:rsidR="00411703" w:rsidRPr="00C3754C" w:rsidRDefault="00411703" w:rsidP="009D19E3">
      <w:pPr>
        <w:rPr>
          <w:sz w:val="22"/>
          <w:szCs w:val="22"/>
        </w:rPr>
      </w:pPr>
    </w:p>
    <w:p w14:paraId="6768E34E" w14:textId="77777777" w:rsidR="00D421E9" w:rsidRPr="00C3754C" w:rsidRDefault="00D421E9" w:rsidP="009D19E3">
      <w:pPr>
        <w:rPr>
          <w:sz w:val="22"/>
          <w:szCs w:val="22"/>
        </w:rPr>
      </w:pPr>
    </w:p>
    <w:p w14:paraId="3DE51F4C" w14:textId="77777777" w:rsidR="00D41B7F" w:rsidRPr="00C3754C" w:rsidRDefault="009D19E3" w:rsidP="00D421E9">
      <w:pPr>
        <w:jc w:val="center"/>
        <w:outlineLvl w:val="0"/>
        <w:rPr>
          <w:b/>
          <w:sz w:val="22"/>
          <w:szCs w:val="22"/>
        </w:rPr>
      </w:pPr>
      <w:r w:rsidRPr="00C3754C">
        <w:rPr>
          <w:b/>
          <w:sz w:val="22"/>
          <w:szCs w:val="22"/>
        </w:rPr>
        <w:t>This document contains confidential and proprietary information.  Therefore, this document should be maintained in a secure location and should not be copied or made available for review by any unauthorized personnel</w:t>
      </w:r>
      <w:r w:rsidR="00D41B7F" w:rsidRPr="00C3754C">
        <w:rPr>
          <w:b/>
          <w:sz w:val="22"/>
          <w:szCs w:val="22"/>
        </w:rPr>
        <w:br w:type="page"/>
      </w:r>
      <w:r w:rsidR="00D41B7F" w:rsidRPr="00C3754C">
        <w:rPr>
          <w:b/>
          <w:sz w:val="22"/>
          <w:szCs w:val="22"/>
        </w:rPr>
        <w:lastRenderedPageBreak/>
        <w:t>Statement of Compliance</w:t>
      </w:r>
    </w:p>
    <w:p w14:paraId="19EE7908" w14:textId="77777777" w:rsidR="00D41B7F" w:rsidRPr="00C3754C" w:rsidRDefault="00D41B7F" w:rsidP="00D41B7F">
      <w:pPr>
        <w:outlineLvl w:val="0"/>
        <w:rPr>
          <w:sz w:val="22"/>
          <w:szCs w:val="22"/>
        </w:rPr>
      </w:pPr>
    </w:p>
    <w:p w14:paraId="6CA5FA40" w14:textId="77777777" w:rsidR="00D41B7F" w:rsidRPr="00C3754C" w:rsidRDefault="00D41B7F" w:rsidP="00D41B7F">
      <w:pPr>
        <w:outlineLvl w:val="0"/>
        <w:rPr>
          <w:sz w:val="22"/>
          <w:szCs w:val="22"/>
        </w:rPr>
      </w:pPr>
    </w:p>
    <w:p w14:paraId="367E5AFE" w14:textId="77777777" w:rsidR="00D41B7F" w:rsidRPr="00C3754C" w:rsidRDefault="00D41B7F" w:rsidP="00FA0C66">
      <w:pPr>
        <w:outlineLvl w:val="0"/>
        <w:rPr>
          <w:sz w:val="22"/>
          <w:szCs w:val="22"/>
        </w:rPr>
      </w:pPr>
      <w:r w:rsidRPr="00C3754C">
        <w:rPr>
          <w:sz w:val="22"/>
          <w:szCs w:val="22"/>
        </w:rPr>
        <w:t>This study will be carried out in accordance with Good Clinical Practice (GCP) as required by</w:t>
      </w:r>
      <w:r w:rsidR="00FA0C66" w:rsidRPr="00C3754C">
        <w:rPr>
          <w:sz w:val="22"/>
          <w:szCs w:val="22"/>
        </w:rPr>
        <w:t xml:space="preserve"> the </w:t>
      </w:r>
      <w:r w:rsidRPr="00C3754C">
        <w:rPr>
          <w:sz w:val="22"/>
          <w:szCs w:val="22"/>
        </w:rPr>
        <w:t>United States Code of Federal Regulations (CFR) applicable to clinical studies (45 CFR Part 46</w:t>
      </w:r>
      <w:r w:rsidR="00A92297" w:rsidRPr="00C3754C">
        <w:rPr>
          <w:sz w:val="22"/>
          <w:szCs w:val="22"/>
        </w:rPr>
        <w:t>,</w:t>
      </w:r>
      <w:r w:rsidRPr="00C3754C">
        <w:rPr>
          <w:sz w:val="22"/>
          <w:szCs w:val="22"/>
        </w:rPr>
        <w:t xml:space="preserve"> 21 CFR Part 50, 21 CFR Part 56, and 21 CFR Part 312).</w:t>
      </w:r>
    </w:p>
    <w:p w14:paraId="287591ED" w14:textId="77777777" w:rsidR="00D41B7F" w:rsidRPr="00C3754C" w:rsidRDefault="00D41B7F" w:rsidP="00D41B7F">
      <w:pPr>
        <w:ind w:left="360"/>
        <w:outlineLvl w:val="0"/>
        <w:rPr>
          <w:sz w:val="22"/>
          <w:szCs w:val="22"/>
        </w:rPr>
      </w:pPr>
    </w:p>
    <w:p w14:paraId="416BE7CC" w14:textId="77777777" w:rsidR="00D41B7F" w:rsidRPr="00C3754C" w:rsidRDefault="00D41B7F" w:rsidP="00D41B7F">
      <w:pPr>
        <w:ind w:left="360"/>
        <w:outlineLvl w:val="0"/>
        <w:rPr>
          <w:sz w:val="22"/>
          <w:szCs w:val="22"/>
        </w:rPr>
      </w:pPr>
    </w:p>
    <w:p w14:paraId="63A84783" w14:textId="77777777" w:rsidR="00D41B7F" w:rsidRPr="00C3754C" w:rsidRDefault="00D41B7F" w:rsidP="00D41B7F">
      <w:pPr>
        <w:rPr>
          <w:b/>
          <w:sz w:val="22"/>
          <w:szCs w:val="22"/>
        </w:rPr>
      </w:pPr>
    </w:p>
    <w:p w14:paraId="49CC5497" w14:textId="1ADD10BF" w:rsidR="00D41B7F" w:rsidRPr="00C3754C" w:rsidRDefault="00D41B7F" w:rsidP="00D41B7F">
      <w:pPr>
        <w:rPr>
          <w:sz w:val="22"/>
          <w:szCs w:val="22"/>
        </w:rPr>
      </w:pPr>
      <w:r w:rsidRPr="00C3754C">
        <w:rPr>
          <w:sz w:val="22"/>
          <w:szCs w:val="22"/>
        </w:rPr>
        <w:t>__________________________</w:t>
      </w:r>
      <w:r w:rsidR="00C3754C">
        <w:rPr>
          <w:sz w:val="22"/>
          <w:szCs w:val="22"/>
        </w:rPr>
        <w:t>____________________</w:t>
      </w:r>
      <w:r w:rsidRPr="00C3754C">
        <w:rPr>
          <w:sz w:val="22"/>
          <w:szCs w:val="22"/>
        </w:rPr>
        <w:tab/>
      </w:r>
      <w:r w:rsidR="0083300D">
        <w:rPr>
          <w:sz w:val="22"/>
          <w:szCs w:val="22"/>
          <w:u w:val="single"/>
        </w:rPr>
        <w:t>06/10</w:t>
      </w:r>
      <w:r w:rsidR="00F26652">
        <w:rPr>
          <w:sz w:val="22"/>
          <w:szCs w:val="22"/>
          <w:u w:val="single"/>
        </w:rPr>
        <w:t>/2021</w:t>
      </w:r>
      <w:r w:rsidR="009F046C">
        <w:rPr>
          <w:sz w:val="22"/>
          <w:szCs w:val="22"/>
          <w:u w:val="single"/>
        </w:rPr>
        <w:t>_</w:t>
      </w:r>
      <w:r w:rsidR="00C3754C" w:rsidRPr="009F046C">
        <w:rPr>
          <w:sz w:val="22"/>
          <w:szCs w:val="22"/>
          <w:u w:val="single"/>
        </w:rPr>
        <w:t>_______</w:t>
      </w:r>
    </w:p>
    <w:p w14:paraId="3ED60331" w14:textId="77777777" w:rsidR="00D41B7F" w:rsidRPr="00C3754C" w:rsidRDefault="00D41B7F" w:rsidP="00D41B7F">
      <w:pPr>
        <w:rPr>
          <w:sz w:val="22"/>
          <w:szCs w:val="22"/>
        </w:rPr>
      </w:pPr>
      <w:r w:rsidRPr="00C3754C">
        <w:rPr>
          <w:sz w:val="22"/>
          <w:szCs w:val="22"/>
        </w:rPr>
        <w:t>Principal Investigator Signature</w:t>
      </w:r>
      <w:r w:rsidRPr="00C3754C">
        <w:rPr>
          <w:sz w:val="22"/>
          <w:szCs w:val="22"/>
        </w:rPr>
        <w:tab/>
      </w:r>
      <w:r w:rsidRPr="00C3754C">
        <w:rPr>
          <w:sz w:val="22"/>
          <w:szCs w:val="22"/>
        </w:rPr>
        <w:tab/>
      </w:r>
      <w:r w:rsidRPr="00C3754C">
        <w:rPr>
          <w:sz w:val="22"/>
          <w:szCs w:val="22"/>
        </w:rPr>
        <w:tab/>
        <w:t xml:space="preserve"> </w:t>
      </w:r>
      <w:r w:rsidRPr="00C3754C">
        <w:rPr>
          <w:sz w:val="22"/>
          <w:szCs w:val="22"/>
        </w:rPr>
        <w:tab/>
      </w:r>
      <w:r w:rsidRPr="00C3754C">
        <w:rPr>
          <w:sz w:val="22"/>
          <w:szCs w:val="22"/>
        </w:rPr>
        <w:tab/>
        <w:t xml:space="preserve"> </w:t>
      </w:r>
      <w:r w:rsidR="009F046C">
        <w:rPr>
          <w:sz w:val="22"/>
          <w:szCs w:val="22"/>
        </w:rPr>
        <w:t xml:space="preserve">         </w:t>
      </w:r>
      <w:r w:rsidRPr="00C3754C">
        <w:rPr>
          <w:sz w:val="22"/>
          <w:szCs w:val="22"/>
        </w:rPr>
        <w:t xml:space="preserve"> Date</w:t>
      </w:r>
      <w:r w:rsidRPr="00C3754C">
        <w:rPr>
          <w:sz w:val="22"/>
          <w:szCs w:val="22"/>
        </w:rPr>
        <w:tab/>
      </w:r>
      <w:r w:rsidRPr="00C3754C">
        <w:rPr>
          <w:sz w:val="22"/>
          <w:szCs w:val="22"/>
        </w:rPr>
        <w:tab/>
        <w:t xml:space="preserve"> </w:t>
      </w:r>
    </w:p>
    <w:p w14:paraId="33453C94" w14:textId="77777777" w:rsidR="00D41B7F" w:rsidRPr="00C3754C" w:rsidRDefault="00D41B7F" w:rsidP="00D41B7F">
      <w:pPr>
        <w:rPr>
          <w:sz w:val="22"/>
          <w:szCs w:val="22"/>
        </w:rPr>
      </w:pPr>
    </w:p>
    <w:p w14:paraId="0231C213" w14:textId="77777777" w:rsidR="00D41B7F" w:rsidRPr="00C3754C" w:rsidRDefault="00D41B7F" w:rsidP="00D41B7F">
      <w:pPr>
        <w:rPr>
          <w:b/>
          <w:sz w:val="22"/>
          <w:szCs w:val="22"/>
        </w:rPr>
      </w:pPr>
    </w:p>
    <w:p w14:paraId="49EF113E" w14:textId="77777777" w:rsidR="00D41B7F" w:rsidRPr="00A54DBE" w:rsidRDefault="00E97C3E" w:rsidP="00D41B7F">
      <w:pPr>
        <w:rPr>
          <w:sz w:val="22"/>
          <w:szCs w:val="22"/>
          <w:u w:val="single"/>
        </w:rPr>
      </w:pPr>
      <w:r>
        <w:rPr>
          <w:sz w:val="22"/>
          <w:szCs w:val="22"/>
          <w:u w:val="single"/>
        </w:rPr>
        <w:t xml:space="preserve">Anastasia </w:t>
      </w:r>
      <w:proofErr w:type="spellStart"/>
      <w:r>
        <w:rPr>
          <w:sz w:val="22"/>
          <w:szCs w:val="22"/>
          <w:u w:val="single"/>
        </w:rPr>
        <w:t>Zarkou</w:t>
      </w:r>
      <w:proofErr w:type="spellEnd"/>
      <w:r w:rsidR="009F046C">
        <w:rPr>
          <w:sz w:val="22"/>
          <w:szCs w:val="22"/>
          <w:u w:val="single"/>
        </w:rPr>
        <w:t>__</w:t>
      </w:r>
      <w:r w:rsidR="00A54DBE" w:rsidRPr="00A54DBE">
        <w:rPr>
          <w:sz w:val="22"/>
          <w:szCs w:val="22"/>
          <w:u w:val="single"/>
        </w:rPr>
        <w:t>____</w:t>
      </w:r>
      <w:r w:rsidR="00D41B7F" w:rsidRPr="00A54DBE">
        <w:rPr>
          <w:sz w:val="22"/>
          <w:szCs w:val="22"/>
          <w:u w:val="single"/>
        </w:rPr>
        <w:t>_____________________</w:t>
      </w:r>
      <w:r w:rsidR="009F046C">
        <w:rPr>
          <w:sz w:val="22"/>
          <w:szCs w:val="22"/>
          <w:u w:val="single"/>
        </w:rPr>
        <w:t>_</w:t>
      </w:r>
      <w:r w:rsidR="00D41B7F" w:rsidRPr="00A54DBE">
        <w:rPr>
          <w:sz w:val="22"/>
          <w:szCs w:val="22"/>
          <w:u w:val="single"/>
        </w:rPr>
        <w:t xml:space="preserve">__ </w:t>
      </w:r>
    </w:p>
    <w:p w14:paraId="73755628" w14:textId="77777777" w:rsidR="00D41B7F" w:rsidRPr="00C3754C" w:rsidRDefault="00D41B7F" w:rsidP="00D41B7F">
      <w:pPr>
        <w:rPr>
          <w:sz w:val="22"/>
          <w:szCs w:val="22"/>
        </w:rPr>
      </w:pPr>
      <w:r w:rsidRPr="00C3754C">
        <w:rPr>
          <w:sz w:val="22"/>
          <w:szCs w:val="22"/>
        </w:rPr>
        <w:t>Principal Investigator Printed Name</w:t>
      </w:r>
    </w:p>
    <w:p w14:paraId="77773D2E" w14:textId="77777777" w:rsidR="00D41B7F" w:rsidRPr="00C3754C" w:rsidRDefault="00D41B7F" w:rsidP="00D41B7F">
      <w:pPr>
        <w:rPr>
          <w:sz w:val="22"/>
          <w:szCs w:val="22"/>
        </w:rPr>
      </w:pPr>
    </w:p>
    <w:p w14:paraId="34730945" w14:textId="77777777" w:rsidR="00D41B7F" w:rsidRPr="00C3754C" w:rsidRDefault="00D41B7F" w:rsidP="00D41B7F">
      <w:pPr>
        <w:rPr>
          <w:sz w:val="22"/>
          <w:szCs w:val="22"/>
        </w:rPr>
      </w:pPr>
    </w:p>
    <w:p w14:paraId="3C3763C6" w14:textId="77777777" w:rsidR="00D41B7F" w:rsidRPr="00C3754C" w:rsidRDefault="00D41B7F" w:rsidP="00D41B7F">
      <w:pPr>
        <w:ind w:left="360"/>
        <w:outlineLvl w:val="0"/>
        <w:rPr>
          <w:sz w:val="22"/>
          <w:szCs w:val="22"/>
        </w:rPr>
      </w:pPr>
    </w:p>
    <w:p w14:paraId="33FB7640" w14:textId="77777777" w:rsidR="00D41B7F" w:rsidRPr="00C3754C" w:rsidRDefault="00D41B7F" w:rsidP="00D41B7F">
      <w:pPr>
        <w:ind w:left="360"/>
        <w:outlineLvl w:val="0"/>
        <w:rPr>
          <w:sz w:val="22"/>
          <w:szCs w:val="22"/>
        </w:rPr>
      </w:pPr>
    </w:p>
    <w:p w14:paraId="50F44E7D" w14:textId="77777777" w:rsidR="00D41B7F" w:rsidRPr="00C3754C" w:rsidRDefault="00D41B7F" w:rsidP="00D41B7F">
      <w:pPr>
        <w:outlineLvl w:val="0"/>
        <w:rPr>
          <w:sz w:val="22"/>
          <w:szCs w:val="22"/>
        </w:rPr>
      </w:pPr>
    </w:p>
    <w:p w14:paraId="4773F810" w14:textId="77777777" w:rsidR="00D41B7F" w:rsidRPr="00C3754C" w:rsidRDefault="00D41B7F">
      <w:pPr>
        <w:jc w:val="center"/>
        <w:outlineLvl w:val="0"/>
        <w:rPr>
          <w:b/>
          <w:sz w:val="22"/>
          <w:szCs w:val="22"/>
        </w:rPr>
      </w:pPr>
    </w:p>
    <w:p w14:paraId="470051CF" w14:textId="77777777" w:rsidR="00D41B7F" w:rsidRPr="00C3754C" w:rsidRDefault="00D41B7F">
      <w:pPr>
        <w:jc w:val="center"/>
        <w:outlineLvl w:val="0"/>
        <w:rPr>
          <w:b/>
          <w:sz w:val="22"/>
          <w:szCs w:val="22"/>
        </w:rPr>
      </w:pPr>
    </w:p>
    <w:p w14:paraId="724F3D6D" w14:textId="77777777" w:rsidR="00D41B7F" w:rsidRPr="00C3754C" w:rsidRDefault="00D41B7F">
      <w:pPr>
        <w:jc w:val="center"/>
        <w:outlineLvl w:val="0"/>
        <w:rPr>
          <w:b/>
          <w:sz w:val="22"/>
          <w:szCs w:val="22"/>
        </w:rPr>
      </w:pPr>
    </w:p>
    <w:p w14:paraId="64F46685" w14:textId="77777777" w:rsidR="00BF47DB" w:rsidRDefault="00BF47DB">
      <w:pPr>
        <w:jc w:val="center"/>
        <w:outlineLvl w:val="0"/>
        <w:rPr>
          <w:b/>
          <w:sz w:val="22"/>
          <w:szCs w:val="22"/>
        </w:rPr>
      </w:pPr>
    </w:p>
    <w:p w14:paraId="0F0DFA20" w14:textId="77777777" w:rsidR="00BF47DB" w:rsidRDefault="00BF47DB" w:rsidP="00BF47DB">
      <w:pPr>
        <w:tabs>
          <w:tab w:val="left" w:pos="6150"/>
        </w:tabs>
        <w:outlineLvl w:val="0"/>
        <w:rPr>
          <w:sz w:val="22"/>
          <w:szCs w:val="22"/>
        </w:rPr>
      </w:pPr>
      <w:r>
        <w:rPr>
          <w:sz w:val="22"/>
          <w:szCs w:val="22"/>
        </w:rPr>
        <w:tab/>
      </w:r>
    </w:p>
    <w:p w14:paraId="26415021" w14:textId="77777777" w:rsidR="009D622A" w:rsidRPr="00C3754C" w:rsidRDefault="009D622A">
      <w:pPr>
        <w:jc w:val="center"/>
        <w:outlineLvl w:val="0"/>
        <w:rPr>
          <w:b/>
          <w:sz w:val="22"/>
          <w:szCs w:val="22"/>
        </w:rPr>
      </w:pPr>
      <w:r w:rsidRPr="00BF47DB">
        <w:rPr>
          <w:sz w:val="22"/>
          <w:szCs w:val="22"/>
        </w:rPr>
        <w:br w:type="page"/>
      </w:r>
      <w:r w:rsidRPr="00C3754C">
        <w:rPr>
          <w:b/>
          <w:sz w:val="22"/>
          <w:szCs w:val="22"/>
        </w:rPr>
        <w:lastRenderedPageBreak/>
        <w:t>Table of Contents</w:t>
      </w:r>
    </w:p>
    <w:p w14:paraId="32ABC5CD" w14:textId="77777777" w:rsidR="009D622A" w:rsidRPr="00C3754C" w:rsidRDefault="009D622A">
      <w:pPr>
        <w:pStyle w:val="Heading4"/>
        <w:rPr>
          <w:b w:val="0"/>
          <w:sz w:val="22"/>
          <w:szCs w:val="22"/>
        </w:rPr>
      </w:pPr>
    </w:p>
    <w:p w14:paraId="02D00BB7" w14:textId="77777777" w:rsidR="009D622A" w:rsidRPr="00C3754C" w:rsidRDefault="009D622A">
      <w:pPr>
        <w:pStyle w:val="Heading5"/>
        <w:rPr>
          <w:sz w:val="22"/>
          <w:szCs w:val="22"/>
        </w:rPr>
      </w:pPr>
      <w:r w:rsidRPr="00C3754C">
        <w:rPr>
          <w:sz w:val="22"/>
          <w:szCs w:val="22"/>
        </w:rPr>
        <w:tab/>
      </w:r>
      <w:r w:rsidRPr="00C3754C">
        <w:rPr>
          <w:sz w:val="22"/>
          <w:szCs w:val="22"/>
        </w:rPr>
        <w:tab/>
      </w:r>
      <w:r w:rsidRPr="00C3754C">
        <w:rPr>
          <w:sz w:val="22"/>
          <w:szCs w:val="22"/>
        </w:rPr>
        <w:tab/>
      </w:r>
      <w:r w:rsidRPr="00C3754C">
        <w:rPr>
          <w:sz w:val="22"/>
          <w:szCs w:val="22"/>
        </w:rPr>
        <w:tab/>
      </w:r>
      <w:r w:rsidRPr="00C3754C">
        <w:rPr>
          <w:sz w:val="22"/>
          <w:szCs w:val="22"/>
        </w:rPr>
        <w:tab/>
      </w:r>
      <w:r w:rsidRPr="00C3754C">
        <w:rPr>
          <w:sz w:val="22"/>
          <w:szCs w:val="22"/>
        </w:rPr>
        <w:tab/>
      </w:r>
      <w:r w:rsidRPr="00C3754C">
        <w:rPr>
          <w:sz w:val="22"/>
          <w:szCs w:val="22"/>
        </w:rPr>
        <w:tab/>
      </w:r>
      <w:r w:rsidRPr="00C3754C">
        <w:rPr>
          <w:sz w:val="22"/>
          <w:szCs w:val="22"/>
        </w:rPr>
        <w:tab/>
      </w:r>
      <w:r w:rsidRPr="00C3754C">
        <w:rPr>
          <w:sz w:val="22"/>
          <w:szCs w:val="22"/>
        </w:rPr>
        <w:tab/>
      </w:r>
      <w:r w:rsidRPr="00C3754C">
        <w:rPr>
          <w:sz w:val="22"/>
          <w:szCs w:val="22"/>
        </w:rPr>
        <w:tab/>
      </w:r>
      <w:r w:rsidRPr="00C3754C">
        <w:rPr>
          <w:sz w:val="22"/>
          <w:szCs w:val="22"/>
        </w:rPr>
        <w:tab/>
      </w:r>
      <w:r w:rsidRPr="00C3754C">
        <w:rPr>
          <w:sz w:val="22"/>
          <w:szCs w:val="22"/>
        </w:rPr>
        <w:tab/>
      </w:r>
    </w:p>
    <w:p w14:paraId="025E0E7A" w14:textId="77777777" w:rsidR="009D622A" w:rsidRPr="00C3754C" w:rsidRDefault="009D622A">
      <w:pPr>
        <w:rPr>
          <w:sz w:val="22"/>
          <w:szCs w:val="22"/>
        </w:rPr>
      </w:pPr>
    </w:p>
    <w:p w14:paraId="6D5E0B21" w14:textId="77777777" w:rsidR="009D622A" w:rsidRPr="00C3754C" w:rsidRDefault="009D622A" w:rsidP="00185428">
      <w:pPr>
        <w:pStyle w:val="ListParagraph"/>
        <w:numPr>
          <w:ilvl w:val="0"/>
          <w:numId w:val="32"/>
        </w:numPr>
        <w:tabs>
          <w:tab w:val="left" w:leader="dot" w:pos="9090"/>
        </w:tabs>
        <w:outlineLvl w:val="0"/>
        <w:rPr>
          <w:sz w:val="22"/>
          <w:szCs w:val="22"/>
        </w:rPr>
      </w:pPr>
      <w:r w:rsidRPr="00C3754C">
        <w:rPr>
          <w:sz w:val="22"/>
          <w:szCs w:val="22"/>
        </w:rPr>
        <w:t>Introduction</w:t>
      </w:r>
    </w:p>
    <w:p w14:paraId="4BDDD34A" w14:textId="77777777" w:rsidR="009D622A" w:rsidRPr="00C3754C" w:rsidRDefault="009D622A" w:rsidP="00185428">
      <w:pPr>
        <w:tabs>
          <w:tab w:val="left" w:leader="dot" w:pos="8640"/>
        </w:tabs>
        <w:outlineLvl w:val="0"/>
        <w:rPr>
          <w:sz w:val="22"/>
          <w:szCs w:val="22"/>
        </w:rPr>
      </w:pPr>
    </w:p>
    <w:p w14:paraId="17FF9C38" w14:textId="77777777" w:rsidR="009D622A" w:rsidRPr="00C3754C" w:rsidRDefault="009D622A" w:rsidP="00185428">
      <w:pPr>
        <w:pStyle w:val="ListParagraph"/>
        <w:numPr>
          <w:ilvl w:val="0"/>
          <w:numId w:val="32"/>
        </w:numPr>
        <w:tabs>
          <w:tab w:val="left" w:leader="dot" w:pos="9090"/>
        </w:tabs>
        <w:outlineLvl w:val="0"/>
        <w:rPr>
          <w:sz w:val="22"/>
          <w:szCs w:val="22"/>
        </w:rPr>
      </w:pPr>
      <w:r w:rsidRPr="00C3754C">
        <w:rPr>
          <w:sz w:val="22"/>
          <w:szCs w:val="22"/>
        </w:rPr>
        <w:t xml:space="preserve">Study </w:t>
      </w:r>
      <w:r w:rsidR="00DC0B5B">
        <w:rPr>
          <w:sz w:val="22"/>
          <w:szCs w:val="22"/>
        </w:rPr>
        <w:t>Aims</w:t>
      </w:r>
    </w:p>
    <w:p w14:paraId="4418DE1F" w14:textId="77777777" w:rsidR="009D622A" w:rsidRPr="00C3754C" w:rsidRDefault="009D622A" w:rsidP="00185428">
      <w:pPr>
        <w:tabs>
          <w:tab w:val="left" w:leader="dot" w:pos="8640"/>
        </w:tabs>
        <w:outlineLvl w:val="0"/>
        <w:rPr>
          <w:sz w:val="22"/>
          <w:szCs w:val="22"/>
        </w:rPr>
      </w:pPr>
    </w:p>
    <w:p w14:paraId="090E1392" w14:textId="77777777" w:rsidR="009D622A" w:rsidRPr="00C3754C" w:rsidRDefault="009D622A" w:rsidP="00185428">
      <w:pPr>
        <w:pStyle w:val="ListParagraph"/>
        <w:numPr>
          <w:ilvl w:val="0"/>
          <w:numId w:val="32"/>
        </w:numPr>
        <w:tabs>
          <w:tab w:val="left" w:leader="dot" w:pos="9090"/>
        </w:tabs>
        <w:outlineLvl w:val="0"/>
        <w:rPr>
          <w:sz w:val="22"/>
          <w:szCs w:val="22"/>
        </w:rPr>
      </w:pPr>
      <w:r w:rsidRPr="00C3754C">
        <w:rPr>
          <w:sz w:val="22"/>
          <w:szCs w:val="22"/>
        </w:rPr>
        <w:t>Study Design</w:t>
      </w:r>
    </w:p>
    <w:p w14:paraId="7C118660" w14:textId="77777777" w:rsidR="009D622A" w:rsidRPr="00C3754C" w:rsidRDefault="009D622A" w:rsidP="00185428">
      <w:pPr>
        <w:tabs>
          <w:tab w:val="left" w:leader="dot" w:pos="8640"/>
        </w:tabs>
        <w:outlineLvl w:val="0"/>
        <w:rPr>
          <w:sz w:val="22"/>
          <w:szCs w:val="22"/>
        </w:rPr>
      </w:pPr>
    </w:p>
    <w:p w14:paraId="475D15DF" w14:textId="77777777" w:rsidR="009D622A" w:rsidRPr="00C3754C" w:rsidRDefault="009D622A" w:rsidP="00185428">
      <w:pPr>
        <w:pStyle w:val="ListParagraph"/>
        <w:numPr>
          <w:ilvl w:val="0"/>
          <w:numId w:val="32"/>
        </w:numPr>
        <w:tabs>
          <w:tab w:val="left" w:leader="dot" w:pos="9090"/>
        </w:tabs>
        <w:outlineLvl w:val="0"/>
        <w:rPr>
          <w:sz w:val="22"/>
          <w:szCs w:val="22"/>
        </w:rPr>
      </w:pPr>
      <w:r w:rsidRPr="00C3754C">
        <w:rPr>
          <w:sz w:val="22"/>
          <w:szCs w:val="22"/>
        </w:rPr>
        <w:t>Adverse Events</w:t>
      </w:r>
    </w:p>
    <w:p w14:paraId="591CF5BC" w14:textId="77777777" w:rsidR="009D622A" w:rsidRPr="00C3754C" w:rsidRDefault="009D622A" w:rsidP="00185428">
      <w:pPr>
        <w:tabs>
          <w:tab w:val="left" w:leader="dot" w:pos="8640"/>
        </w:tabs>
        <w:outlineLvl w:val="0"/>
        <w:rPr>
          <w:sz w:val="22"/>
          <w:szCs w:val="22"/>
        </w:rPr>
      </w:pPr>
    </w:p>
    <w:p w14:paraId="470C1273" w14:textId="77777777" w:rsidR="009D622A" w:rsidRPr="00C3754C" w:rsidRDefault="009D622A" w:rsidP="00185428">
      <w:pPr>
        <w:pStyle w:val="ListParagraph"/>
        <w:numPr>
          <w:ilvl w:val="0"/>
          <w:numId w:val="32"/>
        </w:numPr>
        <w:tabs>
          <w:tab w:val="left" w:leader="dot" w:pos="9000"/>
        </w:tabs>
        <w:outlineLvl w:val="0"/>
        <w:rPr>
          <w:sz w:val="22"/>
          <w:szCs w:val="22"/>
        </w:rPr>
      </w:pPr>
      <w:r w:rsidRPr="00C3754C">
        <w:rPr>
          <w:sz w:val="22"/>
          <w:szCs w:val="22"/>
        </w:rPr>
        <w:t>Data Management</w:t>
      </w:r>
    </w:p>
    <w:p w14:paraId="352CA7DC" w14:textId="77777777" w:rsidR="009D622A" w:rsidRPr="00C3754C" w:rsidRDefault="009D622A" w:rsidP="00185428">
      <w:pPr>
        <w:tabs>
          <w:tab w:val="left" w:leader="dot" w:pos="8640"/>
        </w:tabs>
        <w:outlineLvl w:val="0"/>
        <w:rPr>
          <w:sz w:val="22"/>
          <w:szCs w:val="22"/>
        </w:rPr>
      </w:pPr>
    </w:p>
    <w:p w14:paraId="0D3073D9" w14:textId="77777777" w:rsidR="009D622A" w:rsidRPr="00C3754C" w:rsidRDefault="009D622A" w:rsidP="00185428">
      <w:pPr>
        <w:pStyle w:val="ListParagraph"/>
        <w:numPr>
          <w:ilvl w:val="0"/>
          <w:numId w:val="32"/>
        </w:numPr>
        <w:tabs>
          <w:tab w:val="left" w:leader="dot" w:pos="9000"/>
        </w:tabs>
        <w:outlineLvl w:val="0"/>
        <w:rPr>
          <w:sz w:val="22"/>
          <w:szCs w:val="22"/>
        </w:rPr>
      </w:pPr>
      <w:r w:rsidRPr="00C3754C">
        <w:rPr>
          <w:sz w:val="22"/>
          <w:szCs w:val="22"/>
        </w:rPr>
        <w:t>Statistical Considerations</w:t>
      </w:r>
    </w:p>
    <w:p w14:paraId="16D905E8" w14:textId="77777777" w:rsidR="009D622A" w:rsidRPr="00C3754C" w:rsidRDefault="009D622A" w:rsidP="00185428">
      <w:pPr>
        <w:tabs>
          <w:tab w:val="left" w:leader="dot" w:pos="9000"/>
        </w:tabs>
        <w:outlineLvl w:val="0"/>
        <w:rPr>
          <w:sz w:val="22"/>
          <w:szCs w:val="22"/>
        </w:rPr>
      </w:pPr>
    </w:p>
    <w:p w14:paraId="1EC43FFE" w14:textId="77777777" w:rsidR="009D622A" w:rsidRPr="00C3754C" w:rsidRDefault="009D622A" w:rsidP="00185428">
      <w:pPr>
        <w:pStyle w:val="ListParagraph"/>
        <w:numPr>
          <w:ilvl w:val="0"/>
          <w:numId w:val="32"/>
        </w:numPr>
        <w:tabs>
          <w:tab w:val="left" w:leader="dot" w:pos="9000"/>
        </w:tabs>
        <w:outlineLvl w:val="0"/>
        <w:rPr>
          <w:sz w:val="22"/>
          <w:szCs w:val="22"/>
        </w:rPr>
      </w:pPr>
      <w:r w:rsidRPr="00C3754C">
        <w:rPr>
          <w:sz w:val="22"/>
          <w:szCs w:val="22"/>
        </w:rPr>
        <w:t>Ethical, Regulatory, and Administrative Considerations</w:t>
      </w:r>
    </w:p>
    <w:p w14:paraId="69D7BB47" w14:textId="77777777" w:rsidR="009D622A" w:rsidRPr="00C3754C" w:rsidRDefault="009D622A" w:rsidP="00185428">
      <w:pPr>
        <w:tabs>
          <w:tab w:val="left" w:leader="dot" w:pos="9000"/>
        </w:tabs>
        <w:outlineLvl w:val="0"/>
        <w:rPr>
          <w:sz w:val="22"/>
          <w:szCs w:val="22"/>
        </w:rPr>
      </w:pPr>
    </w:p>
    <w:p w14:paraId="143881FD" w14:textId="77777777" w:rsidR="00185428" w:rsidRPr="00C3754C" w:rsidRDefault="00185428" w:rsidP="00C3754C">
      <w:pPr>
        <w:pStyle w:val="ListParagraph"/>
        <w:numPr>
          <w:ilvl w:val="0"/>
          <w:numId w:val="32"/>
        </w:numPr>
        <w:tabs>
          <w:tab w:val="left" w:leader="dot" w:pos="9000"/>
        </w:tabs>
        <w:outlineLvl w:val="0"/>
        <w:rPr>
          <w:sz w:val="22"/>
          <w:szCs w:val="22"/>
        </w:rPr>
      </w:pPr>
      <w:r w:rsidRPr="00C3754C">
        <w:rPr>
          <w:sz w:val="22"/>
          <w:szCs w:val="22"/>
        </w:rPr>
        <w:t>Study Medication/Device/Intervention</w:t>
      </w:r>
    </w:p>
    <w:p w14:paraId="56DF8FAA" w14:textId="77777777" w:rsidR="00185428" w:rsidRPr="00C3754C" w:rsidRDefault="00185428" w:rsidP="00185428">
      <w:pPr>
        <w:pStyle w:val="ListParagraph"/>
        <w:rPr>
          <w:sz w:val="22"/>
          <w:szCs w:val="22"/>
        </w:rPr>
      </w:pPr>
    </w:p>
    <w:p w14:paraId="599754E8" w14:textId="77777777" w:rsidR="009D622A" w:rsidRPr="00C3754C" w:rsidRDefault="009D622A" w:rsidP="00185428">
      <w:pPr>
        <w:pStyle w:val="ListParagraph"/>
        <w:numPr>
          <w:ilvl w:val="0"/>
          <w:numId w:val="32"/>
        </w:numPr>
        <w:tabs>
          <w:tab w:val="left" w:leader="dot" w:pos="9000"/>
        </w:tabs>
        <w:outlineLvl w:val="0"/>
        <w:rPr>
          <w:sz w:val="22"/>
          <w:szCs w:val="22"/>
        </w:rPr>
      </w:pPr>
      <w:r w:rsidRPr="00C3754C">
        <w:rPr>
          <w:sz w:val="22"/>
          <w:szCs w:val="22"/>
        </w:rPr>
        <w:t>References</w:t>
      </w:r>
    </w:p>
    <w:p w14:paraId="1DA1348E" w14:textId="77777777" w:rsidR="009D622A" w:rsidRPr="00C3754C" w:rsidRDefault="009D622A">
      <w:pPr>
        <w:tabs>
          <w:tab w:val="left" w:leader="dot" w:pos="9000"/>
        </w:tabs>
        <w:outlineLvl w:val="0"/>
        <w:rPr>
          <w:sz w:val="22"/>
          <w:szCs w:val="22"/>
        </w:rPr>
      </w:pPr>
    </w:p>
    <w:p w14:paraId="4C69F11E" w14:textId="77777777" w:rsidR="009D622A" w:rsidRPr="00C3754C" w:rsidRDefault="009D622A">
      <w:pPr>
        <w:tabs>
          <w:tab w:val="left" w:leader="dot" w:pos="8640"/>
        </w:tabs>
        <w:outlineLvl w:val="0"/>
        <w:rPr>
          <w:sz w:val="22"/>
          <w:szCs w:val="22"/>
        </w:rPr>
      </w:pPr>
      <w:r w:rsidRPr="00C3754C">
        <w:rPr>
          <w:b/>
          <w:sz w:val="22"/>
          <w:szCs w:val="22"/>
        </w:rPr>
        <w:br w:type="page"/>
      </w:r>
    </w:p>
    <w:p w14:paraId="1753FB52" w14:textId="77777777" w:rsidR="009D622A" w:rsidRPr="0044227B" w:rsidRDefault="009D622A">
      <w:pPr>
        <w:pStyle w:val="Heading3"/>
        <w:numPr>
          <w:ilvl w:val="0"/>
          <w:numId w:val="1"/>
        </w:numPr>
        <w:jc w:val="left"/>
        <w:rPr>
          <w:sz w:val="22"/>
          <w:szCs w:val="22"/>
        </w:rPr>
      </w:pPr>
      <w:r w:rsidRPr="00C3754C">
        <w:rPr>
          <w:sz w:val="22"/>
          <w:szCs w:val="22"/>
        </w:rPr>
        <w:lastRenderedPageBreak/>
        <w:t xml:space="preserve">  </w:t>
      </w:r>
      <w:r w:rsidR="00DC0B5B">
        <w:rPr>
          <w:sz w:val="22"/>
          <w:szCs w:val="22"/>
        </w:rPr>
        <w:tab/>
      </w:r>
      <w:r w:rsidRPr="002D4E40">
        <w:rPr>
          <w:sz w:val="22"/>
          <w:szCs w:val="22"/>
        </w:rPr>
        <w:t>Introduction</w:t>
      </w:r>
    </w:p>
    <w:p w14:paraId="0BDD3017" w14:textId="77777777" w:rsidR="00E97C3E" w:rsidRPr="00E97C3E" w:rsidRDefault="00E97C3E" w:rsidP="00E97C3E">
      <w:pPr>
        <w:spacing w:afterLines="60" w:after="144"/>
        <w:ind w:left="720" w:firstLine="576"/>
        <w:contextualSpacing/>
        <w:jc w:val="both"/>
        <w:rPr>
          <w:rFonts w:eastAsia="Calibri"/>
          <w:sz w:val="22"/>
          <w:szCs w:val="22"/>
        </w:rPr>
      </w:pPr>
      <w:bookmarkStart w:id="0" w:name="_Hlk513373705"/>
      <w:r w:rsidRPr="00E97C3E">
        <w:rPr>
          <w:rFonts w:eastAsia="Calibri"/>
          <w:sz w:val="22"/>
          <w:szCs w:val="22"/>
        </w:rPr>
        <w:t xml:space="preserve">Spinal cord injury (SCI) is a traumatic event for injured individuals and their loved ones as it affects every aspect of life. </w:t>
      </w:r>
      <w:bookmarkEnd w:id="0"/>
      <w:r w:rsidRPr="00E97C3E">
        <w:rPr>
          <w:rFonts w:eastAsia="Calibri"/>
          <w:sz w:val="22"/>
          <w:szCs w:val="22"/>
        </w:rPr>
        <w:t xml:space="preserve">Cervical SCI results in upper extremity (UE) function impairments </w:t>
      </w:r>
      <w:bookmarkStart w:id="1" w:name="OLE_LINK6"/>
      <w:bookmarkStart w:id="2" w:name="OLE_LINK7"/>
      <w:r w:rsidRPr="00E97C3E">
        <w:rPr>
          <w:rFonts w:eastAsia="Calibri"/>
          <w:sz w:val="22"/>
          <w:szCs w:val="22"/>
        </w:rPr>
        <w:t>and reduced</w:t>
      </w:r>
      <w:bookmarkStart w:id="3" w:name="OLE_LINK4"/>
      <w:bookmarkStart w:id="4" w:name="OLE_LINK5"/>
      <w:r w:rsidRPr="00E97C3E">
        <w:rPr>
          <w:rFonts w:eastAsia="Calibri"/>
          <w:sz w:val="22"/>
          <w:szCs w:val="22"/>
        </w:rPr>
        <w:t xml:space="preserve"> independence in performance of </w:t>
      </w:r>
      <w:bookmarkStart w:id="5" w:name="OLE_LINK3"/>
      <w:r w:rsidRPr="00E97C3E">
        <w:rPr>
          <w:rFonts w:eastAsia="Calibri"/>
          <w:sz w:val="22"/>
          <w:szCs w:val="22"/>
        </w:rPr>
        <w:t xml:space="preserve">daily activities. </w:t>
      </w:r>
      <w:bookmarkEnd w:id="1"/>
      <w:bookmarkEnd w:id="2"/>
      <w:bookmarkEnd w:id="3"/>
      <w:bookmarkEnd w:id="4"/>
      <w:bookmarkEnd w:id="5"/>
      <w:r w:rsidRPr="00E97C3E">
        <w:rPr>
          <w:rFonts w:eastAsia="Calibri"/>
          <w:sz w:val="22"/>
          <w:szCs w:val="22"/>
        </w:rPr>
        <w:t>UE dysfunction due to tetraplegia is attributable primarily to disruption of ascending and descending pathways, and secondarily to the maladaptive cortical reorganization following the initial injury</w:t>
      </w:r>
      <w:r w:rsidR="002C5867">
        <w:rPr>
          <w:rFonts w:eastAsia="Calibri"/>
          <w:sz w:val="22"/>
          <w:szCs w:val="22"/>
        </w:rPr>
        <w:t xml:space="preserve"> </w:t>
      </w:r>
      <w:r w:rsidRPr="00E97C3E">
        <w:rPr>
          <w:rFonts w:eastAsia="Calibri"/>
          <w:sz w:val="22"/>
          <w:szCs w:val="22"/>
        </w:rPr>
        <w:fldChar w:fldCharType="begin" w:fldLock="1"/>
      </w:r>
      <w:r w:rsidR="00365B9D">
        <w:rPr>
          <w:rFonts w:eastAsia="Calibri"/>
          <w:sz w:val="22"/>
          <w:szCs w:val="22"/>
        </w:rPr>
        <w:instrText>ADDIN CSL_CITATION {"citationItems":[{"id":"ITEM-1","itemData":{"ISBN":"9780803617179","abstract":"One of the world's leading authorities in spinal cord injury, and a participant in the Human Brain Project brings you an evidenced-based guide to the state-of-the-art in spinal cord rehabilitation. She has assembled an expert team of clinicians, each with expertise in the content areas they address. Their work encompasses all of the new scientific knowledge and technological advances practitioners need to know to determine the most effective rehabilitation interventions for each patient and to attain maximum restoration of function in individuals with SCI. This title discusses how neural circu. Spinal cord injury : an overview / Edelle C. Field-Fote -- Translating animal research to humans with spinal cord injury / Laurent J. Bouyer -- Musculoskeletal plasticity after SCI : a conceptual framework based -- On plasticity, adaptation, and outcome / Richard K. Shields, Shauna Dudley-Javorski -- Contemporary experimental procedures for individuals with SCI / Maria J. Amador -- Neuroprosthetics / Arthur Prochazka -- Assessment of function / Sarah A. Morrison -- Maximizing mobility / Jennifer D. Hastings, Edelle C. Field-Fote -- Seating and wheelchair prescription / Jennifer D. Hastings, Kendra L. Betz -- Psychological aspects of living with spinal cord injury : emotional health, quality of life, and participation / Susan Magasi, Allen W. Heinemann, and Catherine S. Wilson -- Upper extremity orthotic and postsurgical management / Amy S. Bohn, Allan E. Peljovich -- Upper extremity training for individuals with cervical spinal cord injury : functional recovery and neuroplasticity / Larisa R. Hoffman, Edelle C. Field-Fote -- Lower extremity orthotic prescription / Kelley L. Kubota, Valerie Eberly, Sara J. Mulroy -- Locomotor training after incomplete spinal cord injury : neural mechanisms and functional outcomes / Edelle C. Field-Fote, Andrea Behrman -- Management of respiratory dysfunction / Jane L. Wetzel -- Bowel and bladder function and management / Catherine Warms, Diana D. Cardenas -- Cardiovascular health and exercise prescription / Mark S. Nash -- Pain after spinal cord injury : etiology and management / Eva Widerstrom-Noga -- Spasticity after human spinal cord injury / Edelle C. Field-Fote, Christine K. Thomas -- Physical activity and sport participation after spinal cord injury -- Kathleen A. Curtis -- Adaptive driving after spinal cord injury / Judi Sue Hamelburg -- Sexuality after spinal cord injury / Stacy Elliot -- Fertility after spinal cord injury…","author":[{"dropping-particle":"","family":"Field-Fote","given":"Edelle C.","non-dropping-particle":"","parse-names":false,"suffix":""}],"id":"ITEM-1","issued":{"date-parts":[["2009"]]},"number-of-pages":"592","publisher":"F.A. Davis","title":"Spinal cord injury rehabilitation","type":"book"},"uris":["http://www.mendeley.com/documents/?uuid=e51a437e-a916-34b8-834b-efca18125f42"]}],"mendeley":{"formattedCitation":"[1]","plainTextFormattedCitation":"[1]","previouslyFormattedCitation":"[1]"},"properties":{"noteIndex":0},"schema":"https://github.com/citation-style-language/schema/raw/master/csl-citation.json"}</w:instrText>
      </w:r>
      <w:r w:rsidRPr="00E97C3E">
        <w:rPr>
          <w:rFonts w:eastAsia="Calibri"/>
          <w:sz w:val="22"/>
          <w:szCs w:val="22"/>
        </w:rPr>
        <w:fldChar w:fldCharType="separate"/>
      </w:r>
      <w:r w:rsidR="002C5867" w:rsidRPr="002C5867">
        <w:rPr>
          <w:rFonts w:eastAsia="Calibri"/>
          <w:noProof/>
          <w:sz w:val="22"/>
          <w:szCs w:val="22"/>
        </w:rPr>
        <w:t>[1]</w:t>
      </w:r>
      <w:r w:rsidRPr="00E97C3E">
        <w:rPr>
          <w:rFonts w:eastAsia="Calibri"/>
          <w:sz w:val="22"/>
          <w:szCs w:val="22"/>
        </w:rPr>
        <w:fldChar w:fldCharType="end"/>
      </w:r>
      <w:r w:rsidRPr="00E97C3E">
        <w:rPr>
          <w:rFonts w:eastAsia="Calibri"/>
          <w:sz w:val="22"/>
          <w:szCs w:val="22"/>
        </w:rPr>
        <w:t>.</w:t>
      </w:r>
      <w:r w:rsidR="00525D7C">
        <w:rPr>
          <w:rFonts w:eastAsia="Calibri"/>
          <w:sz w:val="22"/>
          <w:szCs w:val="22"/>
        </w:rPr>
        <w:t xml:space="preserve"> </w:t>
      </w:r>
      <w:r w:rsidRPr="00E97C3E">
        <w:rPr>
          <w:rFonts w:eastAsia="Calibri"/>
          <w:sz w:val="22"/>
          <w:szCs w:val="22"/>
        </w:rPr>
        <w:t>Non-invasive brain stimulation (NIBS) approaches, even when applied for a short period of time</w:t>
      </w:r>
      <w:r w:rsidR="002C5867">
        <w:rPr>
          <w:rFonts w:eastAsia="Calibri"/>
          <w:sz w:val="22"/>
          <w:szCs w:val="22"/>
        </w:rPr>
        <w:t xml:space="preserve"> </w:t>
      </w:r>
      <w:r w:rsidRPr="00E97C3E">
        <w:rPr>
          <w:rFonts w:eastAsia="Calibri"/>
          <w:sz w:val="22"/>
          <w:szCs w:val="22"/>
        </w:rPr>
        <w:fldChar w:fldCharType="begin" w:fldLock="1"/>
      </w:r>
      <w:r w:rsidR="00365B9D">
        <w:rPr>
          <w:rFonts w:eastAsia="Calibri"/>
          <w:sz w:val="22"/>
          <w:szCs w:val="22"/>
        </w:rPr>
        <w:instrText>ADDIN CSL_CITATION {"citationItems":[{"id":"ITEM-1","itemData":{"DOI":"10.1097/NPT.0000000000000062","ISSN":"1557-0584","PMID":"25415549","abstract":"BACKGROUND AND PURPOSE Evidence suggests that the use of stimulation to increase corticomotor excitability improves hand function in persons with cervical spinal cord injury. We assessed effects of a multiday application of 10-Hz repetitive transcranial magnetic stimulation (rTMS) applied to the corticomotor hand area combined with repetitive task practice (RTP) in participants with tetraplegia and neurologically healthy participants. METHODS Using a double-blind, randomized, crossover design, 11 participants with chronic tetraplegia and 10 neurologically healthy participants received 3 sessions of 10-Hz rTMS+RTP and 3 sessions of sham-rTMS+RTP to the corticomotor hand region controlling the weaker hand. Repetitive transcranial magnetic stimulation was interleaved with RTP of a skilled motor task between pulse trains. Hand function (Jebsen-Taylor Hand Function Test, pinch, and grasp strength) and corticomotor excitability (amplitude of motor-evoked potential) were assessed before and after the rTMS+RTP and sham-rTMS+RTP phases. We assessed significance, using paired t tests on pre-post differences, and effect sizes, using the standardized response mean. RESULTS RTMS+RTP was associated with larger effect sizes compared with sham-rTMS+RTP for improvement in Jebsen-Taylor Hand Function Test for both the trained hand (standardized response mean = 0.85 and 0.42, respectively) and non-trained hand (0.55 and 0.31, respectively), and for grasp strength of the trained hand in the group with cervical spinal cord injury (0.67 and 0.39, respectively) alone. Effect sizes for all other measures were small and there were no statistical between-condition differences in the outcomes assessed. DISCUSSION AND CONCLUSIONS Repetitive transcranial magnetic stimulation may be a valuable adjunct to RTP for improving hand function in persons with tetraplegia. Higher stimulation dose (frequency, intensity, and the number of sessions) may be associated with larger effects. VIDEO ABSTRACT AVAILABLE (see Supplemental Digital Content 1, http://links.lww.com/JNPT/A82) for more insights from the authors.","author":[{"dropping-particle":"","family":"Gomes-Osman","given":"Joyce","non-dropping-particle":"","parse-names":false,"suffix":""},{"dropping-particle":"","family":"Field-Fote","given":"Edelle C","non-dropping-particle":"","parse-names":false,"suffix":""}],"container-title":"Journal of neurologic physical therapy : JNPT","id":"ITEM-1","issue":"1","issued":{"date-parts":[["2015","1"]]},"page":"23-30","publisher":"NIH Public Access","title":"Improvements in hand function in adults with chronic tetraplegia following a multiday 10-Hz repetitive transcranial magnetic stimulation intervention combined with repetitive task practice.","type":"article-journal","volume":"39"},"uris":["http://www.mendeley.com/documents/?uuid=e6d20b67-6530-36fa-9382-157d832a0b0f"]}],"mendeley":{"formattedCitation":"[2]","plainTextFormattedCitation":"[2]","previouslyFormattedCitation":"[2]"},"properties":{"noteIndex":0},"schema":"https://github.com/citation-style-language/schema/raw/master/csl-citation.json"}</w:instrText>
      </w:r>
      <w:r w:rsidRPr="00E97C3E">
        <w:rPr>
          <w:rFonts w:eastAsia="Calibri"/>
          <w:sz w:val="22"/>
          <w:szCs w:val="22"/>
        </w:rPr>
        <w:fldChar w:fldCharType="separate"/>
      </w:r>
      <w:r w:rsidR="002C5867" w:rsidRPr="002C5867">
        <w:rPr>
          <w:rFonts w:eastAsia="Calibri"/>
          <w:noProof/>
          <w:sz w:val="22"/>
          <w:szCs w:val="22"/>
        </w:rPr>
        <w:t>[2]</w:t>
      </w:r>
      <w:r w:rsidRPr="00E97C3E">
        <w:rPr>
          <w:rFonts w:eastAsia="Calibri"/>
          <w:sz w:val="22"/>
          <w:szCs w:val="22"/>
        </w:rPr>
        <w:fldChar w:fldCharType="end"/>
      </w:r>
      <w:r w:rsidRPr="00E97C3E">
        <w:rPr>
          <w:rFonts w:eastAsia="Calibri"/>
          <w:sz w:val="22"/>
          <w:szCs w:val="22"/>
        </w:rPr>
        <w:t>, can modulate cortical excitability thereby enhancing transmission through the remaining corticospinal tract pathways to improve motor and functional recovery in individuals with SCI</w:t>
      </w:r>
      <w:r w:rsidR="002C5867">
        <w:rPr>
          <w:rFonts w:eastAsia="Calibri"/>
          <w:sz w:val="22"/>
          <w:szCs w:val="22"/>
        </w:rPr>
        <w:t xml:space="preserve"> </w:t>
      </w:r>
      <w:r w:rsidRPr="00E97C3E">
        <w:rPr>
          <w:rFonts w:eastAsia="Calibri"/>
          <w:sz w:val="22"/>
          <w:szCs w:val="22"/>
        </w:rPr>
        <w:fldChar w:fldCharType="begin" w:fldLock="1"/>
      </w:r>
      <w:r w:rsidR="00365B9D">
        <w:rPr>
          <w:rFonts w:eastAsia="Calibri"/>
          <w:sz w:val="22"/>
          <w:szCs w:val="22"/>
        </w:rPr>
        <w:instrText>ADDIN CSL_CITATION {"citationItems":[{"id":"ITEM-1","itemData":{"DOI":"10.4103/1673-5374.221143","ISSN":"1673-5374","PMID":"29323025","abstract":"We conducted a systematic review of studies using non-invasive brain stimulation (NIBS: repetitive transcranial magnetic stimulation (rTMS) and transcranial direct current stimulation (tDCS)) as a research and clinical tool aimed at improving motor and functional recovery or spasticity in patients following spinal cord injury (SCI) under the assumption that if the residual corticospinal circuits could be stimulated appropriately, the changes might be accompanied by functional recovery or an improvement in spasticity. This review summarizes the literature on the changes induced by NIBS in the motor and functional recovery and spasticity control of the upper and lower extremities following SCI.","author":[{"dropping-particle":"","family":"Gunduz","given":"Aysegul","non-dropping-particle":"","parse-names":false,"suffix":""},{"dropping-particle":"","family":"Rothwell","given":"John","non-dropping-particle":"","parse-names":false,"suffix":""},{"dropping-particle":"","family":"Vidal","given":"Joan","non-dropping-particle":"","parse-names":false,"suffix":""},{"dropping-particle":"","family":"Kumru","given":"Hatice","non-dropping-particle":"","parse-names":false,"suffix":""}],"container-title":"Neural Regeneration Research","id":"ITEM-1","issue":"12","issued":{"date-parts":[["2017","12"]]},"page":"1933","title":"Non-invasive brain stimulation to promote motor and functional recovery following spinal cord injury","type":"article-journal","volume":"12"},"uris":["http://www.mendeley.com/documents/?uuid=73b438fe-4273-3cea-98c5-7717b9c52478"]}],"mendeley":{"formattedCitation":"[3]","plainTextFormattedCitation":"[3]","previouslyFormattedCitation":"[3]"},"properties":{"noteIndex":0},"schema":"https://github.com/citation-style-language/schema/raw/master/csl-citation.json"}</w:instrText>
      </w:r>
      <w:r w:rsidRPr="00E97C3E">
        <w:rPr>
          <w:rFonts w:eastAsia="Calibri"/>
          <w:sz w:val="22"/>
          <w:szCs w:val="22"/>
        </w:rPr>
        <w:fldChar w:fldCharType="separate"/>
      </w:r>
      <w:r w:rsidR="002C5867" w:rsidRPr="002C5867">
        <w:rPr>
          <w:rFonts w:eastAsia="Calibri"/>
          <w:noProof/>
          <w:sz w:val="22"/>
          <w:szCs w:val="22"/>
        </w:rPr>
        <w:t>[3]</w:t>
      </w:r>
      <w:r w:rsidRPr="00E97C3E">
        <w:rPr>
          <w:rFonts w:eastAsia="Calibri"/>
          <w:sz w:val="22"/>
          <w:szCs w:val="22"/>
        </w:rPr>
        <w:fldChar w:fldCharType="end"/>
      </w:r>
      <w:r w:rsidRPr="00E97C3E">
        <w:rPr>
          <w:rFonts w:eastAsia="Calibri"/>
          <w:sz w:val="22"/>
          <w:szCs w:val="22"/>
        </w:rPr>
        <w:t xml:space="preserve">. </w:t>
      </w:r>
      <w:bookmarkStart w:id="6" w:name="_Hlk515344108"/>
      <w:r w:rsidRPr="00E97C3E">
        <w:rPr>
          <w:rFonts w:eastAsia="Calibri"/>
          <w:sz w:val="22"/>
          <w:szCs w:val="22"/>
        </w:rPr>
        <w:t>Specifically, transcranial direct current stimulation (</w:t>
      </w:r>
      <w:proofErr w:type="spellStart"/>
      <w:r w:rsidRPr="00E97C3E">
        <w:rPr>
          <w:rFonts w:eastAsia="Calibri"/>
          <w:sz w:val="22"/>
          <w:szCs w:val="22"/>
        </w:rPr>
        <w:t>tDCS</w:t>
      </w:r>
      <w:proofErr w:type="spellEnd"/>
      <w:r w:rsidRPr="00E97C3E">
        <w:rPr>
          <w:rFonts w:eastAsia="Calibri"/>
          <w:sz w:val="22"/>
          <w:szCs w:val="22"/>
        </w:rPr>
        <w:t xml:space="preserve">) is a clinically accessible approach that has been associated with improved UE function in individuals with </w:t>
      </w:r>
      <w:commentRangeStart w:id="7"/>
      <w:r w:rsidRPr="00E97C3E">
        <w:rPr>
          <w:rFonts w:eastAsia="Calibri"/>
          <w:sz w:val="22"/>
          <w:szCs w:val="22"/>
        </w:rPr>
        <w:t>tetraplegia</w:t>
      </w:r>
      <w:commentRangeEnd w:id="7"/>
      <w:r w:rsidR="00A47F1D">
        <w:rPr>
          <w:rStyle w:val="CommentReference"/>
        </w:rPr>
        <w:commentReference w:id="7"/>
      </w:r>
      <w:r w:rsidR="002C5867">
        <w:rPr>
          <w:rFonts w:eastAsia="Calibri"/>
          <w:sz w:val="22"/>
          <w:szCs w:val="22"/>
        </w:rPr>
        <w:t xml:space="preserve"> </w:t>
      </w:r>
      <w:r w:rsidRPr="00E97C3E">
        <w:rPr>
          <w:rFonts w:eastAsia="Calibri"/>
          <w:sz w:val="22"/>
          <w:szCs w:val="22"/>
        </w:rPr>
        <w:fldChar w:fldCharType="begin" w:fldLock="1"/>
      </w:r>
      <w:r w:rsidR="00365B9D">
        <w:rPr>
          <w:rFonts w:eastAsia="Calibri"/>
          <w:sz w:val="22"/>
          <w:szCs w:val="22"/>
        </w:rPr>
        <w:instrText>ADDIN CSL_CITATION {"citationItems":[{"id":"ITEM-1","itemData":{"DOI":"10.1177/0269215514556087","ISSN":"0269-2155","PMID":"25381344","abstract":"OBJECTIVE To assess single-session effects of three different types of stimuli known to increase cortical excitability when combined with functional task practice. DESIGN Randomized cross-over trial. PARTICIPANTS A total of 24 participants with chronic cervical spinal cord injury. INTERVENTIONS One 30-minute session of each, applied concurrently with functional task practice: transcranial direct current stimulation, vibration, and transcutaneous electrical nerve stimulation. MEASUREMENTS Nine-hole Peg Test, pinch force, visuomotor tracking, and cortical excitability were collected at pretest, posttest and late posttest (30 minutes after). Early effects (posttest minus pretest) and short-term persistence (late posttest minus pretest) were assessed using a general linear mixed model. Magnitude of effect size was assessed using the Cohen's d. RESULTS Transcutaneous electrical nerve stimulation was associated with moderate, significant early effects and short-term persistence on Nine-hole Peg Test performance (1.8 ±1.8, p = 0.003, d = 0.59; 2.0 ±2.5, p &lt; 0.001, Cohen's d = 0.65, respectively). Transcranial direct current stimulation (1.8 ±2.5, p = 0.003, Cohen's d = 0.52) was also associated with significant short-term persistence of moderate size on Nine-hole Peg Test performance (1.8 ±2.5, p = 0.003, Cohen's d = 0.52) and visuomotor tracking performance (p = 0.05, d = 0.51). Early effects on corticomotor excitability were significant for transcutaneous electrical nerve stimulation (p = 0.003), approached significance for transcranial direct current stimulation (p = 0.07), and only vibration was associated with significant short-term persistence (p = 0.006). CONCLUSIONS Meaningful improvements in aspects of hand-related function that persisted at least 30 minutes after intervention were observed with transcutaneous electrical nerve stimulation and transcranial direct current stimulation, when combined with functional task practice.","author":[{"dropping-particle":"","family":"Gomes-Osman","given":"Joyce","non-dropping-particle":"","parse-names":false,"suffix":""},{"dropping-particle":"","family":"Field-Fote","given":"Edelle C","non-dropping-particle":"","parse-names":false,"suffix":""}],"container-title":"Clinical Rehabilitation","id":"ITEM-1","issue":"8","issued":{"date-parts":[["2015","8","7"]]},"page":"771-782","title":"Cortical vs. afferent stimulation as an adjunct to functional task practice training: a randomized, comparative pilot study in people with cervical spinal cord injury","type":"article-journal","volume":"29"},"uris":["http://www.mendeley.com/documents/?uuid=95d294e6-4845-3e68-8d41-69c37fb676ca"]}],"mendeley":{"formattedCitation":"[4]","plainTextFormattedCitation":"[4]","previouslyFormattedCitation":"[4]"},"properties":{"noteIndex":0},"schema":"https://github.com/citation-style-language/schema/raw/master/csl-citation.json"}</w:instrText>
      </w:r>
      <w:r w:rsidRPr="00E97C3E">
        <w:rPr>
          <w:rFonts w:eastAsia="Calibri"/>
          <w:sz w:val="22"/>
          <w:szCs w:val="22"/>
        </w:rPr>
        <w:fldChar w:fldCharType="separate"/>
      </w:r>
      <w:r w:rsidR="002C5867" w:rsidRPr="002C5867">
        <w:rPr>
          <w:rFonts w:eastAsia="Calibri"/>
          <w:noProof/>
          <w:sz w:val="22"/>
          <w:szCs w:val="22"/>
        </w:rPr>
        <w:t>[4]</w:t>
      </w:r>
      <w:r w:rsidRPr="00E97C3E">
        <w:rPr>
          <w:rFonts w:eastAsia="Calibri"/>
          <w:sz w:val="22"/>
          <w:szCs w:val="22"/>
        </w:rPr>
        <w:fldChar w:fldCharType="end"/>
      </w:r>
      <w:r w:rsidRPr="00E97C3E">
        <w:rPr>
          <w:rFonts w:eastAsia="Calibri"/>
          <w:sz w:val="22"/>
          <w:szCs w:val="22"/>
        </w:rPr>
        <w:t xml:space="preserve">. However, the literature indicates there is significant inter-individual variability in response to the application of </w:t>
      </w:r>
      <w:proofErr w:type="spellStart"/>
      <w:r w:rsidRPr="00E97C3E">
        <w:rPr>
          <w:rFonts w:eastAsia="Calibri"/>
          <w:sz w:val="22"/>
          <w:szCs w:val="22"/>
        </w:rPr>
        <w:t>tDCS</w:t>
      </w:r>
      <w:proofErr w:type="spellEnd"/>
      <w:r w:rsidR="002C5867">
        <w:rPr>
          <w:rFonts w:eastAsia="Calibri"/>
          <w:sz w:val="22"/>
          <w:szCs w:val="22"/>
        </w:rPr>
        <w:t xml:space="preserve"> </w:t>
      </w:r>
      <w:r w:rsidRPr="00E97C3E">
        <w:rPr>
          <w:rFonts w:eastAsia="Calibri"/>
          <w:sz w:val="22"/>
          <w:szCs w:val="22"/>
        </w:rPr>
        <w:fldChar w:fldCharType="begin" w:fldLock="1"/>
      </w:r>
      <w:r w:rsidR="00365B9D">
        <w:rPr>
          <w:rFonts w:eastAsia="Calibri"/>
          <w:sz w:val="22"/>
          <w:szCs w:val="22"/>
        </w:rPr>
        <w:instrText>ADDIN CSL_CITATION {"citationItems":[{"id":"ITEM-1","itemData":{"DOI":"10.1016/j.brs.2014.02.004","ISSN":"1876-4754","PMID":"24630849","abstract":"BACKGROUND Non-invasive Brain Stimulation (NIBS) paradigms are unique in their ability to safely modulate cortical plasticity for experimental or therapeutic applications. However, increasingly, there is concern regarding inter-individual variability in the efficacy and reliability of these paradigms. HYPOTHESIS Inter-individual variability in response to NIBS paradigms would be better explained if a multimodal distribution was assumed. METHODS In three different sessions for each subject (n = 56), we studied the Paired Associative Stimulation (PAS25), Anodal transcranial DC stimulation (AtDCS) and intermittent theta burst stimulation (iTBS) protocols. We applied cluster analysis to detect distinct patterns of response between individuals. Furthermore, we tested whether baseline TMS measures (such as short intracortical inhibition (SICI), resting motor threshold (RMT)) or factors such as time of day could predict each individual's response pattern. RESULTS All three paradigms show similar efficacy over the first hour post stimulation--there is no significant effect on excitatory or inhibitory circuits for the whole sample, and AtDCS fares no better than iTBS or PAS25. Cluster analysis reveals a bimodal response pattern--but only 39%, 45% and 43% of subjects responded as expected to PAS25, AtDCS, and iTBS respectively. Pre-stimulation SICI accounted for 10% of the variability in response to PAS25, but no other baseline measures were predictive of response. Finally, we report implications for sample size calculation and the remarkable effect of sample enrichment. CONCLUSION The implications of the high rate of 'dose-failure' for experimental and therapeutic applications of NIBS lead us to conclude that addressing inter-individual variability is a key area of concern for the field.","author":[{"dropping-particle":"","family":"López-Alonso","given":"Virginia","non-dropping-particle":"","parse-names":false,"suffix":""},{"dropping-particle":"","family":"Cheeran","given":"Binith","non-dropping-particle":"","parse-names":false,"suffix":""},{"dropping-particle":"","family":"Río-Rodríguez","given":"Dan","non-dropping-particle":"","parse-names":false,"suffix":""},{"dropping-particle":"","family":"Fernández-Del-Olmo","given":"Miguel","non-dropping-particle":"","parse-names":false,"suffix":""}],"container-title":"Brain stimulation","id":"ITEM-1","issue":"3","issued":{"date-parts":[["2014","5"]]},"page":"372-80","title":"Inter-individual variability in response to non-invasive brain stimulation paradigms.","type":"article-journal","volume":"7"},"uris":["http://www.mendeley.com/documents/?uuid=a6e61c1b-1018-38ce-8881-60c47c0602c7"]}],"mendeley":{"formattedCitation":"[5]","plainTextFormattedCitation":"[5]","previouslyFormattedCitation":"[5]"},"properties":{"noteIndex":0},"schema":"https://github.com/citation-style-language/schema/raw/master/csl-citation.json"}</w:instrText>
      </w:r>
      <w:r w:rsidRPr="00E97C3E">
        <w:rPr>
          <w:rFonts w:eastAsia="Calibri"/>
          <w:sz w:val="22"/>
          <w:szCs w:val="22"/>
        </w:rPr>
        <w:fldChar w:fldCharType="separate"/>
      </w:r>
      <w:r w:rsidR="002C5867" w:rsidRPr="002C5867">
        <w:rPr>
          <w:rFonts w:eastAsia="Calibri"/>
          <w:noProof/>
          <w:sz w:val="22"/>
          <w:szCs w:val="22"/>
        </w:rPr>
        <w:t>[5]</w:t>
      </w:r>
      <w:r w:rsidRPr="00E97C3E">
        <w:rPr>
          <w:rFonts w:eastAsia="Calibri"/>
          <w:sz w:val="22"/>
          <w:szCs w:val="22"/>
        </w:rPr>
        <w:fldChar w:fldCharType="end"/>
      </w:r>
      <w:r w:rsidRPr="00E97C3E">
        <w:rPr>
          <w:rFonts w:eastAsia="Calibri"/>
          <w:sz w:val="22"/>
          <w:szCs w:val="22"/>
        </w:rPr>
        <w:t>, as well as inconsistency in temporal effects on cortical excitability</w:t>
      </w:r>
      <w:r w:rsidR="002C5867">
        <w:rPr>
          <w:rFonts w:eastAsia="Calibri"/>
          <w:sz w:val="22"/>
          <w:szCs w:val="22"/>
        </w:rPr>
        <w:t xml:space="preserve"> </w:t>
      </w:r>
      <w:r w:rsidRPr="00E97C3E">
        <w:rPr>
          <w:rFonts w:eastAsia="Calibri"/>
          <w:sz w:val="22"/>
          <w:szCs w:val="22"/>
        </w:rPr>
        <w:fldChar w:fldCharType="begin" w:fldLock="1"/>
      </w:r>
      <w:r w:rsidR="00365B9D">
        <w:rPr>
          <w:rFonts w:eastAsia="Calibri"/>
          <w:sz w:val="22"/>
          <w:szCs w:val="22"/>
        </w:rPr>
        <w:instrText>ADDIN CSL_CITATION {"citationItems":[{"id":"ITEM-1","itemData":{"DOI":"10.3389/fnhum.2016.00668","ISSN":"1662-5161","author":[{"dropping-particle":"","family":"Inukai","given":"Yasuto","non-dropping-particle":"","parse-names":false,"suffix":""},{"dropping-particle":"","family":"Saito","given":"Kei","non-dropping-particle":"","parse-names":false,"suffix":""},{"dropping-particle":"","family":"Sasaki","given":"Ryoki","non-dropping-particle":"","parse-names":false,"suffix":""},{"dropping-particle":"","family":"Tsuiki","given":"Shota","non-dropping-particle":"","parse-names":false,"suffix":""},{"dropping-particle":"","family":"Miyaguchi","given":"Shota","non-dropping-particle":"","parse-names":false,"suffix":""},{"dropping-particle":"","family":"Kojima","given":"Sho","non-dropping-particle":"","parse-names":false,"suffix":""},{"dropping-particle":"","family":"Masaki","given":"Mitsuhiro","non-dropping-particle":"","parse-names":false,"suffix":""},{"dropping-particle":"","family":"Otsuru","given":"Naofumi","non-dropping-particle":"","parse-names":false,"suffix":""},{"dropping-particle":"","family":"Onishi","given":"Hideaki","non-dropping-particle":"","parse-names":false,"suffix":""}],"container-title":"Frontiers in Human Neuroscience","id":"ITEM-1","issued":{"date-parts":[["2016","12","27"]]},"title":"Comparison of Three Non-Invasive Transcranial Electrical Stimulation Methods for Increasing Cortical Excitability","type":"article-journal","volume":"10"},"uris":["http://www.mendeley.com/documents/?uuid=a0cb0c8c-b964-3c38-acdf-f4576e3a6342"]}],"mendeley":{"formattedCitation":"[6]","plainTextFormattedCitation":"[6]","previouslyFormattedCitation":"[6]"},"properties":{"noteIndex":0},"schema":"https://github.com/citation-style-language/schema/raw/master/csl-citation.json"}</w:instrText>
      </w:r>
      <w:r w:rsidRPr="00E97C3E">
        <w:rPr>
          <w:rFonts w:eastAsia="Calibri"/>
          <w:sz w:val="22"/>
          <w:szCs w:val="22"/>
        </w:rPr>
        <w:fldChar w:fldCharType="separate"/>
      </w:r>
      <w:r w:rsidR="002C5867" w:rsidRPr="002C5867">
        <w:rPr>
          <w:rFonts w:eastAsia="Calibri"/>
          <w:noProof/>
          <w:sz w:val="22"/>
          <w:szCs w:val="22"/>
        </w:rPr>
        <w:t>[6]</w:t>
      </w:r>
      <w:r w:rsidRPr="00E97C3E">
        <w:rPr>
          <w:rFonts w:eastAsia="Calibri"/>
          <w:sz w:val="22"/>
          <w:szCs w:val="22"/>
        </w:rPr>
        <w:fldChar w:fldCharType="end"/>
      </w:r>
      <w:r w:rsidRPr="00E97C3E">
        <w:rPr>
          <w:rFonts w:eastAsia="Calibri"/>
          <w:sz w:val="22"/>
          <w:szCs w:val="22"/>
        </w:rPr>
        <w:t xml:space="preserve">. In addition, current flow orientation varies depending on the polarity of the </w:t>
      </w:r>
      <w:proofErr w:type="spellStart"/>
      <w:r w:rsidRPr="00E97C3E">
        <w:rPr>
          <w:rFonts w:eastAsia="Calibri"/>
          <w:sz w:val="22"/>
          <w:szCs w:val="22"/>
        </w:rPr>
        <w:t>tDCS</w:t>
      </w:r>
      <w:proofErr w:type="spellEnd"/>
      <w:r w:rsidRPr="00E97C3E">
        <w:rPr>
          <w:rFonts w:eastAsia="Calibri"/>
          <w:sz w:val="22"/>
          <w:szCs w:val="22"/>
        </w:rPr>
        <w:t xml:space="preserve"> and the topography of the cortex</w:t>
      </w:r>
      <w:r w:rsidR="002C5867">
        <w:rPr>
          <w:rFonts w:eastAsia="Calibri"/>
          <w:sz w:val="22"/>
          <w:szCs w:val="22"/>
        </w:rPr>
        <w:t xml:space="preserve"> </w:t>
      </w:r>
      <w:r w:rsidRPr="00E97C3E">
        <w:rPr>
          <w:rFonts w:eastAsia="Calibri"/>
          <w:sz w:val="22"/>
          <w:szCs w:val="22"/>
        </w:rPr>
        <w:fldChar w:fldCharType="begin" w:fldLock="1"/>
      </w:r>
      <w:r w:rsidR="00365B9D">
        <w:rPr>
          <w:rFonts w:eastAsia="Calibri"/>
          <w:sz w:val="22"/>
          <w:szCs w:val="22"/>
        </w:rPr>
        <w:instrText>ADDIN CSL_CITATION {"citationItems":[{"id":"ITEM-1","itemData":{"DOI":"10.1016/j.brs.2017.11.001","ISSN":"1935861X","PMID":"29146468","abstract":"BACKGROUND Measurements and models of current flow in the brain during transcranial Direct Current Stimulation (tDCS) indicate stimulation of regions in-between electrodes. Moreover, the folded cortex results in local fluctuations in current flow intensity and direction, and animal studies suggest current flow direction relative to cortical columns determines response to tDCS. METHODS Here we test this idea by using Transcranial Magnetic Stimulation Motor Evoked Potentials (TMS-MEP) to measure changes in corticospinal excitability following tDCS applied with electrodes aligned orthogonal (across) or parallel to M1 in the central sulcus. RESULTS Current flow models predicted that the orthogonal electrode montage produces consistently oriented current across the hand region of M1 that flows along cortical columns, while the parallel electrode montage produces non-uniform current directions across the M1 cortical surface. We find that orthogonal, but not parallel, orientated tDCS modulates TMS-MEPs. We also show modulation is sensitive to the orientation of the TMS coil (PA or AP), which is thought to select different afferent pathways to M1. CONCLUSIONS Our results are consistent with tDCS producing directionally specific neuromodulation in brain regions in-between electrodes, but shows nuanced changes in excitability that are presumably current direction relative to column and axon pathway specific. We suggest that the direction of current flow through cortical target regions should be considered for targeting and dose-control of tDCS.","author":[{"dropping-particle":"","family":"Rawji","given":"Vishal","non-dropping-particle":"","parse-names":false,"suffix":""},{"dropping-particle":"","family":"Ciocca","given":"Matteo","non-dropping-particle":"","parse-names":false,"suffix":""},{"dropping-particle":"","family":"Zacharia","given":"André","non-dropping-particle":"","parse-names":false,"suffix":""},{"dropping-particle":"","family":"Soares","given":"David","non-dropping-particle":"","parse-names":false,"suffix":""},{"dropping-particle":"","family":"Truong","given":"Dennis","non-dropping-particle":"","parse-names":false,"suffix":""},{"dropping-particle":"","family":"Bikson","given":"Marom","non-dropping-particle":"","parse-names":false,"suffix":""},{"dropping-particle":"","family":"Rothwell","given":"John","non-dropping-particle":"","parse-names":false,"suffix":""},{"dropping-particle":"","family":"Bestmann","given":"Sven","non-dropping-particle":"","parse-names":false,"suffix":""}],"container-title":"Brain Stimulation","id":"ITEM-1","issue":"2","issued":{"date-parts":[["2018","3"]]},"page":"289-298","title":"tDCS changes in motor excitability are specific to orientation of current flow","type":"article-journal","volume":"11"},"uris":["http://www.mendeley.com/documents/?uuid=5b64f015-b6d1-39c3-8541-ebb7fe72cba7"]}],"mendeley":{"formattedCitation":"[7]","plainTextFormattedCitation":"[7]","previouslyFormattedCitation":"[7]"},"properties":{"noteIndex":0},"schema":"https://github.com/citation-style-language/schema/raw/master/csl-citation.json"}</w:instrText>
      </w:r>
      <w:r w:rsidRPr="00E97C3E">
        <w:rPr>
          <w:rFonts w:eastAsia="Calibri"/>
          <w:sz w:val="22"/>
          <w:szCs w:val="22"/>
        </w:rPr>
        <w:fldChar w:fldCharType="separate"/>
      </w:r>
      <w:r w:rsidR="002C5867" w:rsidRPr="002C5867">
        <w:rPr>
          <w:rFonts w:eastAsia="Calibri"/>
          <w:noProof/>
          <w:sz w:val="22"/>
          <w:szCs w:val="22"/>
        </w:rPr>
        <w:t>[7]</w:t>
      </w:r>
      <w:r w:rsidRPr="00E97C3E">
        <w:rPr>
          <w:rFonts w:eastAsia="Calibri"/>
          <w:sz w:val="22"/>
          <w:szCs w:val="22"/>
        </w:rPr>
        <w:fldChar w:fldCharType="end"/>
      </w:r>
      <w:r w:rsidRPr="00E97C3E">
        <w:rPr>
          <w:rFonts w:eastAsia="Calibri"/>
          <w:sz w:val="22"/>
          <w:szCs w:val="22"/>
        </w:rPr>
        <w:t xml:space="preserve">, this variability influences the cortical response and clinical value of </w:t>
      </w:r>
      <w:proofErr w:type="spellStart"/>
      <w:r w:rsidRPr="00E97C3E">
        <w:rPr>
          <w:rFonts w:eastAsia="Calibri"/>
          <w:sz w:val="22"/>
          <w:szCs w:val="22"/>
        </w:rPr>
        <w:t>tDCS</w:t>
      </w:r>
      <w:proofErr w:type="spellEnd"/>
      <w:r w:rsidRPr="00E97C3E">
        <w:rPr>
          <w:rFonts w:eastAsia="Calibri"/>
          <w:sz w:val="22"/>
          <w:szCs w:val="22"/>
        </w:rPr>
        <w:t xml:space="preserve">. </w:t>
      </w:r>
    </w:p>
    <w:p w14:paraId="3F8A97C8" w14:textId="77777777" w:rsidR="00E97C3E" w:rsidRDefault="00E97C3E" w:rsidP="0000634E">
      <w:pPr>
        <w:pStyle w:val="BodyText2"/>
        <w:spacing w:line="240" w:lineRule="auto"/>
        <w:ind w:left="720" w:right="-115" w:firstLine="576"/>
        <w:jc w:val="both"/>
        <w:rPr>
          <w:rFonts w:eastAsia="Calibri"/>
          <w:sz w:val="22"/>
          <w:szCs w:val="22"/>
        </w:rPr>
      </w:pPr>
      <w:bookmarkStart w:id="8" w:name="_Hlk515518970"/>
      <w:bookmarkEnd w:id="6"/>
      <w:r w:rsidRPr="00E97C3E">
        <w:rPr>
          <w:rFonts w:eastAsia="Calibri"/>
          <w:sz w:val="22"/>
          <w:szCs w:val="22"/>
        </w:rPr>
        <w:t>Transcranial random noise stimulation (</w:t>
      </w:r>
      <w:proofErr w:type="spellStart"/>
      <w:r w:rsidRPr="00E97C3E">
        <w:rPr>
          <w:rFonts w:eastAsia="Calibri"/>
          <w:sz w:val="22"/>
          <w:szCs w:val="22"/>
        </w:rPr>
        <w:t>tRNS</w:t>
      </w:r>
      <w:proofErr w:type="spellEnd"/>
      <w:r w:rsidRPr="00E97C3E">
        <w:rPr>
          <w:rFonts w:eastAsia="Calibri"/>
          <w:sz w:val="22"/>
          <w:szCs w:val="22"/>
        </w:rPr>
        <w:t xml:space="preserve">) is a polarity-independent stimulation approach, which produces more consistent excitatory effects compared to </w:t>
      </w:r>
      <w:proofErr w:type="spellStart"/>
      <w:r w:rsidRPr="00E97C3E">
        <w:rPr>
          <w:rFonts w:eastAsia="Calibri"/>
          <w:sz w:val="22"/>
          <w:szCs w:val="22"/>
        </w:rPr>
        <w:t>tDCS</w:t>
      </w:r>
      <w:proofErr w:type="spellEnd"/>
      <w:r w:rsidR="002C5867">
        <w:rPr>
          <w:rFonts w:eastAsia="Calibri"/>
          <w:sz w:val="22"/>
          <w:szCs w:val="22"/>
        </w:rPr>
        <w:t xml:space="preserve"> </w:t>
      </w:r>
      <w:r w:rsidRPr="00E97C3E">
        <w:rPr>
          <w:rFonts w:eastAsia="Calibri"/>
          <w:sz w:val="22"/>
          <w:szCs w:val="22"/>
        </w:rPr>
        <w:fldChar w:fldCharType="begin" w:fldLock="1"/>
      </w:r>
      <w:r w:rsidR="00365B9D">
        <w:rPr>
          <w:rFonts w:eastAsia="Calibri"/>
          <w:sz w:val="22"/>
          <w:szCs w:val="22"/>
        </w:rPr>
        <w:instrText>ADDIN CSL_CITATION {"citationItems":[{"id":"ITEM-1","itemData":{"DOI":"10.3389/fnhum.2016.00668","ISSN":"1662-5161","author":[{"dropping-particle":"","family":"Inukai","given":"Yasuto","non-dropping-particle":"","parse-names":false,"suffix":""},{"dropping-particle":"","family":"Saito","given":"Kei","non-dropping-particle":"","parse-names":false,"suffix":""},{"dropping-particle":"","family":"Sasaki","given":"Ryoki","non-dropping-particle":"","parse-names":false,"suffix":""},{"dropping-particle":"","family":"Tsuiki","given":"Shota","non-dropping-particle":"","parse-names":false,"suffix":""},{"dropping-particle":"","family":"Miyaguchi","given":"Shota","non-dropping-particle":"","parse-names":false,"suffix":""},{"dropping-particle":"","family":"Kojima","given":"Sho","non-dropping-particle":"","parse-names":false,"suffix":""},{"dropping-particle":"","family":"Masaki","given":"Mitsuhiro","non-dropping-particle":"","parse-names":false,"suffix":""},{"dropping-particle":"","family":"Otsuru","given":"Naofumi","non-dropping-particle":"","parse-names":false,"suffix":""},{"dropping-particle":"","family":"Onishi","given":"Hideaki","non-dropping-particle":"","parse-names":false,"suffix":""}],"container-title":"Frontiers in Human Neuroscience","id":"ITEM-1","issued":{"date-parts":[["2016","12","27"]]},"title":"Comparison of Three Non-Invasive Transcranial Electrical Stimulation Methods for Increasing Cortical Excitability","type":"article-journal","volume":"10"},"uris":["http://www.mendeley.com/documents/?uuid=a0cb0c8c-b964-3c38-acdf-f4576e3a6342"]}],"mendeley":{"formattedCitation":"[6]","plainTextFormattedCitation":"[6]","previouslyFormattedCitation":"[6]"},"properties":{"noteIndex":0},"schema":"https://github.com/citation-style-language/schema/raw/master/csl-citation.json"}</w:instrText>
      </w:r>
      <w:r w:rsidRPr="00E97C3E">
        <w:rPr>
          <w:rFonts w:eastAsia="Calibri"/>
          <w:sz w:val="22"/>
          <w:szCs w:val="22"/>
        </w:rPr>
        <w:fldChar w:fldCharType="separate"/>
      </w:r>
      <w:r w:rsidR="002C5867" w:rsidRPr="002C5867">
        <w:rPr>
          <w:rFonts w:eastAsia="Calibri"/>
          <w:noProof/>
          <w:sz w:val="22"/>
          <w:szCs w:val="22"/>
        </w:rPr>
        <w:t>[6]</w:t>
      </w:r>
      <w:r w:rsidRPr="00E97C3E">
        <w:rPr>
          <w:rFonts w:eastAsia="Calibri"/>
          <w:sz w:val="22"/>
          <w:szCs w:val="22"/>
        </w:rPr>
        <w:fldChar w:fldCharType="end"/>
      </w:r>
      <w:r w:rsidRPr="00E97C3E">
        <w:rPr>
          <w:rFonts w:eastAsia="Calibri"/>
          <w:sz w:val="22"/>
          <w:szCs w:val="22"/>
        </w:rPr>
        <w:t>.</w:t>
      </w:r>
      <w:bookmarkEnd w:id="8"/>
      <w:r w:rsidRPr="00E97C3E">
        <w:rPr>
          <w:rFonts w:eastAsia="Calibri"/>
          <w:sz w:val="22"/>
          <w:szCs w:val="22"/>
        </w:rPr>
        <w:t xml:space="preserve"> In contrast to </w:t>
      </w:r>
      <w:proofErr w:type="spellStart"/>
      <w:r w:rsidRPr="00E97C3E">
        <w:rPr>
          <w:rFonts w:eastAsia="Calibri"/>
          <w:sz w:val="22"/>
          <w:szCs w:val="22"/>
        </w:rPr>
        <w:t>tDCS</w:t>
      </w:r>
      <w:proofErr w:type="spellEnd"/>
      <w:r w:rsidRPr="00E97C3E">
        <w:rPr>
          <w:rFonts w:eastAsia="Calibri"/>
          <w:sz w:val="22"/>
          <w:szCs w:val="22"/>
        </w:rPr>
        <w:t xml:space="preserve">, </w:t>
      </w:r>
      <w:proofErr w:type="spellStart"/>
      <w:r w:rsidRPr="00E97C3E">
        <w:rPr>
          <w:rFonts w:eastAsia="Calibri"/>
          <w:sz w:val="22"/>
          <w:szCs w:val="22"/>
        </w:rPr>
        <w:t>tRNS</w:t>
      </w:r>
      <w:proofErr w:type="spellEnd"/>
      <w:r w:rsidRPr="00E97C3E">
        <w:rPr>
          <w:rFonts w:eastAsia="Calibri"/>
          <w:sz w:val="22"/>
          <w:szCs w:val="22"/>
        </w:rPr>
        <w:t xml:space="preserve"> is has excellent tolerability and no risk of burns. Importantly for research purposes, </w:t>
      </w:r>
      <w:proofErr w:type="spellStart"/>
      <w:r w:rsidRPr="00E97C3E">
        <w:rPr>
          <w:rFonts w:eastAsia="Calibri"/>
          <w:sz w:val="22"/>
          <w:szCs w:val="22"/>
        </w:rPr>
        <w:t>tRNS</w:t>
      </w:r>
      <w:proofErr w:type="spellEnd"/>
      <w:r w:rsidRPr="00E97C3E">
        <w:rPr>
          <w:rFonts w:eastAsia="Calibri"/>
          <w:sz w:val="22"/>
          <w:szCs w:val="22"/>
        </w:rPr>
        <w:t xml:space="preserve"> is imperceptible to most individuals, hence blinding is more effective</w:t>
      </w:r>
      <w:r w:rsidR="002C5867">
        <w:rPr>
          <w:rFonts w:eastAsia="Calibri"/>
          <w:sz w:val="22"/>
          <w:szCs w:val="22"/>
        </w:rPr>
        <w:t xml:space="preserve"> </w:t>
      </w:r>
      <w:r w:rsidRPr="00E97C3E">
        <w:rPr>
          <w:rFonts w:eastAsia="Calibri"/>
          <w:sz w:val="22"/>
          <w:szCs w:val="22"/>
        </w:rPr>
        <w:fldChar w:fldCharType="begin" w:fldLock="1"/>
      </w:r>
      <w:r w:rsidR="00365B9D">
        <w:rPr>
          <w:rFonts w:eastAsia="Calibri"/>
          <w:sz w:val="22"/>
          <w:szCs w:val="22"/>
        </w:rPr>
        <w:instrText>ADDIN CSL_CITATION {"citationItems":[{"id":"ITEM-1","itemData":{"DOI":"10.1523/JNEUROSCI.4248-08.2008","ISSN":"0270-6474","PMID":"19109497","abstract":"For &gt;20 years, noninvasive transcranial stimulation techniques like repetitive transcranial magnetic stimulation (rTMS) and direct current stimulation (tDCS) have been used to induce neuroplastic-like effects in the human cortex, leading to the activity-dependent modification of synaptic transmission. Here, we introduce a novel method of electrical stimulation: transcranial random noise stimulation (tRNS), whereby a random electrical oscillation spectrum is applied over the motor cortex. tRNS induces consistent excitability increases lasting 60 min after stimulation. These effects have been observed in 80 subjects through both physiological measures and behavioral tasks. Higher frequencies (100-640 Hz) appear to be responsible for generating this excitability increase, an effect that may be attributed to the repeated opening of Na(+) channels. In terms of efficacy tRNS appears to possess at least the same therapeutic potential as rTMS/tDCS in diseases such as depression, while furthermore avoiding the constraint of current flow direction sensitivity characteristic of tDCS.","author":[{"dropping-particle":"","family":"Terney","given":"D.","non-dropping-particle":"","parse-names":false,"suffix":""},{"dropping-particle":"","family":"Chaieb","given":"L.","non-dropping-particle":"","parse-names":false,"suffix":""},{"dropping-particle":"","family":"Moliadze","given":"V.","non-dropping-particle":"","parse-names":false,"suffix":""},{"dropping-particle":"","family":"Antal","given":"A.","non-dropping-particle":"","parse-names":false,"suffix":""},{"dropping-particle":"","family":"Paulus","given":"W.","non-dropping-particle":"","parse-names":false,"suffix":""}],"container-title":"Journal of Neuroscience","id":"ITEM-1","issue":"52","issued":{"date-parts":[["2008","12","24"]]},"page":"14147-14155","title":"Increasing Human Brain Excitability by Transcranial High-Frequency Random Noise Stimulation","type":"article-journal","volume":"28"},"uris":["http://www.mendeley.com/documents/?uuid=1a6a228a-39db-3e2a-9ae9-8f52656e9cef"]}],"mendeley":{"formattedCitation":"[8]","plainTextFormattedCitation":"[8]","previouslyFormattedCitation":"[8]"},"properties":{"noteIndex":0},"schema":"https://github.com/citation-style-language/schema/raw/master/csl-citation.json"}</w:instrText>
      </w:r>
      <w:r w:rsidRPr="00E97C3E">
        <w:rPr>
          <w:rFonts w:eastAsia="Calibri"/>
          <w:sz w:val="22"/>
          <w:szCs w:val="22"/>
        </w:rPr>
        <w:fldChar w:fldCharType="separate"/>
      </w:r>
      <w:r w:rsidR="002C5867" w:rsidRPr="002C5867">
        <w:rPr>
          <w:rFonts w:eastAsia="Calibri"/>
          <w:noProof/>
          <w:sz w:val="22"/>
          <w:szCs w:val="22"/>
        </w:rPr>
        <w:t>[8]</w:t>
      </w:r>
      <w:r w:rsidRPr="00E97C3E">
        <w:rPr>
          <w:rFonts w:eastAsia="Calibri"/>
          <w:sz w:val="22"/>
          <w:szCs w:val="22"/>
        </w:rPr>
        <w:fldChar w:fldCharType="end"/>
      </w:r>
      <w:r w:rsidRPr="00E97C3E">
        <w:rPr>
          <w:rFonts w:eastAsia="Calibri"/>
          <w:sz w:val="22"/>
          <w:szCs w:val="22"/>
        </w:rPr>
        <w:t xml:space="preserve">. A neurophysiological mechanism that forms the basis for the value of </w:t>
      </w:r>
      <w:proofErr w:type="spellStart"/>
      <w:r w:rsidRPr="00E97C3E">
        <w:rPr>
          <w:rFonts w:eastAsia="Calibri"/>
          <w:sz w:val="22"/>
          <w:szCs w:val="22"/>
        </w:rPr>
        <w:t>tRNS</w:t>
      </w:r>
      <w:proofErr w:type="spellEnd"/>
      <w:r w:rsidRPr="00E97C3E">
        <w:rPr>
          <w:rFonts w:eastAsia="Calibri"/>
          <w:sz w:val="22"/>
          <w:szCs w:val="22"/>
        </w:rPr>
        <w:t xml:space="preserve"> is stochastic resonance, a </w:t>
      </w:r>
      <w:r w:rsidRPr="00E97C3E">
        <w:rPr>
          <w:rFonts w:eastAsia="Malgun Gothic"/>
          <w:sz w:val="22"/>
          <w:szCs w:val="22"/>
        </w:rPr>
        <w:t>biological phenomenon in which a weak signal in the peripheral or central neuronal pathways is enhanced in the presence of low noise</w:t>
      </w:r>
      <w:r w:rsidR="002C5867">
        <w:rPr>
          <w:rFonts w:eastAsia="Malgun Gothic"/>
          <w:sz w:val="22"/>
          <w:szCs w:val="22"/>
        </w:rPr>
        <w:t xml:space="preserve"> </w:t>
      </w:r>
      <w:r w:rsidRPr="00E97C3E">
        <w:rPr>
          <w:rFonts w:eastAsia="Malgun Gothic"/>
          <w:sz w:val="22"/>
          <w:szCs w:val="22"/>
        </w:rPr>
        <w:fldChar w:fldCharType="begin" w:fldLock="1"/>
      </w:r>
      <w:r w:rsidR="00365B9D">
        <w:rPr>
          <w:rFonts w:eastAsia="Malgun Gothic"/>
          <w:sz w:val="22"/>
          <w:szCs w:val="22"/>
        </w:rPr>
        <w:instrText>ADDIN CSL_CITATION {"citationItems":[{"id":"ITEM-1","itemData":{"DOI":"10.1016/j.chemphys.2010.04.027","ISBN":"0301-0104","ISSN":"03010104","abstract":"We review how research on stochastic resonance (SR) in neuroscience has evolved and point out that the previous studies have overlooked the interaction between internal and external noise. We propose a new psychometric function incorporating SR effects, and show that a Bayesian adaptive method applied to the function efficiently estimates the parameters of the function. Using this procedure in visual detection experiments, we provide significant insight into the relationship between internal and external noise in SR within the human brain. ?? 2010 Elsevier B.V. All rights reserved.","author":[{"dropping-particle":"","family":"Aihara","given":"Takatsugu","non-dropping-particle":"","parse-names":false,"suffix":""},{"dropping-particle":"","family":"Kitajo","given":"Keiichi","non-dropping-particle":"","parse-names":false,"suffix":""},{"dropping-particle":"","family":"Nozaki","given":"Daichi","non-dropping-particle":"","parse-names":false,"suffix":""},{"dropping-particle":"","family":"Yamamoto","given":"Yoshiharu","non-dropping-particle":"","parse-names":false,"suffix":""}],"container-title":"Chemical Physics","id":"ITEM-1","issue":"2-3","issued":{"date-parts":[["2010"]]},"page":"616-624","publisher":"Elsevier B.V.","title":"How does stochastic resonance work within the human brain? - Psychophysics of internal and external noise","type":"article-journal","volume":"375"},"uris":["http://www.mendeley.com/documents/?uuid=08aa193f-5796-44b0-bf1d-1ae64a0ac3a5"]}],"mendeley":{"formattedCitation":"[9]","plainTextFormattedCitation":"[9]","previouslyFormattedCitation":"[9]"},"properties":{"noteIndex":0},"schema":"https://github.com/citation-style-language/schema/raw/master/csl-citation.json"}</w:instrText>
      </w:r>
      <w:r w:rsidRPr="00E97C3E">
        <w:rPr>
          <w:rFonts w:eastAsia="Malgun Gothic"/>
          <w:sz w:val="22"/>
          <w:szCs w:val="22"/>
        </w:rPr>
        <w:fldChar w:fldCharType="separate"/>
      </w:r>
      <w:r w:rsidR="002C5867" w:rsidRPr="002C5867">
        <w:rPr>
          <w:rFonts w:eastAsia="Malgun Gothic"/>
          <w:noProof/>
          <w:sz w:val="22"/>
          <w:szCs w:val="22"/>
        </w:rPr>
        <w:t>[9]</w:t>
      </w:r>
      <w:r w:rsidRPr="00E97C3E">
        <w:rPr>
          <w:rFonts w:eastAsia="Malgun Gothic"/>
          <w:sz w:val="22"/>
          <w:szCs w:val="22"/>
        </w:rPr>
        <w:fldChar w:fldCharType="end"/>
      </w:r>
      <w:r w:rsidRPr="00E97C3E">
        <w:rPr>
          <w:rFonts w:eastAsia="Malgun Gothic"/>
          <w:sz w:val="22"/>
          <w:szCs w:val="22"/>
        </w:rPr>
        <w:t xml:space="preserve">. </w:t>
      </w:r>
      <w:r w:rsidRPr="00E97C3E">
        <w:rPr>
          <w:rFonts w:eastAsia="Calibri"/>
          <w:sz w:val="22"/>
          <w:szCs w:val="22"/>
        </w:rPr>
        <w:t xml:space="preserve">The literature has indicated that </w:t>
      </w:r>
      <w:proofErr w:type="spellStart"/>
      <w:r w:rsidRPr="00E97C3E">
        <w:rPr>
          <w:rFonts w:eastAsia="Calibri"/>
          <w:sz w:val="22"/>
          <w:szCs w:val="22"/>
        </w:rPr>
        <w:t>tRNS</w:t>
      </w:r>
      <w:proofErr w:type="spellEnd"/>
      <w:r w:rsidRPr="00E97C3E">
        <w:rPr>
          <w:rFonts w:eastAsia="Calibri"/>
          <w:sz w:val="22"/>
          <w:szCs w:val="22"/>
        </w:rPr>
        <w:t>, when applied to the motor cortex, can induce facilitatory effects and enhance motor learning in healthy adults</w:t>
      </w:r>
      <w:r w:rsidR="002C5867">
        <w:rPr>
          <w:rFonts w:eastAsia="Calibri"/>
          <w:sz w:val="22"/>
          <w:szCs w:val="22"/>
        </w:rPr>
        <w:t xml:space="preserve"> </w:t>
      </w:r>
      <w:r w:rsidRPr="00E97C3E">
        <w:rPr>
          <w:rFonts w:eastAsia="Calibri"/>
          <w:sz w:val="22"/>
          <w:szCs w:val="22"/>
        </w:rPr>
        <w:fldChar w:fldCharType="begin" w:fldLock="1"/>
      </w:r>
      <w:r w:rsidR="00365B9D">
        <w:rPr>
          <w:rFonts w:eastAsia="Calibri"/>
          <w:sz w:val="22"/>
          <w:szCs w:val="22"/>
        </w:rPr>
        <w:instrText>ADDIN CSL_CITATION {"citationItems":[{"id":"ITEM-1","itemData":{"DOI":"10.1523/JNEUROSCI.4248-08.2008","ISSN":"0270-6474","PMID":"19109497","abstract":"For &gt;20 years, noninvasive transcranial stimulation techniques like repetitive transcranial magnetic stimulation (rTMS) and direct current stimulation (tDCS) have been used to induce neuroplastic-like effects in the human cortex, leading to the activity-dependent modification of synaptic transmission. Here, we introduce a novel method of electrical stimulation: transcranial random noise stimulation (tRNS), whereby a random electrical oscillation spectrum is applied over the motor cortex. tRNS induces consistent excitability increases lasting 60 min after stimulation. These effects have been observed in 80 subjects through both physiological measures and behavioral tasks. Higher frequencies (100-640 Hz) appear to be responsible for generating this excitability increase, an effect that may be attributed to the repeated opening of Na(+) channels. In terms of efficacy tRNS appears to possess at least the same therapeutic potential as rTMS/tDCS in diseases such as depression, while furthermore avoiding the constraint of current flow direction sensitivity characteristic of tDCS.","author":[{"dropping-particle":"","family":"Terney","given":"D.","non-dropping-particle":"","parse-names":false,"suffix":""},{"dropping-particle":"","family":"Chaieb","given":"L.","non-dropping-particle":"","parse-names":false,"suffix":""},{"dropping-particle":"","family":"Moliadze","given":"V.","non-dropping-particle":"","parse-names":false,"suffix":""},{"dropping-particle":"","family":"Antal","given":"A.","non-dropping-particle":"","parse-names":false,"suffix":""},{"dropping-particle":"","family":"Paulus","given":"W.","non-dropping-particle":"","parse-names":false,"suffix":""}],"container-title":"Journal of Neuroscience","id":"ITEM-1","issue":"52","issued":{"date-parts":[["2008","12","24"]]},"page":"14147-14155","title":"Increasing Human Brain Excitability by Transcranial High-Frequency Random Noise Stimulation","type":"article-journal","volume":"28"},"uris":["http://www.mendeley.com/documents/?uuid=1a6a228a-39db-3e2a-9ae9-8f52656e9cef"]},{"id":"ITEM-2","itemData":{"DOI":"10.1016/j.brs.2014.04.005","ISSN":"1876-4754","PMID":"24810956","abstract":"BACKGROUND Noninvasive electrical brain stimulation (NEBS) with transcranial direct current (tDCS) or random noise stimulation (tRNS) applied to the primary motor cortex (M1) can augment motor learning. OBJECTIVE We tested whether different types of stimulation alter particular aspects of learning a tracing task over three consecutive days, namely skill acquisition (online/within session effects) or consolidation (offline/between session effects). METHODS Motor training on a tracing task over three consecutive days was combined with different types and montages of stimulation (tDCS, tRNS). RESULTS Unilateral M1 stimulation using tRNS as well as unilateral and bilateral M1 tDCS all enhanced motor skill learning compared to sham stimulation. In all groups, this appeared to be driven by online effects without an additional offline effect. Unilateral tDCS resulted in large skill gains immediately following the onset of stimulation, while tRNS exerted more gradual effects. Control stimulation of the right temporal lobe did not enhance skill learning relative to sham. CONCLUSIONS The mechanisms of action of tDCS and tRNS are likely different. Hence, the time course of skill improvement within sessions could point to specific and temporally distinct interactions with the physiological process of motor skill learning. Exploring the parameters of NEBS on different tasks and in patients with brain injury will allow us to maximize the benefits of NEBS for neurorehabilitation.","author":[{"dropping-particle":"","family":"Prichard","given":"George","non-dropping-particle":"","parse-names":false,"suffix":""},{"dropping-particle":"","family":"Weiller","given":"Cornelius","non-dropping-particle":"","parse-names":false,"suffix":""},{"dropping-particle":"","family":"Fritsch","given":"Brita","non-dropping-particle":"","parse-names":false,"suffix":""},{"dropping-particle":"","family":"Reis","given":"Janine","non-dropping-particle":"","parse-names":false,"suffix":""}],"container-title":"Brain stimulation","id":"ITEM-2","issue":"4","issued":{"date-parts":[["2014","7"]]},"page":"532-40","title":"Effects of different electrical brain stimulation protocols on subcomponents of motor skill learning.","type":"article-journal","volume":"7"},"uris":["http://www.mendeley.com/documents/?uuid=921eb34c-e882-3812-8981-c9fed3fc6cad"]}],"mendeley":{"formattedCitation":"[8, 10]","plainTextFormattedCitation":"[8, 10]","previouslyFormattedCitation":"[8, 10]"},"properties":{"noteIndex":0},"schema":"https://github.com/citation-style-language/schema/raw/master/csl-citation.json"}</w:instrText>
      </w:r>
      <w:r w:rsidRPr="00E97C3E">
        <w:rPr>
          <w:rFonts w:eastAsia="Calibri"/>
          <w:sz w:val="22"/>
          <w:szCs w:val="22"/>
        </w:rPr>
        <w:fldChar w:fldCharType="separate"/>
      </w:r>
      <w:r w:rsidR="002C5867" w:rsidRPr="002C5867">
        <w:rPr>
          <w:rFonts w:eastAsia="Calibri"/>
          <w:noProof/>
          <w:sz w:val="22"/>
          <w:szCs w:val="22"/>
        </w:rPr>
        <w:t>[8, 10]</w:t>
      </w:r>
      <w:r w:rsidRPr="00E97C3E">
        <w:rPr>
          <w:rFonts w:eastAsia="Calibri"/>
          <w:sz w:val="22"/>
          <w:szCs w:val="22"/>
        </w:rPr>
        <w:fldChar w:fldCharType="end"/>
      </w:r>
      <w:r w:rsidRPr="00E97C3E">
        <w:rPr>
          <w:rFonts w:eastAsia="Calibri"/>
          <w:sz w:val="22"/>
          <w:szCs w:val="22"/>
        </w:rPr>
        <w:t xml:space="preserve">.  Yet, there are no studies to date investigating the efficacy of </w:t>
      </w:r>
      <w:proofErr w:type="spellStart"/>
      <w:r w:rsidRPr="00E97C3E">
        <w:rPr>
          <w:rFonts w:eastAsia="Calibri"/>
          <w:sz w:val="22"/>
          <w:szCs w:val="22"/>
        </w:rPr>
        <w:t>tRNS</w:t>
      </w:r>
      <w:proofErr w:type="spellEnd"/>
      <w:r w:rsidRPr="00E97C3E">
        <w:rPr>
          <w:rFonts w:eastAsia="Calibri"/>
          <w:sz w:val="22"/>
          <w:szCs w:val="22"/>
        </w:rPr>
        <w:t xml:space="preserve"> on unimanual or bimanual UE functionality in individuals with tetraplegia</w:t>
      </w:r>
      <w:r w:rsidR="00580220">
        <w:rPr>
          <w:rFonts w:eastAsia="Calibri"/>
          <w:sz w:val="22"/>
          <w:szCs w:val="22"/>
        </w:rPr>
        <w:t>.</w:t>
      </w:r>
    </w:p>
    <w:p w14:paraId="42ED9AB0" w14:textId="77777777" w:rsidR="00E97C3E" w:rsidRPr="00580220" w:rsidRDefault="00E97C3E" w:rsidP="007862C3">
      <w:pPr>
        <w:pStyle w:val="BodyText2"/>
        <w:tabs>
          <w:tab w:val="left" w:pos="720"/>
        </w:tabs>
        <w:spacing w:line="240" w:lineRule="auto"/>
        <w:ind w:left="720" w:right="-115" w:firstLine="576"/>
        <w:jc w:val="both"/>
        <w:rPr>
          <w:rFonts w:eastAsia="Calibri"/>
          <w:sz w:val="22"/>
          <w:szCs w:val="22"/>
        </w:rPr>
      </w:pPr>
      <w:r w:rsidRPr="00E97C3E">
        <w:rPr>
          <w:rFonts w:eastAsia="Calibri"/>
          <w:sz w:val="22"/>
          <w:szCs w:val="22"/>
        </w:rPr>
        <w:t>Improving UE functional performance, even to a small extent, may have significant implications for the overall quality of life in individuals with SCI</w:t>
      </w:r>
      <w:r w:rsidR="00457D4C">
        <w:rPr>
          <w:rFonts w:eastAsia="Calibri"/>
          <w:sz w:val="22"/>
          <w:szCs w:val="22"/>
        </w:rPr>
        <w:t xml:space="preserve"> </w:t>
      </w:r>
      <w:r w:rsidR="00906C02">
        <w:rPr>
          <w:rFonts w:eastAsia="Calibri"/>
          <w:sz w:val="22"/>
          <w:szCs w:val="22"/>
        </w:rPr>
        <w:fldChar w:fldCharType="begin" w:fldLock="1"/>
      </w:r>
      <w:r w:rsidR="004C530D">
        <w:rPr>
          <w:rFonts w:eastAsia="Calibri"/>
          <w:sz w:val="22"/>
          <w:szCs w:val="22"/>
        </w:rPr>
        <w:instrText>ADDIN CSL_CITATION {"citationItems":[{"id":"ITEM-1","itemData":{"DOI":"10.1038/sj.sc.3101638","ISSN":"1362-4393","abstract":"Survey of the needs of patients with spinal cord injury: impact and priority for improvement in hand function in tetraplegics","author":[{"dropping-particle":"","family":"Snoek","given":"G J","non-dropping-particle":"","parse-names":false,"suffix":""},{"dropping-particle":"","family":"IJzerman","given":"M J","non-dropping-particle":"","parse-names":false,"suffix":""},{"dropping-particle":"","family":"Hermens","given":"H J","non-dropping-particle":"","parse-names":false,"suffix":""},{"dropping-particle":"","family":"Maxwell","given":"D","non-dropping-particle":"","parse-names":false,"suffix":""},{"dropping-particle":"","family":"Biering-Sorensen","given":"F","non-dropping-particle":"","parse-names":false,"suffix":""}],"container-title":"Spinal Cord","id":"ITEM-1","issue":"9","issued":{"date-parts":[["2004","9","29"]]},"page":"526-532","publisher":"Nature Publishing Group","title":"Survey of the needs of patients with spinal cord injury: impact and priority for improvement in hand function in tetraplegics","type":"article-journal","volume":"42"},"uris":["http://www.mendeley.com/documents/?uuid=baadc2a1-985f-3ef5-bee2-289ef1f5dcd2"]}],"mendeley":{"formattedCitation":"[11]","plainTextFormattedCitation":"[11]","previouslyFormattedCitation":"[11]"},"properties":{"noteIndex":0},"schema":"https://github.com/citation-style-language/schema/raw/master/csl-citation.json"}</w:instrText>
      </w:r>
      <w:r w:rsidR="00906C02">
        <w:rPr>
          <w:rFonts w:eastAsia="Calibri"/>
          <w:sz w:val="22"/>
          <w:szCs w:val="22"/>
        </w:rPr>
        <w:fldChar w:fldCharType="separate"/>
      </w:r>
      <w:r w:rsidR="00906C02" w:rsidRPr="00906C02">
        <w:rPr>
          <w:rFonts w:eastAsia="Calibri"/>
          <w:noProof/>
          <w:sz w:val="22"/>
          <w:szCs w:val="22"/>
        </w:rPr>
        <w:t>[11]</w:t>
      </w:r>
      <w:r w:rsidR="00906C02">
        <w:rPr>
          <w:rFonts w:eastAsia="Calibri"/>
          <w:sz w:val="22"/>
          <w:szCs w:val="22"/>
        </w:rPr>
        <w:fldChar w:fldCharType="end"/>
      </w:r>
      <w:r w:rsidRPr="00E97C3E">
        <w:rPr>
          <w:rFonts w:eastAsia="Calibri"/>
          <w:sz w:val="22"/>
          <w:szCs w:val="22"/>
        </w:rPr>
        <w:t xml:space="preserve">. This study represents an important step in the development of clinically accessible rehabilitative interventions to prevent the downward spiral of UE motor dysfunction that occurs following cervical SCI. Specifically, we aim to investigate the efficacy of combined </w:t>
      </w:r>
      <w:proofErr w:type="spellStart"/>
      <w:r w:rsidRPr="00E97C3E">
        <w:rPr>
          <w:rFonts w:eastAsia="Calibri"/>
          <w:sz w:val="22"/>
          <w:szCs w:val="22"/>
        </w:rPr>
        <w:t>unihemispheric</w:t>
      </w:r>
      <w:proofErr w:type="spellEnd"/>
      <w:r w:rsidRPr="00E97C3E">
        <w:rPr>
          <w:rFonts w:eastAsia="Calibri"/>
          <w:sz w:val="22"/>
          <w:szCs w:val="22"/>
        </w:rPr>
        <w:t xml:space="preserve"> </w:t>
      </w:r>
      <w:proofErr w:type="spellStart"/>
      <w:r w:rsidRPr="00E97C3E">
        <w:rPr>
          <w:rFonts w:eastAsia="Calibri"/>
          <w:sz w:val="22"/>
          <w:szCs w:val="22"/>
        </w:rPr>
        <w:t>tRNS</w:t>
      </w:r>
      <w:proofErr w:type="spellEnd"/>
      <w:r w:rsidRPr="00E97C3E">
        <w:rPr>
          <w:rFonts w:eastAsia="Calibri"/>
          <w:sz w:val="22"/>
          <w:szCs w:val="22"/>
        </w:rPr>
        <w:t xml:space="preserve"> and FMT to enhance neuroplasticity for improved UE motor and sensory function in these persons. This project is innovative; it is the first time that the effects of </w:t>
      </w:r>
      <w:proofErr w:type="spellStart"/>
      <w:r w:rsidRPr="00E97C3E">
        <w:rPr>
          <w:rFonts w:eastAsia="Calibri"/>
          <w:sz w:val="22"/>
          <w:szCs w:val="22"/>
        </w:rPr>
        <w:t>tRNS</w:t>
      </w:r>
      <w:proofErr w:type="spellEnd"/>
      <w:r w:rsidRPr="00E97C3E">
        <w:rPr>
          <w:rFonts w:eastAsia="Calibri"/>
          <w:sz w:val="22"/>
          <w:szCs w:val="22"/>
        </w:rPr>
        <w:t xml:space="preserve"> on cortical excitability in individuals with SCI will be examined. This therapeutic intervention is significant as it has the potential to strengthen transmission through the residual pathways following SCI thereby promoting unimanual and bimanual motor and functional recovery. If </w:t>
      </w:r>
      <w:proofErr w:type="spellStart"/>
      <w:r w:rsidRPr="00E97C3E">
        <w:rPr>
          <w:rFonts w:eastAsia="Calibri"/>
          <w:sz w:val="22"/>
          <w:szCs w:val="22"/>
        </w:rPr>
        <w:t>tRNS</w:t>
      </w:r>
      <w:proofErr w:type="spellEnd"/>
      <w:r w:rsidRPr="00E97C3E">
        <w:rPr>
          <w:rFonts w:eastAsia="Calibri"/>
          <w:sz w:val="22"/>
          <w:szCs w:val="22"/>
        </w:rPr>
        <w:t xml:space="preserve"> can modulate corticospinal excitability, it may be a promising tool that could meaningfully advance neurorehabilitation research and therapeutic management in the field of SCI.</w:t>
      </w:r>
    </w:p>
    <w:p w14:paraId="30543345" w14:textId="77777777" w:rsidR="00DB6382" w:rsidRDefault="009D622A" w:rsidP="0000634E">
      <w:pPr>
        <w:jc w:val="both"/>
        <w:rPr>
          <w:b/>
          <w:sz w:val="22"/>
          <w:szCs w:val="22"/>
        </w:rPr>
      </w:pPr>
      <w:proofErr w:type="gramStart"/>
      <w:r w:rsidRPr="0074014D">
        <w:rPr>
          <w:b/>
          <w:sz w:val="22"/>
          <w:szCs w:val="22"/>
        </w:rPr>
        <w:t xml:space="preserve">2.0  </w:t>
      </w:r>
      <w:r w:rsidRPr="0074014D">
        <w:rPr>
          <w:b/>
          <w:sz w:val="22"/>
          <w:szCs w:val="22"/>
        </w:rPr>
        <w:tab/>
      </w:r>
      <w:proofErr w:type="gramEnd"/>
      <w:r w:rsidRPr="0074014D">
        <w:rPr>
          <w:b/>
          <w:sz w:val="22"/>
          <w:szCs w:val="22"/>
        </w:rPr>
        <w:t xml:space="preserve">Study </w:t>
      </w:r>
      <w:r w:rsidR="00DC0B5B" w:rsidRPr="0074014D">
        <w:rPr>
          <w:b/>
          <w:sz w:val="22"/>
          <w:szCs w:val="22"/>
        </w:rPr>
        <w:t>Aims</w:t>
      </w:r>
    </w:p>
    <w:p w14:paraId="293FB609" w14:textId="77777777" w:rsidR="00580220" w:rsidRDefault="00580220" w:rsidP="0000634E">
      <w:pPr>
        <w:ind w:left="720" w:firstLine="720"/>
        <w:jc w:val="both"/>
        <w:rPr>
          <w:rFonts w:cs="Arial"/>
          <w:sz w:val="22"/>
          <w:szCs w:val="22"/>
        </w:rPr>
      </w:pPr>
      <w:r w:rsidRPr="00580220">
        <w:rPr>
          <w:rFonts w:cs="Arial"/>
          <w:sz w:val="22"/>
          <w:szCs w:val="22"/>
        </w:rPr>
        <w:t xml:space="preserve">In individuals with tetraplegia (≥ </w:t>
      </w:r>
      <w:r w:rsidR="00906C02">
        <w:rPr>
          <w:rFonts w:cs="Arial"/>
          <w:sz w:val="22"/>
          <w:szCs w:val="22"/>
        </w:rPr>
        <w:t>1 year</w:t>
      </w:r>
      <w:r w:rsidRPr="00580220">
        <w:rPr>
          <w:rFonts w:cs="Arial"/>
          <w:sz w:val="22"/>
          <w:szCs w:val="22"/>
        </w:rPr>
        <w:t xml:space="preserve"> post injury) who have at least trace extrinsic control of both hands, and one hand that has at least trace intrinsic control (thenar</w:t>
      </w:r>
      <w:r w:rsidR="00033AC2">
        <w:rPr>
          <w:rFonts w:cs="Arial"/>
          <w:sz w:val="22"/>
          <w:szCs w:val="22"/>
        </w:rPr>
        <w:t xml:space="preserve">, </w:t>
      </w:r>
      <w:r w:rsidR="00CF3E98">
        <w:rPr>
          <w:sz w:val="22"/>
          <w:szCs w:val="22"/>
        </w:rPr>
        <w:t>first dorsal interosseous</w:t>
      </w:r>
      <w:r w:rsidR="003F1E9F">
        <w:rPr>
          <w:sz w:val="22"/>
          <w:szCs w:val="22"/>
        </w:rPr>
        <w:t>,</w:t>
      </w:r>
      <w:r w:rsidRPr="00580220">
        <w:rPr>
          <w:rFonts w:cs="Arial"/>
          <w:sz w:val="22"/>
          <w:szCs w:val="22"/>
        </w:rPr>
        <w:t xml:space="preserve"> hypothenar), we propose to investigate the efficacy of a 3-day combined </w:t>
      </w:r>
      <w:proofErr w:type="spellStart"/>
      <w:r w:rsidRPr="00580220">
        <w:rPr>
          <w:rFonts w:cs="Arial"/>
          <w:sz w:val="22"/>
          <w:szCs w:val="22"/>
        </w:rPr>
        <w:t>tRNS</w:t>
      </w:r>
      <w:proofErr w:type="spellEnd"/>
      <w:r w:rsidRPr="00580220">
        <w:rPr>
          <w:rFonts w:cs="Arial"/>
          <w:sz w:val="22"/>
          <w:szCs w:val="22"/>
        </w:rPr>
        <w:t xml:space="preserve"> and fine motor training (FMT) on descending cortical drive to enhance UE functional recovery. For the purposes of this study, regardless of the severity of the SCI injury, sufficient volitional control of intrinsic and extrinsic hand muscles suggests that there is potential for increased cortical drive through the spared connections for improving UE function.  </w:t>
      </w:r>
    </w:p>
    <w:p w14:paraId="0C373431" w14:textId="77777777" w:rsidR="006C1086" w:rsidRPr="00580220" w:rsidRDefault="006C1086" w:rsidP="0000634E">
      <w:pPr>
        <w:ind w:left="720" w:firstLine="720"/>
        <w:jc w:val="both"/>
        <w:rPr>
          <w:rFonts w:cs="Arial"/>
          <w:sz w:val="22"/>
          <w:szCs w:val="22"/>
        </w:rPr>
      </w:pPr>
    </w:p>
    <w:p w14:paraId="3CD9E2C4" w14:textId="77777777" w:rsidR="00580220" w:rsidRPr="00580220" w:rsidRDefault="00580220" w:rsidP="0000634E">
      <w:pPr>
        <w:ind w:left="1170" w:hanging="450"/>
        <w:jc w:val="both"/>
        <w:rPr>
          <w:rFonts w:cs="Arial"/>
          <w:sz w:val="22"/>
          <w:szCs w:val="22"/>
        </w:rPr>
      </w:pPr>
      <w:r>
        <w:rPr>
          <w:rFonts w:cs="Arial"/>
          <w:sz w:val="22"/>
          <w:szCs w:val="22"/>
        </w:rPr>
        <w:t xml:space="preserve">        </w:t>
      </w:r>
      <w:r w:rsidRPr="00580220">
        <w:rPr>
          <w:rFonts w:cs="Arial"/>
          <w:b/>
          <w:sz w:val="22"/>
          <w:szCs w:val="22"/>
          <w:u w:val="single"/>
        </w:rPr>
        <w:t>Specific Aim 1</w:t>
      </w:r>
      <w:r w:rsidRPr="00580220">
        <w:rPr>
          <w:rFonts w:cs="Arial"/>
          <w:sz w:val="22"/>
          <w:szCs w:val="22"/>
        </w:rPr>
        <w:t xml:space="preserve">: Compare effects </w:t>
      </w:r>
      <w:r w:rsidR="00906C02" w:rsidRPr="00580220">
        <w:rPr>
          <w:rFonts w:cs="Arial"/>
          <w:sz w:val="22"/>
          <w:szCs w:val="22"/>
        </w:rPr>
        <w:t xml:space="preserve">on cortical excitability </w:t>
      </w:r>
      <w:r w:rsidRPr="00580220">
        <w:rPr>
          <w:rFonts w:cs="Arial"/>
          <w:sz w:val="22"/>
          <w:szCs w:val="22"/>
        </w:rPr>
        <w:t xml:space="preserve">of a 3-day </w:t>
      </w:r>
      <w:proofErr w:type="spellStart"/>
      <w:r w:rsidRPr="00580220">
        <w:rPr>
          <w:rFonts w:cs="Arial"/>
          <w:sz w:val="22"/>
          <w:szCs w:val="22"/>
        </w:rPr>
        <w:t>tRNS+FMT</w:t>
      </w:r>
      <w:proofErr w:type="spellEnd"/>
      <w:r w:rsidR="00906C02">
        <w:rPr>
          <w:rFonts w:cs="Arial"/>
          <w:sz w:val="22"/>
          <w:szCs w:val="22"/>
        </w:rPr>
        <w:t xml:space="preserve"> protocol to </w:t>
      </w:r>
      <w:proofErr w:type="spellStart"/>
      <w:r w:rsidR="00906C02">
        <w:rPr>
          <w:rFonts w:cs="Arial"/>
          <w:sz w:val="22"/>
          <w:szCs w:val="22"/>
        </w:rPr>
        <w:t>tDCS+FMT</w:t>
      </w:r>
      <w:proofErr w:type="spellEnd"/>
      <w:r w:rsidR="00906C02">
        <w:rPr>
          <w:rFonts w:cs="Arial"/>
          <w:sz w:val="22"/>
          <w:szCs w:val="22"/>
        </w:rPr>
        <w:t xml:space="preserve"> and </w:t>
      </w:r>
      <w:r w:rsidRPr="00580220">
        <w:rPr>
          <w:rFonts w:cs="Arial"/>
          <w:sz w:val="22"/>
          <w:szCs w:val="22"/>
        </w:rPr>
        <w:t xml:space="preserve">sham </w:t>
      </w:r>
      <w:proofErr w:type="spellStart"/>
      <w:r w:rsidRPr="00580220">
        <w:rPr>
          <w:rFonts w:cs="Arial"/>
          <w:sz w:val="22"/>
          <w:szCs w:val="22"/>
        </w:rPr>
        <w:t>stimulation+FMT</w:t>
      </w:r>
      <w:proofErr w:type="spellEnd"/>
      <w:r w:rsidR="00906C02">
        <w:rPr>
          <w:rFonts w:cs="Arial"/>
          <w:sz w:val="22"/>
          <w:szCs w:val="22"/>
        </w:rPr>
        <w:t xml:space="preserve"> </w:t>
      </w:r>
      <w:r w:rsidRPr="00580220">
        <w:rPr>
          <w:rFonts w:cs="Arial"/>
          <w:sz w:val="22"/>
          <w:szCs w:val="22"/>
        </w:rPr>
        <w:t>in individuals with tetraplegia.</w:t>
      </w:r>
    </w:p>
    <w:p w14:paraId="0DDD3E11" w14:textId="77777777" w:rsidR="00580220" w:rsidRPr="00580220" w:rsidRDefault="00580220" w:rsidP="0000634E">
      <w:pPr>
        <w:ind w:left="1170"/>
        <w:jc w:val="both"/>
        <w:rPr>
          <w:rFonts w:cs="Arial"/>
          <w:sz w:val="22"/>
          <w:szCs w:val="22"/>
        </w:rPr>
      </w:pPr>
      <w:r w:rsidRPr="00580220">
        <w:rPr>
          <w:rFonts w:cs="Arial"/>
          <w:b/>
          <w:sz w:val="22"/>
          <w:szCs w:val="22"/>
          <w:u w:val="single"/>
        </w:rPr>
        <w:lastRenderedPageBreak/>
        <w:t>Specific Aim 2:</w:t>
      </w:r>
      <w:r w:rsidRPr="00580220">
        <w:rPr>
          <w:rFonts w:cs="Arial"/>
          <w:sz w:val="22"/>
          <w:szCs w:val="22"/>
        </w:rPr>
        <w:t xml:space="preserve"> Compare effects </w:t>
      </w:r>
      <w:r w:rsidR="00906C02">
        <w:rPr>
          <w:rFonts w:cs="Arial"/>
          <w:sz w:val="22"/>
          <w:szCs w:val="22"/>
        </w:rPr>
        <w:t xml:space="preserve">on </w:t>
      </w:r>
      <w:r w:rsidR="00906C02" w:rsidRPr="00580220">
        <w:rPr>
          <w:rFonts w:cs="Arial"/>
          <w:sz w:val="22"/>
          <w:szCs w:val="22"/>
        </w:rPr>
        <w:t xml:space="preserve">motor and sensory function </w:t>
      </w:r>
      <w:r w:rsidRPr="00580220">
        <w:rPr>
          <w:rFonts w:cs="Arial"/>
          <w:sz w:val="22"/>
          <w:szCs w:val="22"/>
        </w:rPr>
        <w:t xml:space="preserve">of </w:t>
      </w:r>
      <w:r w:rsidR="00906C02">
        <w:rPr>
          <w:rFonts w:cs="Arial"/>
          <w:sz w:val="22"/>
          <w:szCs w:val="22"/>
        </w:rPr>
        <w:t xml:space="preserve">a 3-day </w:t>
      </w:r>
      <w:proofErr w:type="spellStart"/>
      <w:r w:rsidRPr="00580220">
        <w:rPr>
          <w:rFonts w:cs="Arial"/>
          <w:sz w:val="22"/>
          <w:szCs w:val="22"/>
        </w:rPr>
        <w:t>tRNS+FMT</w:t>
      </w:r>
      <w:proofErr w:type="spellEnd"/>
      <w:r w:rsidR="00906C02">
        <w:rPr>
          <w:rFonts w:cs="Arial"/>
          <w:sz w:val="22"/>
          <w:szCs w:val="22"/>
        </w:rPr>
        <w:t xml:space="preserve"> protocol to </w:t>
      </w:r>
      <w:proofErr w:type="spellStart"/>
      <w:r w:rsidR="00906C02">
        <w:rPr>
          <w:rFonts w:cs="Arial"/>
          <w:sz w:val="22"/>
          <w:szCs w:val="22"/>
        </w:rPr>
        <w:t>tDCS+FMT</w:t>
      </w:r>
      <w:proofErr w:type="spellEnd"/>
      <w:r w:rsidR="00906C02">
        <w:rPr>
          <w:rFonts w:cs="Arial"/>
          <w:sz w:val="22"/>
          <w:szCs w:val="22"/>
        </w:rPr>
        <w:t xml:space="preserve"> and </w:t>
      </w:r>
      <w:r w:rsidR="00906C02" w:rsidRPr="00580220">
        <w:rPr>
          <w:rFonts w:cs="Arial"/>
          <w:sz w:val="22"/>
          <w:szCs w:val="22"/>
        </w:rPr>
        <w:t xml:space="preserve">sham </w:t>
      </w:r>
      <w:proofErr w:type="spellStart"/>
      <w:r w:rsidR="00906C02" w:rsidRPr="00580220">
        <w:rPr>
          <w:rFonts w:cs="Arial"/>
          <w:sz w:val="22"/>
          <w:szCs w:val="22"/>
        </w:rPr>
        <w:t>stimulation+FMT</w:t>
      </w:r>
      <w:proofErr w:type="spellEnd"/>
      <w:r w:rsidR="00906C02">
        <w:rPr>
          <w:rFonts w:cs="Arial"/>
          <w:sz w:val="22"/>
          <w:szCs w:val="22"/>
        </w:rPr>
        <w:t xml:space="preserve"> </w:t>
      </w:r>
      <w:r w:rsidRPr="00580220">
        <w:rPr>
          <w:rFonts w:cs="Arial"/>
          <w:sz w:val="22"/>
          <w:szCs w:val="22"/>
        </w:rPr>
        <w:t>in individuals with tetraplegia.</w:t>
      </w:r>
    </w:p>
    <w:p w14:paraId="7BA2C2E0" w14:textId="77777777" w:rsidR="00D04E86" w:rsidRPr="0044227B" w:rsidRDefault="00114B0D" w:rsidP="00785AFC">
      <w:pPr>
        <w:rPr>
          <w:sz w:val="22"/>
          <w:szCs w:val="22"/>
        </w:rPr>
      </w:pPr>
      <w:r w:rsidRPr="0044227B">
        <w:rPr>
          <w:b/>
          <w:sz w:val="22"/>
          <w:szCs w:val="22"/>
        </w:rPr>
        <w:tab/>
      </w:r>
    </w:p>
    <w:p w14:paraId="2E1B0E20" w14:textId="77777777" w:rsidR="009D622A" w:rsidRPr="0044227B" w:rsidRDefault="009D622A">
      <w:pPr>
        <w:pStyle w:val="BodyTextIndent"/>
        <w:ind w:left="0"/>
        <w:rPr>
          <w:b/>
          <w:sz w:val="22"/>
          <w:szCs w:val="22"/>
        </w:rPr>
      </w:pPr>
      <w:r w:rsidRPr="0044227B">
        <w:rPr>
          <w:b/>
          <w:sz w:val="22"/>
          <w:szCs w:val="22"/>
        </w:rPr>
        <w:t>3.0</w:t>
      </w:r>
      <w:r w:rsidRPr="0044227B">
        <w:rPr>
          <w:b/>
          <w:sz w:val="22"/>
          <w:szCs w:val="22"/>
        </w:rPr>
        <w:tab/>
        <w:t>Study Design</w:t>
      </w:r>
    </w:p>
    <w:p w14:paraId="5EF9BA1D" w14:textId="77777777" w:rsidR="00177795" w:rsidRDefault="00177795" w:rsidP="0019530F">
      <w:pPr>
        <w:pStyle w:val="BodyTextIndent"/>
        <w:rPr>
          <w:b/>
          <w:sz w:val="22"/>
          <w:szCs w:val="22"/>
        </w:rPr>
      </w:pPr>
    </w:p>
    <w:p w14:paraId="2D65D83B" w14:textId="77777777" w:rsidR="0011075B" w:rsidRPr="0044227B" w:rsidRDefault="0019530F" w:rsidP="0019530F">
      <w:pPr>
        <w:pStyle w:val="BodyTextIndent"/>
        <w:rPr>
          <w:b/>
          <w:sz w:val="22"/>
          <w:szCs w:val="22"/>
        </w:rPr>
      </w:pPr>
      <w:r w:rsidRPr="0044227B">
        <w:rPr>
          <w:b/>
          <w:sz w:val="22"/>
          <w:szCs w:val="22"/>
        </w:rPr>
        <w:t>3.1</w:t>
      </w:r>
      <w:r w:rsidRPr="0044227B">
        <w:rPr>
          <w:b/>
          <w:sz w:val="22"/>
          <w:szCs w:val="22"/>
        </w:rPr>
        <w:tab/>
      </w:r>
      <w:r w:rsidR="009D622A" w:rsidRPr="0044227B">
        <w:rPr>
          <w:b/>
          <w:sz w:val="22"/>
          <w:szCs w:val="22"/>
        </w:rPr>
        <w:t>Definitions</w:t>
      </w:r>
    </w:p>
    <w:p w14:paraId="37252647" w14:textId="77777777" w:rsidR="000512CA" w:rsidRPr="0044227B" w:rsidRDefault="0011075B" w:rsidP="0019530F">
      <w:pPr>
        <w:pStyle w:val="BodyTextIndent"/>
        <w:rPr>
          <w:sz w:val="22"/>
          <w:szCs w:val="22"/>
        </w:rPr>
      </w:pPr>
      <w:r w:rsidRPr="0044227B">
        <w:rPr>
          <w:b/>
          <w:sz w:val="22"/>
          <w:szCs w:val="22"/>
        </w:rPr>
        <w:tab/>
      </w:r>
      <w:r w:rsidR="000512CA" w:rsidRPr="0044227B">
        <w:rPr>
          <w:sz w:val="22"/>
          <w:szCs w:val="22"/>
        </w:rPr>
        <w:t>AMT: active motor threshold</w:t>
      </w:r>
    </w:p>
    <w:p w14:paraId="273A3947" w14:textId="77777777" w:rsidR="000512CA" w:rsidRPr="0044227B" w:rsidRDefault="000512CA" w:rsidP="000512CA">
      <w:pPr>
        <w:pStyle w:val="BodyTextIndent"/>
        <w:ind w:firstLine="720"/>
        <w:rPr>
          <w:sz w:val="22"/>
          <w:szCs w:val="22"/>
        </w:rPr>
      </w:pPr>
      <w:r w:rsidRPr="0044227B">
        <w:rPr>
          <w:sz w:val="22"/>
          <w:szCs w:val="22"/>
        </w:rPr>
        <w:t>EMG: electromyography</w:t>
      </w:r>
    </w:p>
    <w:p w14:paraId="7FB41734" w14:textId="77777777" w:rsidR="00CF6AD0" w:rsidRPr="0044227B" w:rsidRDefault="00580220" w:rsidP="000512CA">
      <w:pPr>
        <w:pStyle w:val="BodyTextIndent"/>
        <w:ind w:firstLine="720"/>
        <w:rPr>
          <w:sz w:val="22"/>
          <w:szCs w:val="22"/>
        </w:rPr>
      </w:pPr>
      <w:r>
        <w:rPr>
          <w:sz w:val="22"/>
          <w:szCs w:val="22"/>
        </w:rPr>
        <w:t xml:space="preserve">FMT: fine motor training </w:t>
      </w:r>
    </w:p>
    <w:p w14:paraId="3AEB31DB" w14:textId="77777777" w:rsidR="004A429E" w:rsidRPr="0044227B" w:rsidRDefault="004A429E" w:rsidP="00C01A19">
      <w:pPr>
        <w:pStyle w:val="BodyTextIndent"/>
        <w:ind w:firstLine="720"/>
        <w:rPr>
          <w:sz w:val="22"/>
          <w:szCs w:val="22"/>
        </w:rPr>
      </w:pPr>
      <w:r w:rsidRPr="0044227B">
        <w:rPr>
          <w:sz w:val="22"/>
          <w:szCs w:val="22"/>
        </w:rPr>
        <w:t>MSO: maximum stimulator output</w:t>
      </w:r>
    </w:p>
    <w:p w14:paraId="6BE48416" w14:textId="77777777" w:rsidR="000512CA" w:rsidRPr="0044227B" w:rsidRDefault="000512CA" w:rsidP="00282106">
      <w:pPr>
        <w:pStyle w:val="BodyTextIndent"/>
        <w:rPr>
          <w:sz w:val="22"/>
          <w:szCs w:val="22"/>
        </w:rPr>
      </w:pPr>
      <w:r w:rsidRPr="0044227B">
        <w:rPr>
          <w:sz w:val="22"/>
          <w:szCs w:val="22"/>
        </w:rPr>
        <w:tab/>
        <w:t>MVC: maximum voluntary contraction</w:t>
      </w:r>
    </w:p>
    <w:p w14:paraId="38AC1E8D" w14:textId="77777777" w:rsidR="00304F66" w:rsidRDefault="000512CA" w:rsidP="009F046C">
      <w:pPr>
        <w:pStyle w:val="BodyTextIndent"/>
        <w:rPr>
          <w:sz w:val="22"/>
          <w:szCs w:val="22"/>
        </w:rPr>
      </w:pPr>
      <w:r w:rsidRPr="0044227B">
        <w:rPr>
          <w:sz w:val="22"/>
          <w:szCs w:val="22"/>
        </w:rPr>
        <w:tab/>
      </w:r>
      <w:r w:rsidR="00304F66">
        <w:rPr>
          <w:sz w:val="22"/>
          <w:szCs w:val="22"/>
        </w:rPr>
        <w:t>NIBS: non-invasive brain stimulation</w:t>
      </w:r>
    </w:p>
    <w:p w14:paraId="3E1CEA0E" w14:textId="77777777" w:rsidR="000512CA" w:rsidRPr="0044227B" w:rsidRDefault="000512CA" w:rsidP="00304F66">
      <w:pPr>
        <w:pStyle w:val="BodyTextIndent"/>
        <w:ind w:firstLine="720"/>
        <w:rPr>
          <w:sz w:val="22"/>
          <w:szCs w:val="22"/>
        </w:rPr>
      </w:pPr>
      <w:r w:rsidRPr="0044227B">
        <w:rPr>
          <w:sz w:val="22"/>
          <w:szCs w:val="22"/>
        </w:rPr>
        <w:t>RMT: resting motor threshold</w:t>
      </w:r>
    </w:p>
    <w:p w14:paraId="764BE4F6" w14:textId="77777777" w:rsidR="009F046C" w:rsidRDefault="00C01A19" w:rsidP="00C01A19">
      <w:pPr>
        <w:pStyle w:val="BodyTextIndent"/>
        <w:ind w:firstLine="720"/>
        <w:rPr>
          <w:sz w:val="22"/>
          <w:szCs w:val="22"/>
        </w:rPr>
      </w:pPr>
      <w:proofErr w:type="spellStart"/>
      <w:r w:rsidRPr="0044227B">
        <w:rPr>
          <w:sz w:val="22"/>
          <w:szCs w:val="22"/>
        </w:rPr>
        <w:t>tDCS</w:t>
      </w:r>
      <w:proofErr w:type="spellEnd"/>
      <w:r w:rsidRPr="0044227B">
        <w:rPr>
          <w:sz w:val="22"/>
          <w:szCs w:val="22"/>
        </w:rPr>
        <w:t>: transcranial direct current stimulation</w:t>
      </w:r>
    </w:p>
    <w:p w14:paraId="589BB551" w14:textId="77777777" w:rsidR="001414FA" w:rsidRDefault="004A429E" w:rsidP="004A429E">
      <w:pPr>
        <w:pStyle w:val="BodyTextIndent"/>
        <w:ind w:firstLine="720"/>
        <w:rPr>
          <w:sz w:val="22"/>
          <w:szCs w:val="22"/>
        </w:rPr>
      </w:pPr>
      <w:r w:rsidRPr="0044227B">
        <w:rPr>
          <w:sz w:val="22"/>
          <w:szCs w:val="22"/>
        </w:rPr>
        <w:t>TMS: transcranial magnetic stimulation</w:t>
      </w:r>
    </w:p>
    <w:p w14:paraId="6887B951" w14:textId="77777777" w:rsidR="00192900" w:rsidRDefault="00580220" w:rsidP="001414FA">
      <w:pPr>
        <w:pStyle w:val="BodyTextIndent"/>
        <w:ind w:firstLine="720"/>
        <w:rPr>
          <w:sz w:val="22"/>
          <w:szCs w:val="22"/>
        </w:rPr>
      </w:pPr>
      <w:proofErr w:type="spellStart"/>
      <w:r>
        <w:rPr>
          <w:sz w:val="22"/>
          <w:szCs w:val="22"/>
        </w:rPr>
        <w:t>tRNS</w:t>
      </w:r>
      <w:proofErr w:type="spellEnd"/>
      <w:r w:rsidR="001414FA">
        <w:rPr>
          <w:sz w:val="22"/>
          <w:szCs w:val="22"/>
        </w:rPr>
        <w:t xml:space="preserve">: transcranial </w:t>
      </w:r>
      <w:r>
        <w:rPr>
          <w:sz w:val="22"/>
          <w:szCs w:val="22"/>
        </w:rPr>
        <w:t>random noise</w:t>
      </w:r>
      <w:r w:rsidR="001414FA">
        <w:rPr>
          <w:sz w:val="22"/>
          <w:szCs w:val="22"/>
        </w:rPr>
        <w:t xml:space="preserve"> stimulation</w:t>
      </w:r>
    </w:p>
    <w:p w14:paraId="39DD50E9" w14:textId="77777777" w:rsidR="00580220" w:rsidRDefault="00580220" w:rsidP="001414FA">
      <w:pPr>
        <w:pStyle w:val="BodyTextIndent"/>
        <w:ind w:firstLine="720"/>
        <w:rPr>
          <w:sz w:val="22"/>
          <w:szCs w:val="22"/>
        </w:rPr>
      </w:pPr>
      <w:r>
        <w:rPr>
          <w:sz w:val="22"/>
          <w:szCs w:val="22"/>
        </w:rPr>
        <w:t>UE: upper extremity</w:t>
      </w:r>
    </w:p>
    <w:p w14:paraId="7A75D77A" w14:textId="77777777" w:rsidR="0029095F" w:rsidRPr="0044227B" w:rsidRDefault="0029095F" w:rsidP="00FA4722">
      <w:pPr>
        <w:pStyle w:val="BodyTextIndent"/>
        <w:ind w:left="0"/>
        <w:rPr>
          <w:sz w:val="22"/>
          <w:szCs w:val="22"/>
        </w:rPr>
      </w:pPr>
    </w:p>
    <w:p w14:paraId="15D8658C" w14:textId="19E3F24F" w:rsidR="0029095F" w:rsidRDefault="009D622A" w:rsidP="00AC5AA1">
      <w:pPr>
        <w:pStyle w:val="BodyTextIndent"/>
        <w:ind w:left="0" w:firstLine="720"/>
        <w:rPr>
          <w:b/>
          <w:sz w:val="22"/>
          <w:szCs w:val="22"/>
        </w:rPr>
      </w:pPr>
      <w:r w:rsidRPr="0044227B">
        <w:rPr>
          <w:b/>
          <w:sz w:val="22"/>
          <w:szCs w:val="22"/>
        </w:rPr>
        <w:t>3.2</w:t>
      </w:r>
      <w:r w:rsidRPr="0044227B">
        <w:rPr>
          <w:b/>
          <w:sz w:val="22"/>
          <w:szCs w:val="22"/>
        </w:rPr>
        <w:tab/>
        <w:t>General Selection Criteria</w:t>
      </w:r>
    </w:p>
    <w:p w14:paraId="58D38269" w14:textId="194E003F" w:rsidR="001D3B8C" w:rsidRPr="001D3B8C" w:rsidRDefault="001D3B8C" w:rsidP="001D3B8C">
      <w:pPr>
        <w:pStyle w:val="BodyTextIndent"/>
        <w:ind w:left="1440" w:firstLine="720"/>
        <w:rPr>
          <w:bCs/>
          <w:sz w:val="22"/>
          <w:szCs w:val="22"/>
        </w:rPr>
      </w:pPr>
      <w:r w:rsidRPr="001D3B8C">
        <w:rPr>
          <w:bCs/>
          <w:sz w:val="22"/>
          <w:szCs w:val="22"/>
        </w:rPr>
        <w:t xml:space="preserve">The following inclusion and exclusion criteria will be confirmed during the interview process with each </w:t>
      </w:r>
      <w:r w:rsidR="001118B7">
        <w:rPr>
          <w:bCs/>
          <w:sz w:val="22"/>
          <w:szCs w:val="22"/>
        </w:rPr>
        <w:t xml:space="preserve">potential </w:t>
      </w:r>
      <w:r w:rsidRPr="001D3B8C">
        <w:rPr>
          <w:bCs/>
          <w:sz w:val="22"/>
          <w:szCs w:val="22"/>
        </w:rPr>
        <w:t>participant.</w:t>
      </w:r>
    </w:p>
    <w:p w14:paraId="68D6E4E2" w14:textId="77777777" w:rsidR="001D3B8C" w:rsidRPr="0044227B" w:rsidRDefault="001D3B8C" w:rsidP="001D3B8C">
      <w:pPr>
        <w:pStyle w:val="BodyTextIndent"/>
        <w:ind w:left="1440"/>
        <w:rPr>
          <w:b/>
          <w:sz w:val="22"/>
          <w:szCs w:val="22"/>
        </w:rPr>
      </w:pPr>
    </w:p>
    <w:p w14:paraId="29BC7A03" w14:textId="77777777" w:rsidR="00AC5AA1" w:rsidRPr="0044227B" w:rsidRDefault="009D622A" w:rsidP="0000634E">
      <w:pPr>
        <w:ind w:left="1440"/>
        <w:jc w:val="both"/>
        <w:rPr>
          <w:sz w:val="22"/>
          <w:szCs w:val="22"/>
        </w:rPr>
      </w:pPr>
      <w:r w:rsidRPr="0044227B">
        <w:rPr>
          <w:b/>
          <w:sz w:val="22"/>
          <w:szCs w:val="22"/>
        </w:rPr>
        <w:t>3.2.1.</w:t>
      </w:r>
      <w:r w:rsidRPr="0044227B">
        <w:rPr>
          <w:b/>
          <w:sz w:val="22"/>
          <w:szCs w:val="22"/>
        </w:rPr>
        <w:tab/>
        <w:t>Inclusion Criteria:</w:t>
      </w:r>
      <w:r w:rsidR="00AC5AA1" w:rsidRPr="0044227B">
        <w:rPr>
          <w:b/>
          <w:sz w:val="22"/>
          <w:szCs w:val="22"/>
        </w:rPr>
        <w:t xml:space="preserve"> </w:t>
      </w:r>
      <w:r w:rsidR="002D4E40">
        <w:rPr>
          <w:sz w:val="22"/>
          <w:szCs w:val="22"/>
        </w:rPr>
        <w:t>Potential</w:t>
      </w:r>
      <w:r w:rsidRPr="0044227B">
        <w:rPr>
          <w:sz w:val="22"/>
          <w:szCs w:val="22"/>
        </w:rPr>
        <w:t xml:space="preserve"> </w:t>
      </w:r>
      <w:r w:rsidR="00C834E5" w:rsidRPr="0044227B">
        <w:rPr>
          <w:sz w:val="22"/>
          <w:szCs w:val="22"/>
        </w:rPr>
        <w:t>participant</w:t>
      </w:r>
      <w:r w:rsidR="002D4E40">
        <w:rPr>
          <w:sz w:val="22"/>
          <w:szCs w:val="22"/>
        </w:rPr>
        <w:t>s</w:t>
      </w:r>
      <w:r w:rsidRPr="0044227B">
        <w:rPr>
          <w:sz w:val="22"/>
          <w:szCs w:val="22"/>
        </w:rPr>
        <w:t xml:space="preserve"> must meet </w:t>
      </w:r>
      <w:proofErr w:type="gramStart"/>
      <w:r w:rsidRPr="0044227B">
        <w:rPr>
          <w:sz w:val="22"/>
          <w:szCs w:val="22"/>
        </w:rPr>
        <w:t>all of</w:t>
      </w:r>
      <w:proofErr w:type="gramEnd"/>
      <w:r w:rsidRPr="0044227B">
        <w:rPr>
          <w:sz w:val="22"/>
          <w:szCs w:val="22"/>
        </w:rPr>
        <w:t xml:space="preserve"> the following criter</w:t>
      </w:r>
      <w:r w:rsidR="002D4E40">
        <w:rPr>
          <w:sz w:val="22"/>
          <w:szCs w:val="22"/>
        </w:rPr>
        <w:t>ia to be eligible for the study:</w:t>
      </w:r>
    </w:p>
    <w:p w14:paraId="52723DC2" w14:textId="2DD82F74" w:rsidR="003E480B" w:rsidRPr="001D3B8C" w:rsidRDefault="00AC5AA1" w:rsidP="001D3B8C">
      <w:pPr>
        <w:pStyle w:val="ListParagraph"/>
        <w:numPr>
          <w:ilvl w:val="0"/>
          <w:numId w:val="41"/>
        </w:numPr>
        <w:jc w:val="both"/>
        <w:rPr>
          <w:sz w:val="22"/>
          <w:szCs w:val="22"/>
        </w:rPr>
      </w:pPr>
      <w:r w:rsidRPr="0044227B">
        <w:rPr>
          <w:sz w:val="22"/>
          <w:szCs w:val="22"/>
        </w:rPr>
        <w:t>Be 18-</w:t>
      </w:r>
      <w:r w:rsidR="002019AC">
        <w:rPr>
          <w:sz w:val="22"/>
          <w:szCs w:val="22"/>
        </w:rPr>
        <w:t>7</w:t>
      </w:r>
      <w:r w:rsidRPr="0044227B">
        <w:rPr>
          <w:sz w:val="22"/>
          <w:szCs w:val="22"/>
        </w:rPr>
        <w:t>5 years of age</w:t>
      </w:r>
    </w:p>
    <w:p w14:paraId="56332679" w14:textId="77777777" w:rsidR="00AC5AA1" w:rsidRPr="0044227B" w:rsidRDefault="008C27D2" w:rsidP="0000634E">
      <w:pPr>
        <w:pStyle w:val="ListParagraph"/>
        <w:numPr>
          <w:ilvl w:val="0"/>
          <w:numId w:val="41"/>
        </w:numPr>
        <w:jc w:val="both"/>
        <w:rPr>
          <w:sz w:val="22"/>
          <w:szCs w:val="22"/>
        </w:rPr>
      </w:pPr>
      <w:r>
        <w:rPr>
          <w:rFonts w:cs="Arial"/>
          <w:sz w:val="22"/>
        </w:rPr>
        <w:t>Have</w:t>
      </w:r>
      <w:r w:rsidR="00AC5AA1" w:rsidRPr="0044227B">
        <w:rPr>
          <w:rFonts w:cs="Arial"/>
          <w:sz w:val="22"/>
        </w:rPr>
        <w:t xml:space="preserve"> ce</w:t>
      </w:r>
      <w:r w:rsidR="00532B54" w:rsidRPr="0044227B">
        <w:rPr>
          <w:rFonts w:cs="Arial"/>
          <w:sz w:val="22"/>
        </w:rPr>
        <w:t>rvical (neurological level C1-C8</w:t>
      </w:r>
      <w:r w:rsidR="001E39C3">
        <w:rPr>
          <w:rFonts w:cs="Arial"/>
          <w:sz w:val="22"/>
        </w:rPr>
        <w:t xml:space="preserve">) SCI occurring more than </w:t>
      </w:r>
      <w:r w:rsidR="000839A6">
        <w:rPr>
          <w:rFonts w:cs="Arial"/>
          <w:sz w:val="22"/>
        </w:rPr>
        <w:t>a year</w:t>
      </w:r>
      <w:r w:rsidR="00AC5AA1" w:rsidRPr="0044227B">
        <w:rPr>
          <w:rFonts w:cs="Arial"/>
          <w:sz w:val="22"/>
        </w:rPr>
        <w:t xml:space="preserve"> ago </w:t>
      </w:r>
    </w:p>
    <w:p w14:paraId="0357D078" w14:textId="77777777" w:rsidR="00AC5AA1" w:rsidRPr="008C27D2" w:rsidRDefault="00AC5AA1" w:rsidP="0000634E">
      <w:pPr>
        <w:pStyle w:val="ListParagraph"/>
        <w:numPr>
          <w:ilvl w:val="0"/>
          <w:numId w:val="41"/>
        </w:numPr>
        <w:jc w:val="both"/>
        <w:rPr>
          <w:sz w:val="22"/>
          <w:szCs w:val="22"/>
        </w:rPr>
      </w:pPr>
      <w:r w:rsidRPr="008C27D2">
        <w:rPr>
          <w:rFonts w:cs="Arial"/>
          <w:sz w:val="22"/>
        </w:rPr>
        <w:t xml:space="preserve">Have </w:t>
      </w:r>
      <w:r w:rsidR="00C91565">
        <w:rPr>
          <w:rFonts w:cs="Arial"/>
          <w:sz w:val="22"/>
        </w:rPr>
        <w:t>a motor incomplete injury</w:t>
      </w:r>
      <w:r w:rsidR="000725B7">
        <w:rPr>
          <w:rFonts w:cs="Arial"/>
          <w:sz w:val="22"/>
        </w:rPr>
        <w:t xml:space="preserve"> </w:t>
      </w:r>
      <w:r w:rsidR="003E6B74" w:rsidRPr="008C27D2">
        <w:rPr>
          <w:rFonts w:cs="Arial"/>
          <w:sz w:val="22"/>
        </w:rPr>
        <w:t>(</w:t>
      </w:r>
      <w:r w:rsidR="001E39C3">
        <w:rPr>
          <w:rFonts w:cs="Arial"/>
          <w:sz w:val="22"/>
        </w:rPr>
        <w:t>ASIA/</w:t>
      </w:r>
      <w:r w:rsidR="001E39C3" w:rsidRPr="008C27D2">
        <w:rPr>
          <w:rFonts w:cs="Arial"/>
          <w:sz w:val="22"/>
        </w:rPr>
        <w:t xml:space="preserve">ISNCSCI </w:t>
      </w:r>
      <w:r w:rsidR="003E6B74" w:rsidRPr="008C27D2">
        <w:rPr>
          <w:rFonts w:cs="Arial"/>
          <w:sz w:val="22"/>
        </w:rPr>
        <w:t>C or D)</w:t>
      </w:r>
    </w:p>
    <w:p w14:paraId="5AE53D45" w14:textId="77777777" w:rsidR="00AC5AA1" w:rsidRPr="00E75F3F" w:rsidRDefault="00AC5AA1" w:rsidP="0000634E">
      <w:pPr>
        <w:pStyle w:val="ListParagraph"/>
        <w:numPr>
          <w:ilvl w:val="0"/>
          <w:numId w:val="41"/>
        </w:numPr>
        <w:jc w:val="both"/>
        <w:rPr>
          <w:sz w:val="22"/>
          <w:szCs w:val="22"/>
        </w:rPr>
      </w:pPr>
      <w:r w:rsidRPr="00E75F3F">
        <w:rPr>
          <w:rFonts w:cs="Arial"/>
          <w:sz w:val="22"/>
        </w:rPr>
        <w:t xml:space="preserve">Have self-reported </w:t>
      </w:r>
      <w:r w:rsidR="001E39C3">
        <w:rPr>
          <w:rFonts w:cs="Arial"/>
          <w:sz w:val="22"/>
        </w:rPr>
        <w:t>functional limitation</w:t>
      </w:r>
      <w:r w:rsidRPr="00E75F3F">
        <w:rPr>
          <w:rFonts w:cs="Arial"/>
          <w:sz w:val="22"/>
        </w:rPr>
        <w:t xml:space="preserve"> in at least one </w:t>
      </w:r>
      <w:r w:rsidR="000725B7">
        <w:rPr>
          <w:rFonts w:cs="Arial"/>
          <w:sz w:val="22"/>
        </w:rPr>
        <w:t>UE</w:t>
      </w:r>
    </w:p>
    <w:p w14:paraId="276C6A51" w14:textId="77777777" w:rsidR="00AC5AA1" w:rsidRDefault="00580220" w:rsidP="0000634E">
      <w:pPr>
        <w:pStyle w:val="ListParagraph"/>
        <w:widowControl w:val="0"/>
        <w:numPr>
          <w:ilvl w:val="0"/>
          <w:numId w:val="41"/>
        </w:numPr>
        <w:tabs>
          <w:tab w:val="left" w:pos="-540"/>
          <w:tab w:val="left" w:pos="450"/>
          <w:tab w:val="left" w:pos="1440"/>
          <w:tab w:val="left" w:pos="1800"/>
          <w:tab w:val="left" w:pos="2880"/>
        </w:tabs>
        <w:jc w:val="both"/>
        <w:rPr>
          <w:rFonts w:cs="Arial"/>
          <w:color w:val="000000" w:themeColor="text1"/>
          <w:sz w:val="22"/>
        </w:rPr>
      </w:pPr>
      <w:r>
        <w:rPr>
          <w:rFonts w:cs="Arial"/>
          <w:color w:val="000000" w:themeColor="text1"/>
          <w:sz w:val="22"/>
        </w:rPr>
        <w:t>A</w:t>
      </w:r>
      <w:r w:rsidR="008C27D2" w:rsidRPr="008C27D2">
        <w:rPr>
          <w:rFonts w:cs="Arial"/>
          <w:color w:val="000000" w:themeColor="text1"/>
          <w:sz w:val="22"/>
        </w:rPr>
        <w:t xml:space="preserve">bility to </w:t>
      </w:r>
      <w:r w:rsidR="001E39C3">
        <w:rPr>
          <w:rFonts w:cs="Arial"/>
          <w:color w:val="000000" w:themeColor="text1"/>
          <w:sz w:val="22"/>
        </w:rPr>
        <w:t xml:space="preserve">voluntarily </w:t>
      </w:r>
      <w:r w:rsidR="008C27D2" w:rsidRPr="008C27D2">
        <w:rPr>
          <w:rFonts w:cs="Arial"/>
          <w:color w:val="000000" w:themeColor="text1"/>
          <w:sz w:val="22"/>
        </w:rPr>
        <w:t xml:space="preserve">move thumb </w:t>
      </w:r>
      <w:r w:rsidR="001E39C3">
        <w:rPr>
          <w:rFonts w:cs="Arial"/>
          <w:color w:val="000000" w:themeColor="text1"/>
          <w:sz w:val="22"/>
        </w:rPr>
        <w:t xml:space="preserve">or index finger </w:t>
      </w:r>
      <w:r>
        <w:rPr>
          <w:rFonts w:cs="Arial"/>
          <w:color w:val="000000" w:themeColor="text1"/>
          <w:sz w:val="22"/>
        </w:rPr>
        <w:t>in at least one UE</w:t>
      </w:r>
    </w:p>
    <w:p w14:paraId="05376EA2" w14:textId="77777777" w:rsidR="00580220" w:rsidRDefault="00580220" w:rsidP="0000634E">
      <w:pPr>
        <w:pStyle w:val="ListParagraph"/>
        <w:widowControl w:val="0"/>
        <w:numPr>
          <w:ilvl w:val="0"/>
          <w:numId w:val="41"/>
        </w:numPr>
        <w:tabs>
          <w:tab w:val="left" w:pos="-540"/>
          <w:tab w:val="left" w:pos="450"/>
          <w:tab w:val="left" w:pos="1440"/>
          <w:tab w:val="left" w:pos="1800"/>
          <w:tab w:val="left" w:pos="2880"/>
        </w:tabs>
        <w:jc w:val="both"/>
        <w:rPr>
          <w:rFonts w:cs="Arial"/>
          <w:color w:val="000000" w:themeColor="text1"/>
          <w:sz w:val="22"/>
        </w:rPr>
      </w:pPr>
      <w:r>
        <w:rPr>
          <w:rFonts w:cs="Arial"/>
          <w:color w:val="000000" w:themeColor="text1"/>
          <w:sz w:val="22"/>
        </w:rPr>
        <w:t>Ability to voluntarily move their wrist in both UE</w:t>
      </w:r>
    </w:p>
    <w:p w14:paraId="3A9C0216" w14:textId="77777777" w:rsidR="00580220" w:rsidRDefault="00580220" w:rsidP="0000634E">
      <w:pPr>
        <w:pStyle w:val="ListParagraph"/>
        <w:widowControl w:val="0"/>
        <w:numPr>
          <w:ilvl w:val="0"/>
          <w:numId w:val="41"/>
        </w:numPr>
        <w:tabs>
          <w:tab w:val="left" w:pos="-540"/>
          <w:tab w:val="left" w:pos="450"/>
          <w:tab w:val="left" w:pos="1440"/>
          <w:tab w:val="left" w:pos="1800"/>
          <w:tab w:val="left" w:pos="2880"/>
        </w:tabs>
        <w:jc w:val="both"/>
        <w:rPr>
          <w:rFonts w:cs="Arial"/>
          <w:color w:val="000000" w:themeColor="text1"/>
          <w:sz w:val="22"/>
        </w:rPr>
      </w:pPr>
      <w:r>
        <w:rPr>
          <w:rFonts w:cs="Arial"/>
          <w:color w:val="000000" w:themeColor="text1"/>
          <w:sz w:val="22"/>
        </w:rPr>
        <w:t>Ability to follow multiple step commands</w:t>
      </w:r>
    </w:p>
    <w:p w14:paraId="0E08D98A" w14:textId="77777777" w:rsidR="00580220" w:rsidRPr="008C27D2" w:rsidRDefault="00580220" w:rsidP="0000634E">
      <w:pPr>
        <w:pStyle w:val="ListParagraph"/>
        <w:widowControl w:val="0"/>
        <w:numPr>
          <w:ilvl w:val="0"/>
          <w:numId w:val="41"/>
        </w:numPr>
        <w:tabs>
          <w:tab w:val="left" w:pos="-540"/>
          <w:tab w:val="left" w:pos="450"/>
          <w:tab w:val="left" w:pos="1440"/>
          <w:tab w:val="left" w:pos="1800"/>
          <w:tab w:val="left" w:pos="2880"/>
        </w:tabs>
        <w:jc w:val="both"/>
        <w:rPr>
          <w:rFonts w:cs="Arial"/>
          <w:color w:val="000000" w:themeColor="text1"/>
          <w:sz w:val="22"/>
        </w:rPr>
      </w:pPr>
      <w:r>
        <w:rPr>
          <w:rFonts w:cs="Arial"/>
          <w:color w:val="000000" w:themeColor="text1"/>
          <w:sz w:val="22"/>
        </w:rPr>
        <w:t>Ability to communicate pain or discomfort</w:t>
      </w:r>
    </w:p>
    <w:p w14:paraId="048E4AEB" w14:textId="77777777" w:rsidR="009D622A" w:rsidRPr="0044227B" w:rsidRDefault="003E6B74" w:rsidP="0000634E">
      <w:pPr>
        <w:pStyle w:val="ListParagraph"/>
        <w:numPr>
          <w:ilvl w:val="0"/>
          <w:numId w:val="41"/>
        </w:numPr>
        <w:jc w:val="both"/>
        <w:rPr>
          <w:sz w:val="22"/>
          <w:szCs w:val="22"/>
        </w:rPr>
      </w:pPr>
      <w:r w:rsidRPr="0044227B">
        <w:rPr>
          <w:sz w:val="22"/>
          <w:szCs w:val="22"/>
        </w:rPr>
        <w:t xml:space="preserve">Ability and willingness to </w:t>
      </w:r>
      <w:r w:rsidR="008C27D2">
        <w:rPr>
          <w:sz w:val="22"/>
          <w:szCs w:val="22"/>
        </w:rPr>
        <w:t xml:space="preserve">consent </w:t>
      </w:r>
      <w:r w:rsidR="001E39C3">
        <w:rPr>
          <w:sz w:val="22"/>
          <w:szCs w:val="22"/>
        </w:rPr>
        <w:t xml:space="preserve">to participate in the study </w:t>
      </w:r>
      <w:r w:rsidR="008C27D2">
        <w:rPr>
          <w:sz w:val="22"/>
          <w:szCs w:val="22"/>
        </w:rPr>
        <w:t>and authorize use of protected health information</w:t>
      </w:r>
      <w:r w:rsidRPr="0044227B">
        <w:rPr>
          <w:sz w:val="22"/>
          <w:szCs w:val="22"/>
        </w:rPr>
        <w:t>.</w:t>
      </w:r>
    </w:p>
    <w:p w14:paraId="61DCCD4B" w14:textId="77777777" w:rsidR="00FE4B28" w:rsidRPr="0044227B" w:rsidRDefault="00FE4B28" w:rsidP="0000634E">
      <w:pPr>
        <w:ind w:left="2520"/>
        <w:jc w:val="both"/>
        <w:rPr>
          <w:sz w:val="22"/>
          <w:szCs w:val="22"/>
        </w:rPr>
      </w:pPr>
    </w:p>
    <w:p w14:paraId="6EBCB1BA" w14:textId="77777777" w:rsidR="003E6B74" w:rsidRPr="008C27D2" w:rsidRDefault="009D622A" w:rsidP="0000634E">
      <w:pPr>
        <w:ind w:left="1440"/>
        <w:jc w:val="both"/>
        <w:rPr>
          <w:sz w:val="22"/>
          <w:szCs w:val="22"/>
        </w:rPr>
      </w:pPr>
      <w:r w:rsidRPr="0044227B">
        <w:rPr>
          <w:b/>
          <w:sz w:val="22"/>
          <w:szCs w:val="22"/>
        </w:rPr>
        <w:t>3.2.2</w:t>
      </w:r>
      <w:r w:rsidRPr="0044227B">
        <w:rPr>
          <w:b/>
          <w:sz w:val="22"/>
          <w:szCs w:val="22"/>
        </w:rPr>
        <w:tab/>
        <w:t>Exclusion Criteria:</w:t>
      </w:r>
      <w:r w:rsidR="003E6B74" w:rsidRPr="0044227B">
        <w:rPr>
          <w:b/>
          <w:sz w:val="22"/>
          <w:szCs w:val="22"/>
        </w:rPr>
        <w:t xml:space="preserve"> </w:t>
      </w:r>
      <w:r w:rsidR="002D4E40">
        <w:rPr>
          <w:sz w:val="22"/>
          <w:szCs w:val="22"/>
        </w:rPr>
        <w:t>Potential participants will be excluded from the study if they meet any of the following criteria.</w:t>
      </w:r>
    </w:p>
    <w:p w14:paraId="57FB1398" w14:textId="77777777" w:rsidR="00023094" w:rsidRPr="00023094" w:rsidRDefault="00580220" w:rsidP="0000634E">
      <w:pPr>
        <w:pStyle w:val="ListParagraph"/>
        <w:numPr>
          <w:ilvl w:val="0"/>
          <w:numId w:val="42"/>
        </w:numPr>
        <w:jc w:val="both"/>
        <w:rPr>
          <w:b/>
          <w:sz w:val="22"/>
          <w:szCs w:val="22"/>
        </w:rPr>
      </w:pPr>
      <w:r>
        <w:rPr>
          <w:rFonts w:cs="Arial"/>
          <w:sz w:val="22"/>
          <w:szCs w:val="22"/>
        </w:rPr>
        <w:t xml:space="preserve">Implanted metallic </w:t>
      </w:r>
      <w:r w:rsidR="00023094">
        <w:rPr>
          <w:rFonts w:cs="Arial"/>
          <w:sz w:val="22"/>
          <w:szCs w:val="22"/>
        </w:rPr>
        <w:t>device in the head and/ or pacemaker</w:t>
      </w:r>
    </w:p>
    <w:p w14:paraId="562BA521" w14:textId="77777777" w:rsidR="008C27D2" w:rsidRPr="008C27D2" w:rsidRDefault="008C27D2" w:rsidP="0000634E">
      <w:pPr>
        <w:pStyle w:val="ListParagraph"/>
        <w:numPr>
          <w:ilvl w:val="0"/>
          <w:numId w:val="42"/>
        </w:numPr>
        <w:adjustRightInd w:val="0"/>
        <w:jc w:val="both"/>
        <w:rPr>
          <w:rFonts w:cs="Arial"/>
          <w:bCs/>
          <w:color w:val="000000"/>
          <w:sz w:val="22"/>
        </w:rPr>
      </w:pPr>
      <w:r w:rsidRPr="008C27D2">
        <w:rPr>
          <w:rFonts w:cs="Arial"/>
          <w:color w:val="000000" w:themeColor="text1"/>
          <w:sz w:val="22"/>
        </w:rPr>
        <w:t>History of seizure</w:t>
      </w:r>
      <w:r w:rsidR="00023094">
        <w:rPr>
          <w:rFonts w:cs="Arial"/>
          <w:color w:val="000000" w:themeColor="text1"/>
          <w:sz w:val="22"/>
        </w:rPr>
        <w:t>s</w:t>
      </w:r>
    </w:p>
    <w:p w14:paraId="636AC6F1" w14:textId="77777777" w:rsidR="008C27D2" w:rsidRPr="008C27D2" w:rsidRDefault="008C27D2" w:rsidP="0000634E">
      <w:pPr>
        <w:pStyle w:val="ListParagraph"/>
        <w:numPr>
          <w:ilvl w:val="0"/>
          <w:numId w:val="42"/>
        </w:numPr>
        <w:adjustRightInd w:val="0"/>
        <w:jc w:val="both"/>
        <w:rPr>
          <w:rFonts w:cs="Arial"/>
          <w:bCs/>
          <w:color w:val="000000"/>
          <w:sz w:val="22"/>
        </w:rPr>
      </w:pPr>
      <w:r w:rsidRPr="008C27D2">
        <w:rPr>
          <w:rFonts w:cs="Arial"/>
          <w:color w:val="000000" w:themeColor="text1"/>
          <w:sz w:val="22"/>
        </w:rPr>
        <w:t xml:space="preserve">History of frequent </w:t>
      </w:r>
      <w:r w:rsidR="00023094">
        <w:rPr>
          <w:rFonts w:cs="Arial"/>
          <w:color w:val="000000" w:themeColor="text1"/>
          <w:sz w:val="22"/>
        </w:rPr>
        <w:t xml:space="preserve">and/ </w:t>
      </w:r>
      <w:r w:rsidRPr="008C27D2">
        <w:rPr>
          <w:rFonts w:cs="Arial"/>
          <w:color w:val="000000" w:themeColor="text1"/>
          <w:sz w:val="22"/>
        </w:rPr>
        <w:t>or severe headaches</w:t>
      </w:r>
    </w:p>
    <w:p w14:paraId="125EF13B" w14:textId="77777777" w:rsidR="00A821B9" w:rsidRDefault="00A821B9" w:rsidP="0000634E">
      <w:pPr>
        <w:pStyle w:val="ListParagraph"/>
        <w:numPr>
          <w:ilvl w:val="0"/>
          <w:numId w:val="42"/>
        </w:numPr>
        <w:adjustRightInd w:val="0"/>
        <w:jc w:val="both"/>
        <w:rPr>
          <w:rFonts w:cs="Arial"/>
          <w:bCs/>
          <w:color w:val="000000"/>
          <w:sz w:val="22"/>
        </w:rPr>
      </w:pPr>
      <w:r>
        <w:rPr>
          <w:rFonts w:cs="Arial"/>
          <w:bCs/>
          <w:color w:val="000000"/>
          <w:sz w:val="22"/>
        </w:rPr>
        <w:t>Received Botulinum toxin injection in the tested UE in the last 3 months</w:t>
      </w:r>
    </w:p>
    <w:p w14:paraId="5F592A91" w14:textId="77777777" w:rsidR="008C27D2" w:rsidRPr="008C27D2" w:rsidRDefault="001E39C3" w:rsidP="0000634E">
      <w:pPr>
        <w:pStyle w:val="ListParagraph"/>
        <w:numPr>
          <w:ilvl w:val="0"/>
          <w:numId w:val="42"/>
        </w:numPr>
        <w:adjustRightInd w:val="0"/>
        <w:jc w:val="both"/>
        <w:rPr>
          <w:rFonts w:cs="Arial"/>
          <w:bCs/>
          <w:color w:val="000000"/>
          <w:sz w:val="22"/>
        </w:rPr>
      </w:pPr>
      <w:r>
        <w:rPr>
          <w:rFonts w:cs="Arial"/>
          <w:bCs/>
          <w:color w:val="000000"/>
          <w:sz w:val="22"/>
        </w:rPr>
        <w:t>Damage to the nerves of the arms/</w:t>
      </w:r>
      <w:r w:rsidR="000725B7">
        <w:rPr>
          <w:rFonts w:cs="Arial"/>
          <w:bCs/>
          <w:color w:val="000000"/>
          <w:sz w:val="22"/>
        </w:rPr>
        <w:t xml:space="preserve"> </w:t>
      </w:r>
      <w:r>
        <w:rPr>
          <w:rFonts w:cs="Arial"/>
          <w:bCs/>
          <w:color w:val="000000"/>
          <w:sz w:val="22"/>
        </w:rPr>
        <w:t>hands</w:t>
      </w:r>
      <w:r w:rsidR="008C27D2" w:rsidRPr="008C27D2">
        <w:rPr>
          <w:rFonts w:cs="Arial"/>
          <w:bCs/>
          <w:color w:val="000000"/>
          <w:sz w:val="22"/>
        </w:rPr>
        <w:t xml:space="preserve"> (</w:t>
      </w:r>
      <w:r>
        <w:rPr>
          <w:rFonts w:cs="Arial"/>
          <w:bCs/>
          <w:color w:val="000000"/>
          <w:sz w:val="22"/>
        </w:rPr>
        <w:t xml:space="preserve">lower motor neuron damage) </w:t>
      </w:r>
      <w:r w:rsidR="008C27D2" w:rsidRPr="008C27D2">
        <w:rPr>
          <w:rFonts w:cs="Arial"/>
          <w:bCs/>
          <w:color w:val="000000"/>
          <w:sz w:val="22"/>
        </w:rPr>
        <w:t>as documented in medical record, per participant report</w:t>
      </w:r>
      <w:r>
        <w:rPr>
          <w:rFonts w:cs="Arial"/>
          <w:bCs/>
          <w:color w:val="000000"/>
          <w:sz w:val="22"/>
        </w:rPr>
        <w:t>, or during in-person screening</w:t>
      </w:r>
    </w:p>
    <w:p w14:paraId="7AC2D71C" w14:textId="77777777" w:rsidR="008C27D2" w:rsidRPr="008C27D2" w:rsidRDefault="008C27D2" w:rsidP="0000634E">
      <w:pPr>
        <w:pStyle w:val="ListParagraph"/>
        <w:numPr>
          <w:ilvl w:val="0"/>
          <w:numId w:val="42"/>
        </w:numPr>
        <w:adjustRightInd w:val="0"/>
        <w:jc w:val="both"/>
        <w:rPr>
          <w:rFonts w:cs="Arial"/>
          <w:bCs/>
          <w:color w:val="000000"/>
          <w:sz w:val="22"/>
        </w:rPr>
      </w:pPr>
      <w:r w:rsidRPr="008C27D2">
        <w:rPr>
          <w:rFonts w:cs="Arial"/>
          <w:bCs/>
          <w:color w:val="000000"/>
          <w:sz w:val="22"/>
        </w:rPr>
        <w:t>Prior tendon or nerve transfer surgery</w:t>
      </w:r>
    </w:p>
    <w:p w14:paraId="1FC35698" w14:textId="77777777" w:rsidR="001E39C3" w:rsidRPr="001E39C3" w:rsidRDefault="008C27D2" w:rsidP="0000634E">
      <w:pPr>
        <w:pStyle w:val="ListParagraph"/>
        <w:numPr>
          <w:ilvl w:val="0"/>
          <w:numId w:val="42"/>
        </w:numPr>
        <w:adjustRightInd w:val="0"/>
        <w:jc w:val="both"/>
        <w:rPr>
          <w:rFonts w:cs="Arial"/>
          <w:b/>
          <w:bCs/>
          <w:color w:val="000000"/>
          <w:sz w:val="22"/>
        </w:rPr>
      </w:pPr>
      <w:r w:rsidRPr="008C27D2">
        <w:rPr>
          <w:rFonts w:cs="Arial"/>
          <w:color w:val="000000" w:themeColor="text1"/>
          <w:sz w:val="22"/>
        </w:rPr>
        <w:t>Severe pain or hypersensitivity of the arm/</w:t>
      </w:r>
      <w:r w:rsidR="000725B7">
        <w:rPr>
          <w:rFonts w:cs="Arial"/>
          <w:color w:val="000000" w:themeColor="text1"/>
          <w:sz w:val="22"/>
        </w:rPr>
        <w:t xml:space="preserve"> </w:t>
      </w:r>
      <w:r w:rsidRPr="008C27D2">
        <w:rPr>
          <w:rFonts w:cs="Arial"/>
          <w:color w:val="000000" w:themeColor="text1"/>
          <w:sz w:val="22"/>
        </w:rPr>
        <w:t xml:space="preserve">hand that would limit participation in fine </w:t>
      </w:r>
      <w:r w:rsidRPr="001E39C3">
        <w:rPr>
          <w:rFonts w:cs="Arial"/>
          <w:color w:val="000000" w:themeColor="text1"/>
          <w:sz w:val="22"/>
        </w:rPr>
        <w:t>motor training</w:t>
      </w:r>
    </w:p>
    <w:p w14:paraId="23DDBDCB" w14:textId="77777777" w:rsidR="001E39C3" w:rsidRPr="001E39C3" w:rsidRDefault="001E39C3" w:rsidP="0000634E">
      <w:pPr>
        <w:pStyle w:val="ListParagraph"/>
        <w:numPr>
          <w:ilvl w:val="0"/>
          <w:numId w:val="42"/>
        </w:numPr>
        <w:adjustRightInd w:val="0"/>
        <w:jc w:val="both"/>
        <w:rPr>
          <w:rFonts w:cs="Arial"/>
          <w:b/>
          <w:bCs/>
          <w:color w:val="000000"/>
          <w:sz w:val="22"/>
        </w:rPr>
      </w:pPr>
      <w:r w:rsidRPr="001E39C3">
        <w:rPr>
          <w:rFonts w:cs="Arial"/>
          <w:color w:val="000000" w:themeColor="text1"/>
          <w:sz w:val="22"/>
        </w:rPr>
        <w:t>Severe contractures of the arm/</w:t>
      </w:r>
      <w:r w:rsidR="000725B7">
        <w:rPr>
          <w:rFonts w:cs="Arial"/>
          <w:color w:val="000000" w:themeColor="text1"/>
          <w:sz w:val="22"/>
        </w:rPr>
        <w:t xml:space="preserve"> </w:t>
      </w:r>
      <w:r w:rsidRPr="001E39C3">
        <w:rPr>
          <w:rFonts w:cs="Arial"/>
          <w:color w:val="000000" w:themeColor="text1"/>
          <w:sz w:val="22"/>
        </w:rPr>
        <w:t>hand that would limit participation in arm and hand training</w:t>
      </w:r>
    </w:p>
    <w:p w14:paraId="0CC6CD8C" w14:textId="77777777" w:rsidR="003E6B74" w:rsidRPr="001E39C3" w:rsidRDefault="001E39C3" w:rsidP="0000634E">
      <w:pPr>
        <w:pStyle w:val="ListParagraph"/>
        <w:numPr>
          <w:ilvl w:val="0"/>
          <w:numId w:val="42"/>
        </w:numPr>
        <w:adjustRightInd w:val="0"/>
        <w:jc w:val="both"/>
        <w:rPr>
          <w:rFonts w:cs="Arial"/>
          <w:b/>
          <w:bCs/>
          <w:color w:val="000000"/>
          <w:sz w:val="22"/>
        </w:rPr>
      </w:pPr>
      <w:r w:rsidRPr="001E39C3">
        <w:rPr>
          <w:rFonts w:cs="Arial"/>
          <w:color w:val="000000" w:themeColor="text1"/>
          <w:sz w:val="22"/>
        </w:rPr>
        <w:t>Current pregnancy</w:t>
      </w:r>
    </w:p>
    <w:p w14:paraId="41C81B32" w14:textId="77777777" w:rsidR="009D622A" w:rsidRPr="0044227B" w:rsidRDefault="009D622A">
      <w:pPr>
        <w:rPr>
          <w:sz w:val="22"/>
          <w:szCs w:val="22"/>
        </w:rPr>
      </w:pPr>
    </w:p>
    <w:p w14:paraId="34C834DE" w14:textId="77777777" w:rsidR="009D622A" w:rsidRPr="00FA4722" w:rsidRDefault="009D622A" w:rsidP="00FA4722">
      <w:pPr>
        <w:ind w:firstLine="720"/>
        <w:rPr>
          <w:b/>
          <w:sz w:val="22"/>
          <w:szCs w:val="22"/>
        </w:rPr>
      </w:pPr>
      <w:r w:rsidRPr="0044227B">
        <w:rPr>
          <w:b/>
          <w:sz w:val="22"/>
          <w:szCs w:val="22"/>
        </w:rPr>
        <w:lastRenderedPageBreak/>
        <w:t>3.3</w:t>
      </w:r>
      <w:r w:rsidRPr="0044227B">
        <w:rPr>
          <w:b/>
          <w:sz w:val="22"/>
          <w:szCs w:val="22"/>
        </w:rPr>
        <w:tab/>
        <w:t>Procedures</w:t>
      </w:r>
    </w:p>
    <w:p w14:paraId="7FA0EB1B" w14:textId="77777777" w:rsidR="00716A26" w:rsidRPr="008E651A" w:rsidRDefault="009D622A" w:rsidP="008E651A">
      <w:pPr>
        <w:ind w:left="1440"/>
        <w:rPr>
          <w:b/>
          <w:sz w:val="22"/>
          <w:szCs w:val="22"/>
        </w:rPr>
      </w:pPr>
      <w:r w:rsidRPr="00CF6604">
        <w:rPr>
          <w:b/>
          <w:sz w:val="22"/>
          <w:szCs w:val="22"/>
        </w:rPr>
        <w:t>3.3.1</w:t>
      </w:r>
      <w:r w:rsidRPr="00CF6604">
        <w:rPr>
          <w:b/>
          <w:sz w:val="22"/>
          <w:szCs w:val="22"/>
        </w:rPr>
        <w:tab/>
        <w:t>Study Design</w:t>
      </w:r>
    </w:p>
    <w:p w14:paraId="5B686F6E" w14:textId="77777777" w:rsidR="0000634E" w:rsidRDefault="008E651A" w:rsidP="00AA42CE">
      <w:pPr>
        <w:pStyle w:val="BodyText2"/>
        <w:spacing w:after="0" w:line="240" w:lineRule="auto"/>
        <w:ind w:left="1440" w:right="-115"/>
      </w:pPr>
      <w:r>
        <w:t xml:space="preserve">     </w:t>
      </w:r>
    </w:p>
    <w:p w14:paraId="5087BC48" w14:textId="77777777" w:rsidR="0000634E" w:rsidRDefault="0000634E" w:rsidP="00935A52">
      <w:pPr>
        <w:pStyle w:val="BodyText2"/>
        <w:spacing w:line="240" w:lineRule="auto"/>
        <w:ind w:left="1440" w:right="-115" w:firstLine="720"/>
        <w:jc w:val="both"/>
        <w:rPr>
          <w:sz w:val="22"/>
          <w:szCs w:val="22"/>
        </w:rPr>
      </w:pPr>
      <w:r w:rsidRPr="004F43E2">
        <w:rPr>
          <w:sz w:val="22"/>
          <w:szCs w:val="22"/>
        </w:rPr>
        <w:t xml:space="preserve">This is a 2-week wash-in control study. The primary objective is to compare the effects of combined </w:t>
      </w:r>
      <w:proofErr w:type="spellStart"/>
      <w:r w:rsidRPr="004F43E2">
        <w:rPr>
          <w:sz w:val="22"/>
          <w:szCs w:val="22"/>
        </w:rPr>
        <w:t>tRNS</w:t>
      </w:r>
      <w:proofErr w:type="spellEnd"/>
      <w:r w:rsidRPr="004F43E2">
        <w:rPr>
          <w:sz w:val="22"/>
          <w:szCs w:val="22"/>
        </w:rPr>
        <w:t>+ FMT protocol to</w:t>
      </w:r>
      <w:r w:rsidR="005B5BB9">
        <w:rPr>
          <w:sz w:val="22"/>
          <w:szCs w:val="22"/>
        </w:rPr>
        <w:t xml:space="preserve"> </w:t>
      </w:r>
      <w:proofErr w:type="spellStart"/>
      <w:r w:rsidR="005B5BB9">
        <w:rPr>
          <w:sz w:val="22"/>
          <w:szCs w:val="22"/>
        </w:rPr>
        <w:t>tDCS</w:t>
      </w:r>
      <w:proofErr w:type="spellEnd"/>
      <w:r w:rsidR="005B5BB9">
        <w:rPr>
          <w:sz w:val="22"/>
          <w:szCs w:val="22"/>
        </w:rPr>
        <w:t>+ FMT and</w:t>
      </w:r>
      <w:r w:rsidRPr="004F43E2">
        <w:rPr>
          <w:sz w:val="22"/>
          <w:szCs w:val="22"/>
        </w:rPr>
        <w:t xml:space="preserve"> sham-</w:t>
      </w:r>
      <w:r w:rsidR="005B5BB9">
        <w:rPr>
          <w:sz w:val="22"/>
          <w:szCs w:val="22"/>
        </w:rPr>
        <w:t>stimulation</w:t>
      </w:r>
      <w:r w:rsidRPr="004F43E2">
        <w:rPr>
          <w:sz w:val="22"/>
          <w:szCs w:val="22"/>
        </w:rPr>
        <w:t>+ FMT protocol on functional recovery in individuals with tetraplegia</w:t>
      </w:r>
      <w:r w:rsidR="000725B7">
        <w:rPr>
          <w:sz w:val="22"/>
          <w:szCs w:val="22"/>
        </w:rPr>
        <w:t>.</w:t>
      </w:r>
      <w:r w:rsidRPr="004F43E2">
        <w:rPr>
          <w:sz w:val="22"/>
          <w:szCs w:val="22"/>
        </w:rPr>
        <w:t xml:space="preserve"> Upon enrollment, participants will be randomized to receive </w:t>
      </w:r>
      <w:proofErr w:type="spellStart"/>
      <w:r w:rsidRPr="004F43E2">
        <w:rPr>
          <w:sz w:val="22"/>
          <w:szCs w:val="22"/>
        </w:rPr>
        <w:t>tRNS</w:t>
      </w:r>
      <w:proofErr w:type="spellEnd"/>
      <w:r w:rsidR="005B5BB9">
        <w:rPr>
          <w:sz w:val="22"/>
          <w:szCs w:val="22"/>
        </w:rPr>
        <w:t xml:space="preserve"> or </w:t>
      </w:r>
      <w:proofErr w:type="spellStart"/>
      <w:r w:rsidR="005B5BB9">
        <w:rPr>
          <w:sz w:val="22"/>
          <w:szCs w:val="22"/>
        </w:rPr>
        <w:t>tDCS</w:t>
      </w:r>
      <w:proofErr w:type="spellEnd"/>
      <w:r w:rsidRPr="004F43E2">
        <w:rPr>
          <w:sz w:val="22"/>
          <w:szCs w:val="22"/>
        </w:rPr>
        <w:t xml:space="preserve"> (12 per group). During the first week (wash-in phase), all participants will complete 3 sessions of sham-</w:t>
      </w:r>
      <w:proofErr w:type="spellStart"/>
      <w:r w:rsidRPr="004F43E2">
        <w:rPr>
          <w:sz w:val="22"/>
          <w:szCs w:val="22"/>
        </w:rPr>
        <w:t>t</w:t>
      </w:r>
      <w:r w:rsidR="005B5BB9">
        <w:rPr>
          <w:sz w:val="22"/>
          <w:szCs w:val="22"/>
        </w:rPr>
        <w:t>DCS</w:t>
      </w:r>
      <w:proofErr w:type="spellEnd"/>
      <w:r w:rsidRPr="004F43E2">
        <w:rPr>
          <w:sz w:val="22"/>
          <w:szCs w:val="22"/>
        </w:rPr>
        <w:t xml:space="preserve"> while practicing unimanual and bimanual functional tasks (FMT). In the second week (intervention phase), participants will receive either </w:t>
      </w:r>
      <w:proofErr w:type="spellStart"/>
      <w:r w:rsidRPr="004F43E2">
        <w:rPr>
          <w:sz w:val="22"/>
          <w:szCs w:val="22"/>
        </w:rPr>
        <w:t>tRNS</w:t>
      </w:r>
      <w:proofErr w:type="spellEnd"/>
      <w:r w:rsidR="005B5BB9">
        <w:rPr>
          <w:sz w:val="22"/>
          <w:szCs w:val="22"/>
        </w:rPr>
        <w:t xml:space="preserve"> or </w:t>
      </w:r>
      <w:proofErr w:type="spellStart"/>
      <w:r w:rsidR="005B5BB9">
        <w:rPr>
          <w:sz w:val="22"/>
          <w:szCs w:val="22"/>
        </w:rPr>
        <w:t>tDCS</w:t>
      </w:r>
      <w:proofErr w:type="spellEnd"/>
      <w:r w:rsidRPr="004F43E2">
        <w:rPr>
          <w:sz w:val="22"/>
          <w:szCs w:val="22"/>
        </w:rPr>
        <w:t xml:space="preserve"> during the FMT. All participants will complete three testing sessions: prior the wash-in phase (baseline testing), after the completion of the wash-in phase (post- testing week 1), and after the completion of the intervention phase (post- testing week 2) (Figure 1). </w:t>
      </w:r>
    </w:p>
    <w:p w14:paraId="024EF086" w14:textId="77777777" w:rsidR="002C5867" w:rsidRPr="004F43E2" w:rsidRDefault="00DE21D0" w:rsidP="00935A52">
      <w:pPr>
        <w:pStyle w:val="BodyText2"/>
        <w:spacing w:line="240" w:lineRule="auto"/>
        <w:ind w:left="1440" w:right="-115" w:firstLine="720"/>
        <w:jc w:val="both"/>
        <w:rPr>
          <w:sz w:val="22"/>
          <w:szCs w:val="22"/>
        </w:rPr>
      </w:pPr>
      <w:r>
        <w:rPr>
          <w:noProof/>
        </w:rPr>
        <w:drawing>
          <wp:inline distT="0" distB="0" distL="0" distR="0" wp14:anchorId="6BE03BC1" wp14:editId="14614152">
            <wp:extent cx="4422449" cy="2190750"/>
            <wp:effectExtent l="0" t="0" r="0" b="0"/>
            <wp:docPr id="3" name="Picture 1">
              <a:extLst xmlns:a="http://schemas.openxmlformats.org/drawingml/2006/main">
                <a:ext uri="{FF2B5EF4-FFF2-40B4-BE49-F238E27FC236}">
                  <a16:creationId xmlns:a16="http://schemas.microsoft.com/office/drawing/2014/main" id="{49B19AED-FCF6-4876-91E4-3E3B9B4771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9B19AED-FCF6-4876-91E4-3E3B9B477167}"/>
                        </a:ext>
                      </a:extLst>
                    </pic:cNvPr>
                    <pic:cNvPicPr>
                      <a:picLocks noChangeAspect="1"/>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4427688" cy="2193345"/>
                    </a:xfrm>
                    <a:prstGeom prst="rect">
                      <a:avLst/>
                    </a:prstGeom>
                  </pic:spPr>
                </pic:pic>
              </a:graphicData>
            </a:graphic>
          </wp:inline>
        </w:drawing>
      </w:r>
    </w:p>
    <w:p w14:paraId="296DFA68" w14:textId="77777777" w:rsidR="000848BF" w:rsidRDefault="000848BF" w:rsidP="00B71045">
      <w:pPr>
        <w:pStyle w:val="BodyText2"/>
        <w:spacing w:line="240" w:lineRule="auto"/>
        <w:ind w:right="-115"/>
      </w:pPr>
    </w:p>
    <w:p w14:paraId="7B2C2453" w14:textId="77777777" w:rsidR="009D622A" w:rsidRPr="0044227B" w:rsidRDefault="009D622A" w:rsidP="000D537D">
      <w:pPr>
        <w:ind w:left="1440"/>
        <w:rPr>
          <w:b/>
          <w:sz w:val="22"/>
          <w:szCs w:val="22"/>
        </w:rPr>
      </w:pPr>
    </w:p>
    <w:p w14:paraId="677A6C00" w14:textId="77777777" w:rsidR="009D622A" w:rsidRPr="0044227B" w:rsidRDefault="009D622A" w:rsidP="004F4CFB">
      <w:pPr>
        <w:ind w:left="1440"/>
        <w:rPr>
          <w:b/>
          <w:sz w:val="22"/>
          <w:szCs w:val="22"/>
        </w:rPr>
      </w:pPr>
      <w:r w:rsidRPr="0044227B">
        <w:rPr>
          <w:b/>
          <w:sz w:val="22"/>
          <w:szCs w:val="22"/>
        </w:rPr>
        <w:t>3.3.2</w:t>
      </w:r>
      <w:r w:rsidRPr="0044227B">
        <w:rPr>
          <w:b/>
          <w:sz w:val="22"/>
          <w:szCs w:val="22"/>
        </w:rPr>
        <w:tab/>
        <w:t>Schedule of Events</w:t>
      </w:r>
    </w:p>
    <w:p w14:paraId="5E8E32E9" w14:textId="77777777" w:rsidR="00A03D85" w:rsidRDefault="00A03D85" w:rsidP="00A03D85">
      <w:pPr>
        <w:ind w:left="2160"/>
        <w:rPr>
          <w:b/>
          <w:sz w:val="22"/>
          <w:szCs w:val="22"/>
        </w:rPr>
      </w:pPr>
    </w:p>
    <w:p w14:paraId="1043F89A" w14:textId="77777777" w:rsidR="00C87BF3" w:rsidRDefault="00A03D85" w:rsidP="004F43E2">
      <w:pPr>
        <w:ind w:left="1440" w:firstLine="720"/>
        <w:jc w:val="both"/>
        <w:rPr>
          <w:sz w:val="22"/>
          <w:szCs w:val="22"/>
        </w:rPr>
      </w:pPr>
      <w:r w:rsidRPr="0044227B">
        <w:rPr>
          <w:b/>
          <w:sz w:val="22"/>
          <w:szCs w:val="22"/>
        </w:rPr>
        <w:t xml:space="preserve">Screening, </w:t>
      </w:r>
      <w:r w:rsidR="006C465F">
        <w:rPr>
          <w:b/>
          <w:sz w:val="22"/>
          <w:szCs w:val="22"/>
        </w:rPr>
        <w:t>consent and enrollment</w:t>
      </w:r>
      <w:r w:rsidR="00935A52">
        <w:rPr>
          <w:b/>
          <w:sz w:val="22"/>
          <w:szCs w:val="22"/>
        </w:rPr>
        <w:t xml:space="preserve">. </w:t>
      </w:r>
      <w:r w:rsidRPr="0044227B">
        <w:rPr>
          <w:sz w:val="22"/>
          <w:szCs w:val="22"/>
        </w:rPr>
        <w:t>Study staff will meet with prospective participants to explain study details and screen participants to determine whether t</w:t>
      </w:r>
      <w:r w:rsidR="00C87BF3">
        <w:rPr>
          <w:sz w:val="22"/>
          <w:szCs w:val="22"/>
        </w:rPr>
        <w:t xml:space="preserve">hey meet eligibility criteria. </w:t>
      </w:r>
      <w:r w:rsidRPr="0044227B">
        <w:rPr>
          <w:sz w:val="22"/>
          <w:szCs w:val="22"/>
        </w:rPr>
        <w:t xml:space="preserve">Once eligibility and desire to participate in the </w:t>
      </w:r>
      <w:r w:rsidRPr="00A03D85">
        <w:rPr>
          <w:sz w:val="22"/>
          <w:szCs w:val="22"/>
        </w:rPr>
        <w:t>study has been confirmed,</w:t>
      </w:r>
      <w:r w:rsidR="00C87BF3">
        <w:rPr>
          <w:sz w:val="22"/>
          <w:szCs w:val="22"/>
        </w:rPr>
        <w:t xml:space="preserve"> i</w:t>
      </w:r>
      <w:r w:rsidR="00C87BF3" w:rsidRPr="00C87BF3">
        <w:rPr>
          <w:sz w:val="22"/>
          <w:szCs w:val="22"/>
        </w:rPr>
        <w:t xml:space="preserve">nformed consent will be obtained from the participants by a member of the investigative team authorized to consent for this study. The conversation is expected to include a thorough discussion of what is expected to happen during the study, risks and benefits of study participation, </w:t>
      </w:r>
      <w:r w:rsidR="002C5867">
        <w:rPr>
          <w:sz w:val="22"/>
          <w:szCs w:val="22"/>
        </w:rPr>
        <w:t xml:space="preserve">and any possible alternatives. </w:t>
      </w:r>
      <w:r w:rsidR="00C87BF3" w:rsidRPr="00C87BF3">
        <w:rPr>
          <w:sz w:val="22"/>
          <w:szCs w:val="22"/>
        </w:rPr>
        <w:t xml:space="preserve">Subjects will be given sufficient time to review the documents and ask questions. </w:t>
      </w:r>
      <w:r w:rsidR="00C87BF3">
        <w:rPr>
          <w:sz w:val="22"/>
          <w:szCs w:val="22"/>
        </w:rPr>
        <w:t xml:space="preserve">All participants </w:t>
      </w:r>
      <w:r w:rsidR="00C87BF3" w:rsidRPr="00C87BF3">
        <w:rPr>
          <w:sz w:val="22"/>
          <w:szCs w:val="22"/>
        </w:rPr>
        <w:t>will be informed that their involvement in the study is voluntary and that they may withdraw at any time</w:t>
      </w:r>
      <w:r w:rsidR="006C465F">
        <w:rPr>
          <w:sz w:val="22"/>
          <w:szCs w:val="22"/>
        </w:rPr>
        <w:t xml:space="preserve"> while </w:t>
      </w:r>
      <w:r w:rsidR="00C87BF3" w:rsidRPr="00C87BF3">
        <w:rPr>
          <w:sz w:val="22"/>
          <w:szCs w:val="22"/>
        </w:rPr>
        <w:t xml:space="preserve">their medical care will not be affected by their decision on </w:t>
      </w:r>
      <w:proofErr w:type="gramStart"/>
      <w:r w:rsidR="00C87BF3" w:rsidRPr="00C87BF3">
        <w:rPr>
          <w:sz w:val="22"/>
          <w:szCs w:val="22"/>
        </w:rPr>
        <w:t>whether or not</w:t>
      </w:r>
      <w:proofErr w:type="gramEnd"/>
      <w:r w:rsidR="00C87BF3" w:rsidRPr="00C87BF3">
        <w:rPr>
          <w:sz w:val="22"/>
          <w:szCs w:val="22"/>
        </w:rPr>
        <w:t xml:space="preserve"> to participate.</w:t>
      </w:r>
      <w:r w:rsidR="005F4346">
        <w:rPr>
          <w:sz w:val="22"/>
          <w:szCs w:val="22"/>
        </w:rPr>
        <w:t xml:space="preserve"> </w:t>
      </w:r>
      <w:r w:rsidR="006C465F" w:rsidRPr="00C87BF3">
        <w:rPr>
          <w:sz w:val="22"/>
          <w:szCs w:val="22"/>
        </w:rPr>
        <w:t>If they decide to participate, they will then sign the informed consent document</w:t>
      </w:r>
      <w:r w:rsidR="006C465F">
        <w:rPr>
          <w:sz w:val="22"/>
          <w:szCs w:val="22"/>
        </w:rPr>
        <w:t xml:space="preserve"> and </w:t>
      </w:r>
      <w:r w:rsidR="006C465F" w:rsidRPr="00C87BF3">
        <w:rPr>
          <w:sz w:val="22"/>
          <w:szCs w:val="22"/>
        </w:rPr>
        <w:t xml:space="preserve">a copy will be given to them.  </w:t>
      </w:r>
      <w:r w:rsidR="006C465F">
        <w:rPr>
          <w:sz w:val="22"/>
          <w:szCs w:val="22"/>
        </w:rPr>
        <w:t>Upon enrollment in the study, d</w:t>
      </w:r>
      <w:r w:rsidR="006C465F" w:rsidRPr="006C465F">
        <w:rPr>
          <w:sz w:val="22"/>
          <w:szCs w:val="22"/>
        </w:rPr>
        <w:t xml:space="preserve">emographic characteristics and medical history </w:t>
      </w:r>
      <w:r w:rsidR="0075121F">
        <w:rPr>
          <w:sz w:val="22"/>
          <w:szCs w:val="22"/>
        </w:rPr>
        <w:t xml:space="preserve">of the participant </w:t>
      </w:r>
      <w:r w:rsidR="006C465F" w:rsidRPr="006C465F">
        <w:rPr>
          <w:sz w:val="22"/>
          <w:szCs w:val="22"/>
        </w:rPr>
        <w:t xml:space="preserve">will </w:t>
      </w:r>
      <w:r w:rsidR="006C465F">
        <w:rPr>
          <w:sz w:val="22"/>
          <w:szCs w:val="22"/>
        </w:rPr>
        <w:t xml:space="preserve">also </w:t>
      </w:r>
      <w:r w:rsidR="006C465F" w:rsidRPr="006C465F">
        <w:rPr>
          <w:sz w:val="22"/>
          <w:szCs w:val="22"/>
        </w:rPr>
        <w:t>be obtained</w:t>
      </w:r>
      <w:r w:rsidR="006C465F">
        <w:rPr>
          <w:sz w:val="22"/>
          <w:szCs w:val="22"/>
        </w:rPr>
        <w:t xml:space="preserve">. </w:t>
      </w:r>
    </w:p>
    <w:p w14:paraId="1AA4EB43" w14:textId="77777777" w:rsidR="00C87BF3" w:rsidRDefault="00C87BF3" w:rsidP="00935A52">
      <w:pPr>
        <w:ind w:left="1440"/>
        <w:rPr>
          <w:sz w:val="22"/>
          <w:szCs w:val="22"/>
        </w:rPr>
      </w:pPr>
    </w:p>
    <w:p w14:paraId="43E22F79" w14:textId="77777777" w:rsidR="006C465F" w:rsidRDefault="006C465F" w:rsidP="00497157">
      <w:pPr>
        <w:ind w:left="1440"/>
        <w:jc w:val="both"/>
        <w:rPr>
          <w:sz w:val="22"/>
          <w:szCs w:val="22"/>
        </w:rPr>
      </w:pPr>
      <w:r w:rsidRPr="0075121F">
        <w:rPr>
          <w:sz w:val="22"/>
          <w:szCs w:val="22"/>
        </w:rPr>
        <w:t xml:space="preserve">All the </w:t>
      </w:r>
      <w:r w:rsidR="00654BAB">
        <w:rPr>
          <w:sz w:val="22"/>
          <w:szCs w:val="22"/>
        </w:rPr>
        <w:t>participants will complete 3</w:t>
      </w:r>
      <w:r w:rsidRPr="0075121F">
        <w:rPr>
          <w:sz w:val="22"/>
          <w:szCs w:val="22"/>
        </w:rPr>
        <w:t xml:space="preserve"> testing session</w:t>
      </w:r>
      <w:r w:rsidR="00497157">
        <w:rPr>
          <w:sz w:val="22"/>
          <w:szCs w:val="22"/>
        </w:rPr>
        <w:t>s and 6 intervention sessions</w:t>
      </w:r>
      <w:r w:rsidRPr="0075121F">
        <w:rPr>
          <w:sz w:val="22"/>
          <w:szCs w:val="22"/>
        </w:rPr>
        <w:t xml:space="preserve"> for </w:t>
      </w:r>
      <w:r w:rsidR="00497157">
        <w:rPr>
          <w:sz w:val="22"/>
          <w:szCs w:val="22"/>
        </w:rPr>
        <w:t>t</w:t>
      </w:r>
      <w:r w:rsidRPr="0075121F">
        <w:rPr>
          <w:sz w:val="22"/>
          <w:szCs w:val="22"/>
        </w:rPr>
        <w:t>he purpose</w:t>
      </w:r>
      <w:r w:rsidR="00497157">
        <w:rPr>
          <w:sz w:val="22"/>
          <w:szCs w:val="22"/>
        </w:rPr>
        <w:t xml:space="preserve">s of this study. </w:t>
      </w:r>
    </w:p>
    <w:p w14:paraId="57440F65" w14:textId="77777777" w:rsidR="00497157" w:rsidRDefault="00497157" w:rsidP="00497157">
      <w:pPr>
        <w:ind w:left="1440"/>
        <w:jc w:val="both"/>
        <w:rPr>
          <w:sz w:val="22"/>
          <w:szCs w:val="22"/>
        </w:rPr>
      </w:pPr>
    </w:p>
    <w:p w14:paraId="690F78BF" w14:textId="77777777" w:rsidR="00C40B25" w:rsidRDefault="00C40B25" w:rsidP="00C40B25">
      <w:pPr>
        <w:ind w:left="1440"/>
        <w:jc w:val="both"/>
        <w:rPr>
          <w:b/>
          <w:sz w:val="22"/>
          <w:szCs w:val="22"/>
          <w:u w:val="single"/>
        </w:rPr>
      </w:pPr>
      <w:r w:rsidRPr="00C40B25">
        <w:rPr>
          <w:b/>
          <w:sz w:val="22"/>
          <w:szCs w:val="22"/>
          <w:u w:val="single"/>
        </w:rPr>
        <w:t>Testing Procedures</w:t>
      </w:r>
    </w:p>
    <w:p w14:paraId="1198162D" w14:textId="77777777" w:rsidR="00C40B25" w:rsidRPr="00C40B25" w:rsidRDefault="00C40B25" w:rsidP="00C40B25">
      <w:pPr>
        <w:ind w:left="1440"/>
        <w:jc w:val="both"/>
        <w:rPr>
          <w:b/>
          <w:sz w:val="22"/>
          <w:szCs w:val="22"/>
          <w:u w:val="single"/>
        </w:rPr>
      </w:pPr>
    </w:p>
    <w:p w14:paraId="12976736" w14:textId="77777777" w:rsidR="00C40B25" w:rsidRPr="00C40B25" w:rsidRDefault="00C40B25" w:rsidP="00C40B25">
      <w:pPr>
        <w:ind w:left="1440" w:firstLine="720"/>
        <w:jc w:val="both"/>
        <w:rPr>
          <w:sz w:val="22"/>
          <w:szCs w:val="22"/>
        </w:rPr>
      </w:pPr>
      <w:r w:rsidRPr="00C40B25">
        <w:rPr>
          <w:sz w:val="22"/>
          <w:szCs w:val="22"/>
        </w:rPr>
        <w:t xml:space="preserve">Each participant will undergo a neural excitability assessment and a comprehensive clinical evaluation, clinical accessors will be blinded to the subject’s group assignment. </w:t>
      </w:r>
      <w:proofErr w:type="gramStart"/>
      <w:r w:rsidRPr="00C40B25">
        <w:rPr>
          <w:sz w:val="22"/>
          <w:szCs w:val="22"/>
        </w:rPr>
        <w:t>In particular, cortical</w:t>
      </w:r>
      <w:proofErr w:type="gramEnd"/>
      <w:r w:rsidRPr="00C40B25">
        <w:rPr>
          <w:sz w:val="22"/>
          <w:szCs w:val="22"/>
        </w:rPr>
        <w:t xml:space="preserve"> excitability will be tested using corticomotor evoked potentials. Unimanual and bimanual performance will be assessed with the Grasp and Release Test (GRT) </w:t>
      </w:r>
      <w:r w:rsidRPr="00C40B25">
        <w:rPr>
          <w:sz w:val="22"/>
          <w:szCs w:val="22"/>
        </w:rPr>
        <w:fldChar w:fldCharType="begin" w:fldLock="1"/>
      </w:r>
      <w:r w:rsidR="004C530D">
        <w:rPr>
          <w:sz w:val="22"/>
          <w:szCs w:val="22"/>
        </w:rPr>
        <w:instrText>ADDIN CSL_CITATION {"citationItems":[{"id":"ITEM-1","itemData":{"DOI":"10.1016/0363-5023(94)90008-6","ISSN":"0363-5023","PMID":"8201183","abstract":"We developed a quantitative grasp and release test for assessing a hand neuroprosthesis in C5 and C6 level tetraplegic patients. The objectives were (1) to determine if a patient's hand performance with the neuroprosthesis exceeded a defined, clinically acceptable baseline, (2) to compare performance with and without the neuroprosthesis, (3) to measure the consistency of performance over time, and (4) to compare performance among patients. In the test, patients grasped, moved, and released one of six different objects as many times as possible in five 30-second trials for each object, with and without the neuroprosthesis. Unlike earlier tests, the objects and the task were chosen to span a range of difficulties appropriate for C5 and C6 tetraplegic patients using a hand neuroprosthesis. Data from five patients showed that performance with the neuroprosthesis was above the baseline; performance improved with the neuroprosthesis, although it was not generally consistent across sessions; and the neuroprosthesis helped C5 patients manipulate most objects and helped C6 patients primarily with more difficult objects.","author":[{"dropping-particle":"","family":"Wuolle","given":"K S","non-dropping-particle":"","parse-names":false,"suffix":""},{"dropping-particle":"","family":"Doren","given":"C L","non-dropping-particle":"Van","parse-names":false,"suffix":""},{"dropping-particle":"","family":"Thrope","given":"G B","non-dropping-particle":"","parse-names":false,"suffix":""},{"dropping-particle":"","family":"Keith","given":"M W","non-dropping-particle":"","parse-names":false,"suffix":""},{"dropping-particle":"","family":"Peckham","given":"P H","non-dropping-particle":"","parse-names":false,"suffix":""}],"container-title":"The Journal of hand surgery","id":"ITEM-1","issue":"2","issued":{"date-parts":[["1994","3"]]},"page":"209-18","title":"Development of a quantitative hand grasp and release test for patients with tetraplegia using a hand neuroprosthesis.","type":"article-journal","volume":"19"},"uris":["http://www.mendeley.com/documents/?uuid=d8c22cd5-8bdd-3c2c-999d-d4d24b478567"]}],"mendeley":{"formattedCitation":"[12]","plainTextFormattedCitation":"[12]","previouslyFormattedCitation":"[12]"},"properties":{"noteIndex":0},"schema":"https://github.com/citation-style-language/schema/raw/master/csl-citation.json"}</w:instrText>
      </w:r>
      <w:r w:rsidRPr="00C40B25">
        <w:rPr>
          <w:sz w:val="22"/>
          <w:szCs w:val="22"/>
        </w:rPr>
        <w:fldChar w:fldCharType="separate"/>
      </w:r>
      <w:r w:rsidR="00906C02" w:rsidRPr="00906C02">
        <w:rPr>
          <w:noProof/>
          <w:sz w:val="22"/>
          <w:szCs w:val="22"/>
        </w:rPr>
        <w:t>[12]</w:t>
      </w:r>
      <w:r w:rsidRPr="00C40B25">
        <w:rPr>
          <w:sz w:val="22"/>
          <w:szCs w:val="22"/>
        </w:rPr>
        <w:fldChar w:fldCharType="end"/>
      </w:r>
      <w:r w:rsidRPr="00C40B25">
        <w:rPr>
          <w:sz w:val="22"/>
          <w:szCs w:val="22"/>
        </w:rPr>
        <w:t xml:space="preserve"> and the </w:t>
      </w:r>
      <w:proofErr w:type="spellStart"/>
      <w:r w:rsidRPr="00C40B25">
        <w:rPr>
          <w:sz w:val="22"/>
          <w:szCs w:val="22"/>
        </w:rPr>
        <w:t>Chedoke</w:t>
      </w:r>
      <w:proofErr w:type="spellEnd"/>
      <w:r w:rsidRPr="00C40B25">
        <w:rPr>
          <w:sz w:val="22"/>
          <w:szCs w:val="22"/>
        </w:rPr>
        <w:t xml:space="preserve"> Arm and Hand Activity Inventory (CAHAI) </w:t>
      </w:r>
      <w:r w:rsidRPr="00C40B25">
        <w:rPr>
          <w:sz w:val="22"/>
          <w:szCs w:val="22"/>
        </w:rPr>
        <w:fldChar w:fldCharType="begin" w:fldLock="1"/>
      </w:r>
      <w:r w:rsidR="004C530D">
        <w:rPr>
          <w:sz w:val="22"/>
          <w:szCs w:val="22"/>
        </w:rPr>
        <w:instrText>ADDIN CSL_CITATION {"citationItems":[{"id":"ITEM-1","itemData":{"DOI":"10.1016/j.apmr.2005.03.017","ISSN":"00039993","PMID":"16084816","abstract":"OBJECTIVES To estimate the test-retest reliability and validity of the Chedoke Arm and Hand Activity Inventory (CAHAI) and to test whether the CAHAI was more sensitive to change in upper-limb function than the Impairment Inventory of the Chedoke-McMaster Stroke Assessment (CMSA) and the Action Research Arm Test (ARAT). DESIGN Construct validation process. SETTING Inpatient/outpatient rehabilitation facilities. PARTICIPANTS Stratified sample of 39 survivors of stroke: 24 early (mean age, 71.4 y; mean days poststroke, 27.3) and 15 chronic (mean age, 64.0 y; mean days poststroke, 101.7). INTERVENTION Regular therapy. MAIN OUTCOME MEASURES Intraclass correlation coefficients (ICCs), receiver operating characteristic (ROC), standard error of measurement, and correlation coefficients. RESULTS High interrater reliability was established with an ICC of .98 (95% confidence interval [CI], .96-.99). The minimal detectable change score was 6.3 CAHAI points. Higher correlations were obtained between the CAHAI and the ARAT and CMSA scores compared with the CMSA shoulder pain scores (1-sided, P=.001). Areas under the ROC curves were as follows: CAHAI, .95 (95% CI, 0.87-1.00); CMSA, .76 (95% CI, .61-.92); and ARAT, .88 (95% CI, 0.76-1.00). CONCLUSIONS High interrater reliability and convergent and discriminant cross-sectional validity were established for the CAHAI. The CAHAI is more sensitive to clinically important change than the ARAT.","author":[{"dropping-particle":"","family":"Barreca","given":"Susan R.","non-dropping-particle":"","parse-names":false,"suffix":""},{"dropping-particle":"","family":"Stratford","given":"Paul W.","non-dropping-particle":"","parse-names":false,"suffix":""},{"dropping-particle":"","family":"Lambert","given":"Cynthia L.","non-dropping-particle":"","parse-names":false,"suffix":""},{"dropping-particle":"","family":"Masters","given":"Lisa M.","non-dropping-particle":"","parse-names":false,"suffix":""},{"dropping-particle":"","family":"Streiner","given":"David L.","non-dropping-particle":"","parse-names":false,"suffix":""}],"container-title":"Archives of Physical Medicine and Rehabilitation","id":"ITEM-1","issue":"8","issued":{"date-parts":[["2005","8"]]},"page":"1616-1622","title":"Test-Retest Reliability, Validity, and Sensitivity of the Chedoke Arm and Hand Activity Inventory: A New Measure of Upper-Limb Function for Survivors of Stroke","type":"article-journal","volume":"86"},"uris":["http://www.mendeley.com/documents/?uuid=7a1adb61-e690-3637-8fd6-f818ea743c96"]}],"mendeley":{"formattedCitation":"[13]","plainTextFormattedCitation":"[13]","previouslyFormattedCitation":"[13]"},"properties":{"noteIndex":0},"schema":"https://github.com/citation-style-language/schema/raw/master/csl-citation.json"}</w:instrText>
      </w:r>
      <w:r w:rsidRPr="00C40B25">
        <w:rPr>
          <w:sz w:val="22"/>
          <w:szCs w:val="22"/>
        </w:rPr>
        <w:fldChar w:fldCharType="separate"/>
      </w:r>
      <w:r w:rsidR="00906C02" w:rsidRPr="00906C02">
        <w:rPr>
          <w:noProof/>
          <w:sz w:val="22"/>
          <w:szCs w:val="22"/>
        </w:rPr>
        <w:t>[13]</w:t>
      </w:r>
      <w:r w:rsidRPr="00C40B25">
        <w:rPr>
          <w:sz w:val="22"/>
          <w:szCs w:val="22"/>
        </w:rPr>
        <w:fldChar w:fldCharType="end"/>
      </w:r>
      <w:r w:rsidRPr="00C40B25">
        <w:rPr>
          <w:sz w:val="22"/>
          <w:szCs w:val="22"/>
        </w:rPr>
        <w:t>, respectively. The revised Nottingham Sensory Assessment (</w:t>
      </w:r>
      <w:proofErr w:type="spellStart"/>
      <w:r w:rsidRPr="00C40B25">
        <w:rPr>
          <w:sz w:val="22"/>
          <w:szCs w:val="22"/>
        </w:rPr>
        <w:t>rNSA</w:t>
      </w:r>
      <w:proofErr w:type="spellEnd"/>
      <w:r w:rsidRPr="00C40B25">
        <w:rPr>
          <w:sz w:val="22"/>
          <w:szCs w:val="22"/>
        </w:rPr>
        <w:t xml:space="preserve">) </w:t>
      </w:r>
      <w:r w:rsidRPr="00C40B25">
        <w:rPr>
          <w:sz w:val="22"/>
          <w:szCs w:val="22"/>
        </w:rPr>
        <w:fldChar w:fldCharType="begin" w:fldLock="1"/>
      </w:r>
      <w:r w:rsidR="004C530D">
        <w:rPr>
          <w:sz w:val="22"/>
          <w:szCs w:val="22"/>
        </w:rPr>
        <w:instrText>ADDIN CSL_CITATION {"citationItems":[{"id":"ITEM-1","itemData":{"DOI":"10.1016/S0031-9406(05)61454-X","ISSN":"0031-9406","abstract":"The Nottingham Sensory Assessment is a standardised scale for assessing sensory impairment in stroke patients. In the first study, a revised version of the scale was developed by reviewing the assessments of 61 patients admitted to a stroke unit. The scale was shortened by reducing testing of the unaffected limb to light touch, temperature and kinaesthetic sensation. An heirarchy of items was identified so that testing could be discontinued if no impairment was detected in the distal portion of the limb. In a second study, the reliability of the revised Nottingham Sensory Assessment was checked by two physiotherapists, who both assessed 27 stroke patients. Kappa co-efficients showed acceptable agreement on 12 out of 86 items. The light touch and pressure scales were the most reliable and pin-prick and temperature scales were the least reliable.","author":[{"dropping-particle":"","family":"Lincoln","given":"NB","non-dropping-particle":"","parse-names":false,"suffix":""},{"dropping-particle":"","family":"Jackson","given":"JM","non-dropping-particle":"","parse-names":false,"suffix":""},{"dropping-particle":"","family":"Adams","given":"SA","non-dropping-particle":"","parse-names":false,"suffix":""}],"container-title":"Physiotherapy","id":"ITEM-1","issue":"8","issued":{"date-parts":[["1998","8","1"]]},"page":"358-365","publisher":"Elsevier","title":"Reliability and Revision of the Nottingham Sensory Assessment for Stroke Patients","type":"article-journal","volume":"84"},"uris":["http://www.mendeley.com/documents/?uuid=635c0cdf-16a1-395f-93cb-a41a2ef05a0e"]}],"mendeley":{"formattedCitation":"[14]","plainTextFormattedCitation":"[14]","previouslyFormattedCitation":"[14]"},"properties":{"noteIndex":0},"schema":"https://github.com/citation-style-language/schema/raw/master/csl-citation.json"}</w:instrText>
      </w:r>
      <w:r w:rsidRPr="00C40B25">
        <w:rPr>
          <w:sz w:val="22"/>
          <w:szCs w:val="22"/>
        </w:rPr>
        <w:fldChar w:fldCharType="separate"/>
      </w:r>
      <w:r w:rsidR="00906C02" w:rsidRPr="00906C02">
        <w:rPr>
          <w:noProof/>
          <w:sz w:val="22"/>
          <w:szCs w:val="22"/>
        </w:rPr>
        <w:t>[14]</w:t>
      </w:r>
      <w:r w:rsidRPr="00C40B25">
        <w:rPr>
          <w:sz w:val="22"/>
          <w:szCs w:val="22"/>
        </w:rPr>
        <w:fldChar w:fldCharType="end"/>
      </w:r>
      <w:r w:rsidRPr="00C40B25">
        <w:rPr>
          <w:sz w:val="22"/>
          <w:szCs w:val="22"/>
        </w:rPr>
        <w:t xml:space="preserve"> and the tactile sensation subtest of the Graded Redefined Assessment of Strength Sensibility and Prehension (GRASSP) </w:t>
      </w:r>
      <w:r w:rsidRPr="00C40B25">
        <w:rPr>
          <w:sz w:val="22"/>
          <w:szCs w:val="22"/>
        </w:rPr>
        <w:fldChar w:fldCharType="begin" w:fldLock="1"/>
      </w:r>
      <w:r w:rsidR="004C530D">
        <w:rPr>
          <w:sz w:val="22"/>
          <w:szCs w:val="22"/>
        </w:rPr>
        <w:instrText>ADDIN CSL_CITATION {"citationItems":[{"id":"ITEM-1","itemData":{"DOI":"10.3171/2012.6.AOSPINE1258","ISSN":"1547-5654","PMID":"22985372","abstract":"OBJECT Primary outcome measures for the upper limb in trials concerning human spinal cord injury (SCI) need to distinguish between functional and neurological changes and require satisfying psychometric properties for clinical application. METHODS The Graded Redefined Assessment of Strength, Sensibility and Prehension (GRASSP) was developed by the International GRASSP Research and Design Team as a clinical outcome measure specific to the upper limbs for individuals with complete and incomplete tetraplegia (that is, paralysis or paresis). It can be administered across the continuum of recovery after acute cervical SCI. An international multicenter study (involving centers in North America and Europe) was conducted to apply the measure internationally and examine its applicability. RESULTS The GRASSP is a multimodal test comprising 5 subtests for each upper limb: dorsal sensation, palmar sensation (tested with Semmes-Weinstein monofilaments), strength (tested with motor grading of 10 muscles), and prehension (distinguishes scores for qualitative and quantitative grasping). Thus, administration of the GRASSP results in 5 numerical scores that provide a comprehensive profile of upper-limb function. The established interrater and test-retest reliability for all subtests within the GRASSP range from 0.84 to 0.96 and from 0.86 to 0.98, respectively. The GRASSP is approximately 50% more sensitive (construct validity) than the International Standards of Neurological Classification of SCI (ISNCSCI) in defining sensory and motor integrity of the upper limb. The subtests show concurrence with the Spinal Cord Independence Measure (SCIM), SCIM self-care subscales, and Capabilities of Upper Extremity Questionnaire (CUE) (the strongest concurrence to impairment is with self-perception of function [CUE], 0.57-0.83, p &lt; 0.0001). CONCLUSIONS The GRASSP was found to demonstrate reliability, construct validity, and concurrent validity for use as a standardized upper-limb impairment measure for individuals with complete or incomplete tetraplegia. Responsiveness (follow-up from onset to 1 year postinjury) is currently being tested in international studies (in North America and Europe). The GRASSP can be administered early after injury, thus making it a tool that can be administered in acute care (in the ICU), rehabilitation, and outpatient clinics.","author":[{"dropping-particle":"","family":"Kalsi-Ryan","given":"Sukhvinder","non-dropping-particle":"","parse-names":false,"suffix":""},{"dropping-particle":"","family":"Curt","given":"Armin","non-dropping-particle":"","parse-names":false,"suffix":""},{"dropping-particle":"","family":"Verrier","given":"Mary C.","non-dropping-particle":"","parse-names":false,"suffix":""},{"dropping-particle":"","family":"Fehlings","given":"Michael G.","non-dropping-particle":"","parse-names":false,"suffix":""}],"container-title":"Journal of Neurosurgery: Spine","id":"ITEM-1","issue":"Suppl1","issued":{"date-parts":[["2012","9"]]},"page":"65-76","title":"Development of the Graded Redefined Assessment of Strength, Sensibility and Prehension (GRASSP): reviewing measurement specific to the upper limb in tetraplegia","type":"article-journal","volume":"17"},"uris":["http://www.mendeley.com/documents/?uuid=7c641a1e-114b-3bf4-a522-59c628c425e1"]}],"mendeley":{"formattedCitation":"[15]","plainTextFormattedCitation":"[15]","previouslyFormattedCitation":"[15]"},"properties":{"noteIndex":0},"schema":"https://github.com/citation-style-language/schema/raw/master/csl-citation.json"}</w:instrText>
      </w:r>
      <w:r w:rsidRPr="00C40B25">
        <w:rPr>
          <w:sz w:val="22"/>
          <w:szCs w:val="22"/>
        </w:rPr>
        <w:fldChar w:fldCharType="separate"/>
      </w:r>
      <w:r w:rsidR="00906C02" w:rsidRPr="00906C02">
        <w:rPr>
          <w:noProof/>
          <w:sz w:val="22"/>
          <w:szCs w:val="22"/>
        </w:rPr>
        <w:t>[15]</w:t>
      </w:r>
      <w:r w:rsidRPr="00C40B25">
        <w:rPr>
          <w:sz w:val="22"/>
          <w:szCs w:val="22"/>
        </w:rPr>
        <w:fldChar w:fldCharType="end"/>
      </w:r>
      <w:r w:rsidRPr="00C40B25">
        <w:rPr>
          <w:sz w:val="22"/>
          <w:szCs w:val="22"/>
        </w:rPr>
        <w:t xml:space="preserve"> will be administered to identify sensory impairments. Also, pinch and grasp strength will be quantified. The testing procedures will be repeated 3 times as described in the design section. The estimated time for each testing session will be approximately 3.5 hours. </w:t>
      </w:r>
    </w:p>
    <w:p w14:paraId="555F3232" w14:textId="77777777" w:rsidR="00555909" w:rsidRDefault="00C40B25" w:rsidP="00141D21">
      <w:pPr>
        <w:ind w:left="1440" w:firstLine="720"/>
        <w:jc w:val="both"/>
        <w:rPr>
          <w:sz w:val="22"/>
          <w:szCs w:val="22"/>
        </w:rPr>
      </w:pPr>
      <w:r w:rsidRPr="00C40B25">
        <w:rPr>
          <w:b/>
          <w:i/>
          <w:sz w:val="22"/>
          <w:szCs w:val="22"/>
        </w:rPr>
        <w:t>Cortical excitability</w:t>
      </w:r>
      <w:r w:rsidRPr="00C40B25">
        <w:rPr>
          <w:sz w:val="22"/>
          <w:szCs w:val="22"/>
        </w:rPr>
        <w:t xml:space="preserve"> will be assessed with transcranial magnetic stimulation (TMS). Motor evoked potentials (MEPs) of thenar, </w:t>
      </w:r>
      <w:r w:rsidR="00D056AF">
        <w:rPr>
          <w:sz w:val="22"/>
          <w:szCs w:val="22"/>
        </w:rPr>
        <w:t xml:space="preserve">first dorsal interosseous, </w:t>
      </w:r>
      <w:r w:rsidRPr="00C40B25">
        <w:rPr>
          <w:sz w:val="22"/>
          <w:szCs w:val="22"/>
        </w:rPr>
        <w:t>hypothenar, and wrist extensors muscles will be recorded. These muscles have been chosen because they play a key role in UE function for persons with tetraplegia. Specifically, thenar</w:t>
      </w:r>
      <w:r w:rsidR="00610FFA">
        <w:rPr>
          <w:sz w:val="22"/>
          <w:szCs w:val="22"/>
        </w:rPr>
        <w:t xml:space="preserve">, first dorsal interosseous, </w:t>
      </w:r>
      <w:r w:rsidRPr="00C40B25">
        <w:rPr>
          <w:sz w:val="22"/>
          <w:szCs w:val="22"/>
        </w:rPr>
        <w:t xml:space="preserve">and hypothenar </w:t>
      </w:r>
      <w:r w:rsidR="00610FFA">
        <w:rPr>
          <w:sz w:val="22"/>
          <w:szCs w:val="22"/>
        </w:rPr>
        <w:t>are</w:t>
      </w:r>
      <w:r w:rsidRPr="00C40B25">
        <w:rPr>
          <w:sz w:val="22"/>
          <w:szCs w:val="22"/>
        </w:rPr>
        <w:t xml:space="preserve"> essential for functional hand activities, while wrist extensors allow for the formation of active tenodesis grasp in participants who have only trace amounts of intrinsic and/or extrinsic hand muscle control. </w:t>
      </w:r>
    </w:p>
    <w:p w14:paraId="40158F1E" w14:textId="77777777" w:rsidR="00C40B25" w:rsidRPr="00C40B25" w:rsidRDefault="00C40B25" w:rsidP="00B71045">
      <w:pPr>
        <w:ind w:left="1440" w:firstLine="720"/>
        <w:jc w:val="both"/>
        <w:rPr>
          <w:sz w:val="22"/>
          <w:szCs w:val="22"/>
        </w:rPr>
      </w:pPr>
      <w:r w:rsidRPr="00C40B25">
        <w:rPr>
          <w:sz w:val="22"/>
          <w:szCs w:val="22"/>
        </w:rPr>
        <w:t xml:space="preserve"> The MEPs will be induced using a </w:t>
      </w:r>
      <w:proofErr w:type="spellStart"/>
      <w:r w:rsidRPr="00C40B25">
        <w:rPr>
          <w:sz w:val="22"/>
          <w:szCs w:val="22"/>
        </w:rPr>
        <w:t>Magstim</w:t>
      </w:r>
      <w:proofErr w:type="spellEnd"/>
      <w:r w:rsidRPr="00C40B25">
        <w:rPr>
          <w:sz w:val="22"/>
          <w:szCs w:val="22"/>
        </w:rPr>
        <w:t xml:space="preserve"> 200 stimulator (The </w:t>
      </w:r>
      <w:proofErr w:type="spellStart"/>
      <w:r w:rsidRPr="00C40B25">
        <w:rPr>
          <w:sz w:val="22"/>
          <w:szCs w:val="22"/>
        </w:rPr>
        <w:t>Magstim</w:t>
      </w:r>
      <w:proofErr w:type="spellEnd"/>
      <w:r w:rsidRPr="00C40B25">
        <w:rPr>
          <w:sz w:val="22"/>
          <w:szCs w:val="22"/>
        </w:rPr>
        <w:t xml:space="preserve"> Company Ltd., </w:t>
      </w:r>
      <w:proofErr w:type="spellStart"/>
      <w:r w:rsidRPr="00C40B25">
        <w:rPr>
          <w:sz w:val="22"/>
          <w:szCs w:val="22"/>
        </w:rPr>
        <w:t>Whitland</w:t>
      </w:r>
      <w:proofErr w:type="spellEnd"/>
      <w:r w:rsidRPr="00C40B25">
        <w:rPr>
          <w:sz w:val="22"/>
          <w:szCs w:val="22"/>
        </w:rPr>
        <w:t xml:space="preserve">, UK) with a </w:t>
      </w:r>
      <w:r w:rsidR="00D056AF">
        <w:rPr>
          <w:sz w:val="22"/>
          <w:szCs w:val="22"/>
        </w:rPr>
        <w:t>figure</w:t>
      </w:r>
      <w:r w:rsidR="008B47BC">
        <w:rPr>
          <w:sz w:val="22"/>
          <w:szCs w:val="22"/>
        </w:rPr>
        <w:t>-</w:t>
      </w:r>
      <w:r w:rsidR="00D056AF">
        <w:rPr>
          <w:sz w:val="22"/>
          <w:szCs w:val="22"/>
        </w:rPr>
        <w:t>of</w:t>
      </w:r>
      <w:r w:rsidR="008B47BC">
        <w:rPr>
          <w:sz w:val="22"/>
          <w:szCs w:val="22"/>
        </w:rPr>
        <w:t>-</w:t>
      </w:r>
      <w:r w:rsidR="00D056AF">
        <w:rPr>
          <w:sz w:val="22"/>
          <w:szCs w:val="22"/>
        </w:rPr>
        <w:t xml:space="preserve">8 or </w:t>
      </w:r>
      <w:r w:rsidRPr="00C40B25">
        <w:rPr>
          <w:sz w:val="22"/>
          <w:szCs w:val="22"/>
        </w:rPr>
        <w:t>round coil</w:t>
      </w:r>
      <w:r w:rsidR="00610FFA">
        <w:rPr>
          <w:sz w:val="22"/>
          <w:szCs w:val="22"/>
        </w:rPr>
        <w:t>.</w:t>
      </w:r>
      <w:r w:rsidRPr="00C40B25">
        <w:rPr>
          <w:sz w:val="22"/>
          <w:szCs w:val="22"/>
        </w:rPr>
        <w:t xml:space="preserve"> The </w:t>
      </w:r>
      <w:r w:rsidR="001C22F6">
        <w:rPr>
          <w:sz w:val="22"/>
          <w:szCs w:val="22"/>
        </w:rPr>
        <w:t xml:space="preserve">figure-of-8 </w:t>
      </w:r>
      <w:r w:rsidRPr="00C40B25">
        <w:rPr>
          <w:sz w:val="22"/>
          <w:szCs w:val="22"/>
        </w:rPr>
        <w:t xml:space="preserve">coil will be positioned </w:t>
      </w:r>
      <w:r w:rsidR="00533559">
        <w:rPr>
          <w:sz w:val="22"/>
          <w:szCs w:val="22"/>
        </w:rPr>
        <w:t xml:space="preserve">over C3 or C4 </w:t>
      </w:r>
      <w:r w:rsidR="001C22F6">
        <w:rPr>
          <w:sz w:val="22"/>
          <w:szCs w:val="22"/>
        </w:rPr>
        <w:t xml:space="preserve">hand representation areas </w:t>
      </w:r>
      <w:r w:rsidR="001C22F6" w:rsidRPr="005806CE">
        <w:rPr>
          <w:sz w:val="22"/>
          <w:szCs w:val="22"/>
        </w:rPr>
        <w:t>with the handle pointing 45 degrees posteriorly and laterally, as this position is known to most directly activate the corticospinal</w:t>
      </w:r>
      <w:r w:rsidR="001C22F6" w:rsidRPr="005806CE">
        <w:rPr>
          <w:spacing w:val="-20"/>
          <w:sz w:val="22"/>
          <w:szCs w:val="22"/>
        </w:rPr>
        <w:t xml:space="preserve"> </w:t>
      </w:r>
      <w:r w:rsidR="001C22F6" w:rsidRPr="005806CE">
        <w:rPr>
          <w:sz w:val="22"/>
          <w:szCs w:val="22"/>
        </w:rPr>
        <w:t>tract.</w:t>
      </w:r>
      <w:r w:rsidR="001C22F6">
        <w:rPr>
          <w:sz w:val="22"/>
          <w:szCs w:val="22"/>
        </w:rPr>
        <w:t xml:space="preserve"> The round coil will be used i</w:t>
      </w:r>
      <w:r w:rsidR="001C22F6" w:rsidRPr="001C22F6">
        <w:rPr>
          <w:sz w:val="22"/>
          <w:szCs w:val="22"/>
        </w:rPr>
        <w:t xml:space="preserve">n the event of trace and/or absent muscle responses in the distal </w:t>
      </w:r>
      <w:r w:rsidR="001C22F6">
        <w:rPr>
          <w:sz w:val="22"/>
          <w:szCs w:val="22"/>
        </w:rPr>
        <w:t>UE</w:t>
      </w:r>
      <w:r w:rsidR="001C22F6" w:rsidRPr="001C22F6">
        <w:rPr>
          <w:sz w:val="22"/>
          <w:szCs w:val="22"/>
        </w:rPr>
        <w:t xml:space="preserve"> muscle groups (thenar,</w:t>
      </w:r>
      <w:r w:rsidR="001C22F6">
        <w:rPr>
          <w:sz w:val="22"/>
          <w:szCs w:val="22"/>
        </w:rPr>
        <w:t xml:space="preserve"> first dorsal interosseous,</w:t>
      </w:r>
      <w:r w:rsidR="00555909">
        <w:rPr>
          <w:sz w:val="22"/>
          <w:szCs w:val="22"/>
        </w:rPr>
        <w:t xml:space="preserve"> </w:t>
      </w:r>
      <w:r w:rsidR="001C22F6" w:rsidRPr="001C22F6">
        <w:rPr>
          <w:sz w:val="22"/>
          <w:szCs w:val="22"/>
        </w:rPr>
        <w:t>hypothenar)</w:t>
      </w:r>
      <w:r w:rsidR="001C22F6">
        <w:rPr>
          <w:sz w:val="22"/>
          <w:szCs w:val="22"/>
        </w:rPr>
        <w:t xml:space="preserve"> and will be positioned approximately over the </w:t>
      </w:r>
      <w:proofErr w:type="spellStart"/>
      <w:r w:rsidR="001C22F6">
        <w:rPr>
          <w:sz w:val="22"/>
          <w:szCs w:val="22"/>
        </w:rPr>
        <w:t>Cz</w:t>
      </w:r>
      <w:proofErr w:type="spellEnd"/>
      <w:r w:rsidR="001C22F6">
        <w:rPr>
          <w:sz w:val="22"/>
          <w:szCs w:val="22"/>
        </w:rPr>
        <w:t xml:space="preserve"> (vertex) area. </w:t>
      </w:r>
      <w:r w:rsidR="00B771E1">
        <w:rPr>
          <w:sz w:val="22"/>
          <w:szCs w:val="22"/>
        </w:rPr>
        <w:t xml:space="preserve">Previous research has shown that using </w:t>
      </w:r>
      <w:r w:rsidR="000F0332">
        <w:rPr>
          <w:sz w:val="22"/>
          <w:szCs w:val="22"/>
        </w:rPr>
        <w:t xml:space="preserve">a round coil over </w:t>
      </w:r>
      <w:proofErr w:type="spellStart"/>
      <w:r w:rsidR="000F0332">
        <w:rPr>
          <w:sz w:val="22"/>
          <w:szCs w:val="22"/>
        </w:rPr>
        <w:t>Cz</w:t>
      </w:r>
      <w:proofErr w:type="spellEnd"/>
      <w:r w:rsidR="000F0332">
        <w:rPr>
          <w:sz w:val="22"/>
          <w:szCs w:val="22"/>
        </w:rPr>
        <w:t xml:space="preserve"> </w:t>
      </w:r>
      <w:r w:rsidR="008C2C5E">
        <w:rPr>
          <w:sz w:val="22"/>
          <w:szCs w:val="22"/>
        </w:rPr>
        <w:t xml:space="preserve">can </w:t>
      </w:r>
      <w:r w:rsidR="00C72088">
        <w:rPr>
          <w:sz w:val="22"/>
          <w:szCs w:val="22"/>
        </w:rPr>
        <w:t xml:space="preserve">induce responses from UE distal muscle groups in non-injured </w:t>
      </w:r>
      <w:r w:rsidR="004C530D">
        <w:rPr>
          <w:sz w:val="22"/>
          <w:szCs w:val="22"/>
        </w:rPr>
        <w:fldChar w:fldCharType="begin" w:fldLock="1"/>
      </w:r>
      <w:r w:rsidR="004C530D">
        <w:rPr>
          <w:sz w:val="22"/>
          <w:szCs w:val="22"/>
        </w:rPr>
        <w:instrText>ADDIN CSL_CITATION {"citationItems":[{"id":"ITEM-1","itemData":{"DOI":"10.1016/j.clinph.2012.01.010","ISSN":"13882457","abstract":"Transcranial magnetic stimulation (TMS) is an established neurophysiological tool to examine the integrity of the fast-conducting corticomotor pathways in a wide range of diseases associated with motor dysfunction. This includes but is not limited to patients with multiple sclerosis, amyotrophic lateral sclerosis, stroke, movement disorders, disorders affecting the spinal cord, facial and other cranial nerves. These guidelines cover practical aspects of TMS in a clinical setting. We first discuss the technical and physiological aspects of TMS that are relevant for the diagnostic use of TMS. We then lay out the general principles that apply to a standardized clinical examination of the fast-conducting corticomotor pathways with single-pulse TMS. This is followed by a detailed description of how to examine corticomotor conduction to the hand, leg, trunk and facial muscles in patients. Additional sections cover safety issues, the triple stimulation technique, and neuropediatric aspects of TMS. © 2012 International Federation of Clinical Neurophysiology.","author":[{"dropping-particle":"","family":"Groppa","given":"S.","non-dropping-particle":"","parse-names":false,"suffix":""},{"dropping-particle":"","family":"Oliviero","given":"A.","non-dropping-particle":"","parse-names":false,"suffix":""},{"dropping-particle":"","family":"Eisen","given":"A.","non-dropping-particle":"","parse-names":false,"suffix":""},{"dropping-particle":"","family":"Quartarone","given":"A.","non-dropping-particle":"","parse-names":false,"suffix":""},{"dropping-particle":"","family":"Cohen","given":"L. G.","non-dropping-particle":"","parse-names":false,"suffix":""},{"dropping-particle":"","family":"Mall","given":"V.","non-dropping-particle":"","parse-names":false,"suffix":""},{"dropping-particle":"","family":"Kaelin-Lang","given":"A.","non-dropping-particle":"","parse-names":false,"suffix":""},{"dropping-particle":"","family":"Mima","given":"T.","non-dropping-particle":"","parse-names":false,"suffix":""},{"dropping-particle":"","family":"Rossi","given":"S.","non-dropping-particle":"","parse-names":false,"suffix":""},{"dropping-particle":"","family":"Thickbroom","given":"G. W.","non-dropping-particle":"","parse-names":false,"suffix":""},{"dropping-particle":"","family":"Rossini","given":"P. M.","non-dropping-particle":"","parse-names":false,"suffix":""},{"dropping-particle":"","family":"Ziemann","given":"U.","non-dropping-particle":"","parse-names":false,"suffix":""},{"dropping-particle":"","family":"Valls-Solé","given":"J.","non-dropping-particle":"","parse-names":false,"suffix":""},{"dropping-particle":"","family":"Siebner","given":"H. R.","non-dropping-particle":"","parse-names":false,"suffix":""}],"container-title":"Clinical Neurophysiology","id":"ITEM-1","issue":"5","issued":{"date-parts":[["2012","5"]]},"page":"858-882","title":"A practical guide to diagnostic transcranial magnetic stimulation: Report of an IFCN committee","type":"article","volume":"123"},"uris":["http://www.mendeley.com/documents/?uuid=40bfbff8-c5eb-3ae2-bb99-d96401c70dab"]}],"mendeley":{"formattedCitation":"[16]","plainTextFormattedCitation":"[16]","previouslyFormattedCitation":"[16]"},"properties":{"noteIndex":0},"schema":"https://github.com/citation-style-language/schema/raw/master/csl-citation.json"}</w:instrText>
      </w:r>
      <w:r w:rsidR="004C530D">
        <w:rPr>
          <w:sz w:val="22"/>
          <w:szCs w:val="22"/>
        </w:rPr>
        <w:fldChar w:fldCharType="separate"/>
      </w:r>
      <w:r w:rsidR="004C530D" w:rsidRPr="004C530D">
        <w:rPr>
          <w:noProof/>
          <w:sz w:val="22"/>
          <w:szCs w:val="22"/>
        </w:rPr>
        <w:t>[16]</w:t>
      </w:r>
      <w:r w:rsidR="004C530D">
        <w:rPr>
          <w:sz w:val="22"/>
          <w:szCs w:val="22"/>
        </w:rPr>
        <w:fldChar w:fldCharType="end"/>
      </w:r>
      <w:r w:rsidR="004C530D">
        <w:rPr>
          <w:sz w:val="22"/>
          <w:szCs w:val="22"/>
        </w:rPr>
        <w:t xml:space="preserve"> and persons with SCI </w:t>
      </w:r>
      <w:r w:rsidR="004C530D">
        <w:rPr>
          <w:sz w:val="22"/>
          <w:szCs w:val="22"/>
        </w:rPr>
        <w:fldChar w:fldCharType="begin" w:fldLock="1"/>
      </w:r>
      <w:r w:rsidR="00141D21">
        <w:rPr>
          <w:sz w:val="22"/>
          <w:szCs w:val="22"/>
        </w:rPr>
        <w:instrText>ADDIN CSL_CITATION {"citationItems":[{"id":"ITEM-1","itemData":{"DOI":"10.1089/neu.1999.16.49","ISSN":"0897-7151","PMID":"9989466","abstract":"Noninvasive transcranial magnetic stimulation (TMS) of the motor cortex was used to evoke electromyographic (EMG) responses in persons with spinal cord injury (n = 97) and able-bodied subjects (n = 20, for comparative data). Our goal was to evaluate, for different levels and severity of spinal cord injury, potential differences in the distribution and latency of motor responses in a large sample of muscles affected by the injury. The spinal cord injury (SCI) population was divided into subgroups based upon injury location (cervical, thoracic, and thoracolumbar) and clinical status (motor-complete versus motor-incomplete). Cortical stimuli were delivered while subjects attempted to contract individual muscles, in order to both maximize the probability of a response to TMS and minimize the response latency. Subjects with motor-incomplete injuries to the cervical or thoracic spinal cord were more likely to demonstrate volitional and TMS-evoked contractions in muscles controlling their foot and ankle (i.e., distal lower limb muscles) compared to muscles of the thigh (i.e., proximal lower limb muscles). When TMS did evoke responses in muscles innervated at levels caudal to the spinal cord lesion, response latencies of muscles in the lower limbs were delayed equally for persons with injury to the cervical or thoracic spinal cord, suggesting normal central motor conduction velocity in motor axons caudal to the lesion. In fact, motor response distribution and latencies were essentially indistinguishable for injuries to the cervical or thoracic (at or rostral to T10) levels of the spine. In contrast, motor-incomplete SCI subjects with injuries at the thoracolumbar level showed a higher probability of preserved volitional movements and TMS-evoked contractions in proximal muscles of the lower limb, and absent responses in distal muscles. When responses to TMS were seen in this group, the latencies were not significantly longer than those of able-bodied (AB) subjects, strongly suggestive of \"root sparing\" as a basis for motor function in subjects with injury at or caudal to the T11 vertebral body. Both the distribution and latency of TMS-evoked responses are consistent with highly focal lesions to the spinal cord in the subjects examined. The pattern of preserved responsiveness predominating in the distal leg muscles is consistent with a greater role of corticospinal tract innervation of these muscles compared to more proximal muscles of the thigh and hip.","author":[{"dropping-particle":"","family":"Calancie","given":"B","non-dropping-particle":"","parse-names":false,"suffix":""},{"dropping-particle":"","family":"Alexeeva","given":"N","non-dropping-particle":"","parse-names":false,"suffix":""},{"dropping-particle":"","family":"Broton","given":"J G","non-dropping-particle":"","parse-names":false,"suffix":""},{"dropping-particle":"","family":"Suys","given":"S","non-dropping-particle":"","parse-names":false,"suffix":""},{"dropping-particle":"","family":"Hall","given":"A","non-dropping-particle":"","parse-names":false,"suffix":""},{"dropping-particle":"","family":"Klose","given":"K J","non-dropping-particle":"","parse-names":false,"suffix":""}],"container-title":"Journal of neurotrauma","id":"ITEM-1","issue":"1","issued":{"date-parts":[["1999","1"]]},"page":"49-67","title":"Distribution and latency of muscle responses to transcranial magnetic stimulation of motor cortex after spinal cord injury in humans.","type":"article-journal","volume":"16"},"uris":["http://www.mendeley.com/documents/?uuid=c75da4a0-4483-3e97-84a7-dadce17f2500"]},{"id":"ITEM-2","itemData":{"ISSN":"13624393","abstract":"STUDY DESIGN: Longitudinal. OBJECTIVES: (1) To perform standard clinical neurological examinations and establish the pattern of clinical change with time following incomplete spinal cord injury (iSCI). (2) To establish the pattern of change in corticospinal electrophysiological function with time after iSCI. (3) To correlate clinical with electrophysiological findings. Setting: The National Spinal Injuries Centre, Stoke Mandeville Hospital, Aylesbury, UK and Imperial College School of Medicine, Charing Cross Hospital, London, UK. METHODS: Neurological assessments and classification were performed according to American Spinal Injuries Association and International Medical Society of Paraplegia (ASIA/IMSOP) standards. Twenty-one patients (ages 18-72 years) with iSCI (level C2-C7, ASIA impairment grades C-D) and 10 healthy control subjects (ages 27-57 years) were studied. Electrophysiological tests of corticospinal function were carried out using transcranial magnetic stimulation (TMS) of the motor cortex and electromyographic (EMG) recordings from thenar muscles. Both tests were performed on a number of occasions, beginning 19-384 days and ending 124-1109 days post-injury, and the group data were pooled into time epochs of 50 or 100 days post-injury for analysis. Seven of the patients were studied on seven or more occasions and were also assessed individually. RESULTS: Individual and pooled data indicated that neurological scores improved progressively and tended to stabilise by around 300 days post-injury. When the patients were first assessed, the mean latency for motor evoked potentials (MEPs) and inhibition of voluntary EMG were significantly different from control values. There was no significant change in latency on subsequent sessions for either the grouped or individual patient data. There was no correlation between (ABSTRACT TRUNCATED).","author":[{"dropping-particle":"","family":"Smith","given":"HC","non-dropping-particle":"","parse-names":false,"suffix":""},{"dropping-particle":"","family":"Savic","given":"G","non-dropping-particle":"","parse-names":false,"suffix":""},{"dropping-particle":"","family":"Frankel","given":"HL","non-dropping-particle":"","parse-names":false,"suffix":""},{"dropping-particle":"","family":"Ella way","given":"PH","non-dropping-particle":"","parse-names":false,"suffix":""},{"dropping-particle":"","family":"Maskill","given":"DW","non-dropping-particle":"","parse-names":false,"suffix":""},{"dropping-particle":"","family":"Jamous","given":"MA","non-dropping-particle":"","parse-names":false,"suffix":""},{"dropping-particle":"","family":"Davey","given":"NJ","non-dropping-particle":"","parse-names":false,"suffix":""}],"container-title":"SPINAL CORD","id":"ITEM-2","issue":"5","issued":{"date-parts":[["2000"]]},"page":"292","title":"Corticospinal function studied over time following incomplete spinal cord injury","type":"article-journal","volume":"38"},"uris":["http://www.mendeley.com/documents/?uuid=10b2fc22-5d8f-3628-9ef4-93a6fdb20d77"]}],"mendeley":{"formattedCitation":"[17, 18]","plainTextFormattedCitation":"[17, 18]","previouslyFormattedCitation":"[17, 18]"},"properties":{"noteIndex":0},"schema":"https://github.com/citation-style-language/schema/raw/master/csl-citation.json"}</w:instrText>
      </w:r>
      <w:r w:rsidR="004C530D">
        <w:rPr>
          <w:sz w:val="22"/>
          <w:szCs w:val="22"/>
        </w:rPr>
        <w:fldChar w:fldCharType="separate"/>
      </w:r>
      <w:r w:rsidR="004C530D" w:rsidRPr="004C530D">
        <w:rPr>
          <w:noProof/>
          <w:sz w:val="22"/>
          <w:szCs w:val="22"/>
        </w:rPr>
        <w:t>[17, 18]</w:t>
      </w:r>
      <w:r w:rsidR="004C530D">
        <w:rPr>
          <w:sz w:val="22"/>
          <w:szCs w:val="22"/>
        </w:rPr>
        <w:fldChar w:fldCharType="end"/>
      </w:r>
      <w:r w:rsidR="004C530D">
        <w:rPr>
          <w:sz w:val="22"/>
          <w:szCs w:val="22"/>
        </w:rPr>
        <w:t>.</w:t>
      </w:r>
      <w:r w:rsidR="001C22F6" w:rsidRPr="001C22F6">
        <w:rPr>
          <w:sz w:val="22"/>
          <w:szCs w:val="22"/>
        </w:rPr>
        <w:t xml:space="preserve"> </w:t>
      </w:r>
      <w:r w:rsidRPr="00C40B25">
        <w:rPr>
          <w:sz w:val="22"/>
          <w:szCs w:val="22"/>
        </w:rPr>
        <w:t xml:space="preserve">In addition, observations from our lab suggest that in persons with SCI using the round coil over the vertex area (± 1 cm anterior, posterior, lateral) results in more robust MEP UE muscle responses compared to using the figure-of-8 coil over the hand representation areas (C3, C4) in individuals with chronic cervical SCI. </w:t>
      </w:r>
      <w:r w:rsidR="00141D21">
        <w:rPr>
          <w:sz w:val="22"/>
          <w:szCs w:val="22"/>
        </w:rPr>
        <w:t>A potential explanation is that t</w:t>
      </w:r>
      <w:r w:rsidR="00141D21" w:rsidRPr="001C22F6">
        <w:rPr>
          <w:sz w:val="22"/>
          <w:szCs w:val="22"/>
        </w:rPr>
        <w:t>he round coil stimulates a larger area of the brain than the more focal figure-of-eight coil, thus increasing the likelihood of obtaining distal upper extremity muscle responses during TMS.</w:t>
      </w:r>
      <w:r w:rsidR="00141D21">
        <w:rPr>
          <w:sz w:val="22"/>
          <w:szCs w:val="22"/>
        </w:rPr>
        <w:t xml:space="preserve"> </w:t>
      </w:r>
      <w:r w:rsidRPr="00C40B25">
        <w:rPr>
          <w:sz w:val="22"/>
          <w:szCs w:val="22"/>
        </w:rPr>
        <w:t xml:space="preserve">To ensure reliable positioning of the coil, a tight-fitting cap will be used for each participant. Markings of the inion, ears, </w:t>
      </w:r>
      <w:proofErr w:type="gramStart"/>
      <w:r w:rsidRPr="00C40B25">
        <w:rPr>
          <w:sz w:val="22"/>
          <w:szCs w:val="22"/>
        </w:rPr>
        <w:t>a distance of 10</w:t>
      </w:r>
      <w:proofErr w:type="gramEnd"/>
      <w:r w:rsidRPr="00C40B25">
        <w:rPr>
          <w:sz w:val="22"/>
          <w:szCs w:val="22"/>
        </w:rPr>
        <w:t xml:space="preserve"> cm from the nasion, and vertex will be drawn on the cap during the first testing session and will be used as a reference in the subsequent sessions. </w:t>
      </w:r>
      <w:r w:rsidR="00555909">
        <w:rPr>
          <w:sz w:val="22"/>
          <w:szCs w:val="22"/>
        </w:rPr>
        <w:tab/>
      </w:r>
      <w:r w:rsidRPr="00C40B25">
        <w:rPr>
          <w:sz w:val="22"/>
          <w:szCs w:val="22"/>
        </w:rPr>
        <w:t>Surface electromyography (EMG) signals will be recorded from the target muscles (Motion Laboratory Systems, Baton Rouge, LA). EMG sensor placement will be verified through observation of the raw EMG signal when manual resistance is applied to resist movement generated by the target muscle. The skin under each EMG sensor will be swabbed with alcohol and abraded with a mild abrasive cream (</w:t>
      </w:r>
      <w:proofErr w:type="spellStart"/>
      <w:r w:rsidRPr="00C40B25">
        <w:rPr>
          <w:sz w:val="22"/>
          <w:szCs w:val="22"/>
        </w:rPr>
        <w:t>Nuprep</w:t>
      </w:r>
      <w:proofErr w:type="spellEnd"/>
      <w:r w:rsidRPr="00C40B25">
        <w:rPr>
          <w:sz w:val="22"/>
          <w:szCs w:val="22"/>
        </w:rPr>
        <w:t>; Weaver and Company, CO, USA) and the sensor will be secured in place by using a piece of hypoallergenic tape.</w:t>
      </w:r>
      <w:r w:rsidR="00555909">
        <w:rPr>
          <w:sz w:val="22"/>
          <w:szCs w:val="22"/>
        </w:rPr>
        <w:t xml:space="preserve"> </w:t>
      </w:r>
      <w:r w:rsidRPr="00C40B25">
        <w:rPr>
          <w:sz w:val="22"/>
          <w:szCs w:val="22"/>
        </w:rPr>
        <w:t>Co-Flex, a latex free cohesive flexible bandage (Andover Healthcare, Inc.) can be used to further secure the EMG sensor placement. EMG signals will be amplified (x1k) and band pass filtered (10-20kHz). EMG will be digitized using a data acquisition interface (Power 1401, CED, Cambridge, England) controlled by Signal 2 software (CED) and stored on a computer for offline analysis. Finally, to ensure consistent positioning between testing sessions the EMG sensors will be traced onto a transparent sheet.</w:t>
      </w:r>
    </w:p>
    <w:p w14:paraId="16203B68" w14:textId="4EE7BE57" w:rsidR="00C40B25" w:rsidRPr="00C40B25" w:rsidRDefault="00C40B25" w:rsidP="005012E4">
      <w:pPr>
        <w:ind w:left="1440" w:firstLine="720"/>
        <w:jc w:val="both"/>
        <w:rPr>
          <w:sz w:val="22"/>
          <w:szCs w:val="22"/>
        </w:rPr>
      </w:pPr>
      <w:r w:rsidRPr="00C40B25">
        <w:rPr>
          <w:sz w:val="22"/>
          <w:szCs w:val="22"/>
        </w:rPr>
        <w:lastRenderedPageBreak/>
        <w:t xml:space="preserve">Initially, </w:t>
      </w:r>
      <w:r w:rsidRPr="00C40B25">
        <w:rPr>
          <w:i/>
          <w:sz w:val="22"/>
          <w:szCs w:val="22"/>
        </w:rPr>
        <w:t>resting and active motor thresholds</w:t>
      </w:r>
      <w:r w:rsidRPr="00C40B25">
        <w:rPr>
          <w:sz w:val="22"/>
          <w:szCs w:val="22"/>
        </w:rPr>
        <w:t xml:space="preserve"> (RMT &amp; AMT) will be recorded. RMT will be defined as the minimum output of the stimulator that will induce a reliable MEP (≥ 50</w:t>
      </w:r>
      <w:r w:rsidRPr="00C40B25">
        <w:rPr>
          <w:sz w:val="22"/>
          <w:szCs w:val="22"/>
          <w:lang w:val="el-GR"/>
        </w:rPr>
        <w:t>μ</w:t>
      </w:r>
      <w:r w:rsidR="005012E4">
        <w:rPr>
          <w:sz w:val="22"/>
          <w:szCs w:val="22"/>
        </w:rPr>
        <w:t>V) in 50</w:t>
      </w:r>
      <w:r w:rsidRPr="00C40B25">
        <w:rPr>
          <w:sz w:val="22"/>
          <w:szCs w:val="22"/>
        </w:rPr>
        <w:t xml:space="preserve">% of the applied stimuli in resting muscles </w:t>
      </w:r>
      <w:r w:rsidRPr="00C40B25">
        <w:rPr>
          <w:sz w:val="22"/>
          <w:szCs w:val="22"/>
        </w:rPr>
        <w:fldChar w:fldCharType="begin" w:fldLock="1"/>
      </w:r>
      <w:r w:rsidR="00D70713">
        <w:rPr>
          <w:sz w:val="22"/>
          <w:szCs w:val="22"/>
        </w:rPr>
        <w:instrText>ADDIN CSL_CITATION {"citationItems":[{"id":"ITEM-1","itemData":{"DOI":"10.1113/jphysiol.2005.092429","ISSN":"00223751","PMID":"16002441","abstract":"Weak transcranial direct current stimulation (tDCS) of the human motor cortex results in excitability shifts which occur during and after stimulation. These excitability shifts are polarity-specific with anodal tDCS enhancing excitability, and cathodal reducing it. To explore the origin of this excitability modulation in more detail, we measured the input-output curve and motor thresholds as global parameters of cortico-spinal excitability, and determined intracortical inhibition and facilitation, as well as facilitatory indirect wave (I-wave) interactions. Measurements were performed during short-term tDCS, which elicits no after-effects, and during other tDCS protocols which do elicit short- and long-lasting after-effects. Resting and active motor thresholds remained stable during and after tDCS. The slope of the input-output curve was increased by anodal tDCS and decreased by cathodal tDCS. Anodal tDCS of the primary motor cortex reduced intracortical inhibition and enhanced facilitation after tDCS but not during tDCS. Cathodal tDCS reduced facilitation during, and additionally increased inhibition after its administration. During tDCS, I-wave facilitation was not influenced but, for the after-effects, anodal tDCS increased I-wave facilitation, while cathodal tDCS had only minor effects. These results suggest that the effect of tDCS on cortico-spinal excitability during a short period of stimulation (which does not induce after-effects) primarily depends on subthreshold resting membrane potential changes, which are able to modulate the input-output curve, but not motor thresholds. In contrast, the after-effects of tDCS are due to shifts in intracortical inhibition and facilitation, and at least partly also to facilitatory I-wave interaction, which is controlled by synaptic activity.","author":[{"dropping-particle":"","family":"Nitsche","given":"Michael A.","non-dropping-particle":"","parse-names":false,"suffix":""},{"dropping-particle":"","family":"Seeber","given":"Antje","non-dropping-particle":"","parse-names":false,"suffix":""},{"dropping-particle":"","family":"Frommann","given":"Kai","non-dropping-particle":"","parse-names":false,"suffix":""},{"dropping-particle":"","family":"Klein","given":"Cornelia Carmen","non-dropping-particle":"","parse-names":false,"suffix":""},{"dropping-particle":"","family":"Rochford","given":"Christian","non-dropping-particle":"","parse-names":false,"suffix":""},{"dropping-particle":"","family":"Nitsche","given":"Maren S.","non-dropping-particle":"","parse-names":false,"suffix":""},{"dropping-particle":"","family":"Fricke","given":"Kristina","non-dropping-particle":"","parse-names":false,"suffix":""},{"dropping-particle":"","family":"Liebetanz","given":"David","non-dropping-particle":"","parse-names":false,"suffix":""},{"dropping-particle":"","family":"Lang","given":"Nicolas","non-dropping-particle":"","parse-names":false,"suffix":""},{"dropping-particle":"","family":"Antal","given":"Andrea","non-dropping-particle":"","parse-names":false,"suffix":""},{"dropping-particle":"","family":"Paulus","given":"Walter","non-dropping-particle":"","parse-names":false,"suffix":""},{"dropping-particle":"","family":"Tergau","given":"Frithjof","non-dropping-particle":"","parse-names":false,"suffix":""}],"container-title":"The Journal of Physiology","id":"ITEM-1","issue":"1","issued":{"date-parts":[["2005","10","1"]]},"page":"291-303","title":"Modulating parameters of excitability during and after transcranial direct current stimulation of the human motor cortex","type":"article-journal","volume":"568"},"uris":["http://www.mendeley.com/documents/?uuid=975cb341-a3bf-3a9c-b3b8-3e628f9ef9ac"]}],"mendeley":{"formattedCitation":"[19]","plainTextFormattedCitation":"[19]","previouslyFormattedCitation":"[19]"},"properties":{"noteIndex":0},"schema":"https://github.com/citation-style-language/schema/raw/master/csl-citation.json"}</w:instrText>
      </w:r>
      <w:r w:rsidRPr="00C40B25">
        <w:rPr>
          <w:sz w:val="22"/>
          <w:szCs w:val="22"/>
        </w:rPr>
        <w:fldChar w:fldCharType="separate"/>
      </w:r>
      <w:r w:rsidR="00141D21" w:rsidRPr="00141D21">
        <w:rPr>
          <w:noProof/>
          <w:sz w:val="22"/>
          <w:szCs w:val="22"/>
        </w:rPr>
        <w:t>[19]</w:t>
      </w:r>
      <w:r w:rsidRPr="00C40B25">
        <w:rPr>
          <w:sz w:val="22"/>
          <w:szCs w:val="22"/>
        </w:rPr>
        <w:fldChar w:fldCharType="end"/>
      </w:r>
      <w:r w:rsidRPr="00C40B25">
        <w:rPr>
          <w:sz w:val="22"/>
          <w:szCs w:val="22"/>
        </w:rPr>
        <w:t xml:space="preserve">. AMT will be defined as the minimum stimulus intensity that will elicit reliable MEP (higher responses compared to the muscular background activity </w:t>
      </w:r>
      <w:r w:rsidRPr="00C40B25">
        <w:rPr>
          <w:sz w:val="22"/>
          <w:szCs w:val="22"/>
        </w:rPr>
        <w:fldChar w:fldCharType="begin" w:fldLock="1"/>
      </w:r>
      <w:r w:rsidR="00D70713">
        <w:rPr>
          <w:sz w:val="22"/>
          <w:szCs w:val="22"/>
        </w:rPr>
        <w:instrText>ADDIN CSL_CITATION {"citationItems":[{"id":"ITEM-1","itemData":{"DOI":"10.1113/jphysiol.2005.092429","ISSN":"00223751","PMID":"16002441","abstract":"Weak transcranial direct current stimulation (tDCS) of the human motor cortex results in excitability shifts which occur during and after stimulation. These excitability shifts are polarity-specific with anodal tDCS enhancing excitability, and cathodal reducing it. To explore the origin of this excitability modulation in more detail, we measured the input-output curve and motor thresholds as global parameters of cortico-spinal excitability, and determined intracortical inhibition and facilitation, as well as facilitatory indirect wave (I-wave) interactions. Measurements were performed during short-term tDCS, which elicits no after-effects, and during other tDCS protocols which do elicit short- and long-lasting after-effects. Resting and active motor thresholds remained stable during and after tDCS. The slope of the input-output curve was increased by anodal tDCS and decreased by cathodal tDCS. Anodal tDCS of the primary motor cortex reduced intracortical inhibition and enhanced facilitation after tDCS but not during tDCS. Cathodal tDCS reduced facilitation during, and additionally increased inhibition after its administration. During tDCS, I-wave facilitation was not influenced but, for the after-effects, anodal tDCS increased I-wave facilitation, while cathodal tDCS had only minor effects. These results suggest that the effect of tDCS on cortico-spinal excitability during a short period of stimulation (which does not induce after-effects) primarily depends on subthreshold resting membrane potential changes, which are able to modulate the input-output curve, but not motor thresholds. In contrast, the after-effects of tDCS are due to shifts in intracortical inhibition and facilitation, and at least partly also to facilitatory I-wave interaction, which is controlled by synaptic activity.","author":[{"dropping-particle":"","family":"Nitsche","given":"Michael A.","non-dropping-particle":"","parse-names":false,"suffix":""},{"dropping-particle":"","family":"Seeber","given":"Antje","non-dropping-particle":"","parse-names":false,"suffix":""},{"dropping-particle":"","family":"Frommann","given":"Kai","non-dropping-particle":"","parse-names":false,"suffix":""},{"dropping-particle":"","family":"Klein","given":"Cornelia Carmen","non-dropping-particle":"","parse-names":false,"suffix":""},{"dropping-particle":"","family":"Rochford","given":"Christian","non-dropping-particle":"","parse-names":false,"suffix":""},{"dropping-particle":"","family":"Nitsche","given":"Maren S.","non-dropping-particle":"","parse-names":false,"suffix":""},{"dropping-particle":"","family":"Fricke","given":"Kristina","non-dropping-particle":"","parse-names":false,"suffix":""},{"dropping-particle":"","family":"Liebetanz","given":"David","non-dropping-particle":"","parse-names":false,"suffix":""},{"dropping-particle":"","family":"Lang","given":"Nicolas","non-dropping-particle":"","parse-names":false,"suffix":""},{"dropping-particle":"","family":"Antal","given":"Andrea","non-dropping-particle":"","parse-names":false,"suffix":""},{"dropping-particle":"","family":"Paulus","given":"Walter","non-dropping-particle":"","parse-names":false,"suffix":""},{"dropping-particle":"","family":"Tergau","given":"Frithjof","non-dropping-particle":"","parse-names":false,"suffix":""}],"container-title":"The Journal of Physiology","id":"ITEM-1","issue":"1","issued":{"date-parts":[["2005","10","1"]]},"page":"291-303","title":"Modulating parameters of excitability during and after transcranial direct current stimulation of the human motor cortex","type":"article-journal","volume":"568"},"uris":["http://www.mendeley.com/documents/?uuid=975cb341-a3bf-3a9c-b3b8-3e628f9ef9ac"]}],"mendeley":{"formattedCitation":"[19]","plainTextFormattedCitation":"[19]","previouslyFormattedCitation":"[19]"},"properties":{"noteIndex":0},"schema":"https://github.com/citation-style-language/schema/raw/master/csl-citation.json"}</w:instrText>
      </w:r>
      <w:r w:rsidRPr="00C40B25">
        <w:rPr>
          <w:sz w:val="22"/>
          <w:szCs w:val="22"/>
        </w:rPr>
        <w:fldChar w:fldCharType="separate"/>
      </w:r>
      <w:r w:rsidR="00141D21" w:rsidRPr="00141D21">
        <w:rPr>
          <w:noProof/>
          <w:sz w:val="22"/>
          <w:szCs w:val="22"/>
        </w:rPr>
        <w:t>[19]</w:t>
      </w:r>
      <w:r w:rsidRPr="00C40B25">
        <w:rPr>
          <w:sz w:val="22"/>
          <w:szCs w:val="22"/>
        </w:rPr>
        <w:fldChar w:fldCharType="end"/>
      </w:r>
      <w:r w:rsidRPr="00C40B25">
        <w:rPr>
          <w:sz w:val="22"/>
          <w:szCs w:val="22"/>
        </w:rPr>
        <w:t xml:space="preserve"> in 50% of the applied stimuli while participants maintain 10-</w:t>
      </w:r>
      <w:r w:rsidR="002A4E2A">
        <w:rPr>
          <w:sz w:val="22"/>
          <w:szCs w:val="22"/>
        </w:rPr>
        <w:t>20</w:t>
      </w:r>
      <w:r w:rsidRPr="00C40B25">
        <w:rPr>
          <w:sz w:val="22"/>
          <w:szCs w:val="22"/>
        </w:rPr>
        <w:t>% of their maximum pinch strength as registered in a hand-held dynamometer.</w:t>
      </w:r>
      <w:r w:rsidR="00504B0E">
        <w:rPr>
          <w:sz w:val="22"/>
          <w:szCs w:val="22"/>
        </w:rPr>
        <w:t xml:space="preserve"> Visual </w:t>
      </w:r>
      <w:r w:rsidRPr="00C40B25">
        <w:rPr>
          <w:sz w:val="22"/>
          <w:szCs w:val="22"/>
        </w:rPr>
        <w:t>feedbac</w:t>
      </w:r>
      <w:r w:rsidR="006218EF">
        <w:rPr>
          <w:sz w:val="22"/>
          <w:szCs w:val="22"/>
        </w:rPr>
        <w:t>k</w:t>
      </w:r>
      <w:r w:rsidR="00504B0E">
        <w:rPr>
          <w:sz w:val="22"/>
          <w:szCs w:val="22"/>
        </w:rPr>
        <w:t xml:space="preserve"> will be provided,</w:t>
      </w:r>
      <w:r w:rsidRPr="00C40B25">
        <w:rPr>
          <w:sz w:val="22"/>
          <w:szCs w:val="22"/>
        </w:rPr>
        <w:t xml:space="preserve"> to ensure that participants maintain the pinch in the target range (10-</w:t>
      </w:r>
      <w:r w:rsidR="00E95731">
        <w:rPr>
          <w:sz w:val="22"/>
          <w:szCs w:val="22"/>
        </w:rPr>
        <w:t>20</w:t>
      </w:r>
      <w:r w:rsidRPr="00C40B25">
        <w:rPr>
          <w:sz w:val="22"/>
          <w:szCs w:val="22"/>
        </w:rPr>
        <w:t xml:space="preserve">% MVC) while TMS is applied. Participants will be given rest breaks as needed to prevent the influence of fatigue on the testing procedures. </w:t>
      </w:r>
      <w:r w:rsidR="00A4672D">
        <w:rPr>
          <w:sz w:val="22"/>
          <w:szCs w:val="22"/>
        </w:rPr>
        <w:t xml:space="preserve">MEP peak-to-peak </w:t>
      </w:r>
      <w:r w:rsidR="004529E0">
        <w:rPr>
          <w:sz w:val="22"/>
          <w:szCs w:val="22"/>
        </w:rPr>
        <w:t xml:space="preserve">amplitude at 120%AMT </w:t>
      </w:r>
      <w:r w:rsidR="00C22351">
        <w:rPr>
          <w:sz w:val="22"/>
          <w:szCs w:val="22"/>
        </w:rPr>
        <w:t xml:space="preserve">and at </w:t>
      </w:r>
      <w:r w:rsidR="009552FD">
        <w:rPr>
          <w:sz w:val="22"/>
          <w:szCs w:val="22"/>
        </w:rPr>
        <w:t xml:space="preserve">a predefined percentage of the </w:t>
      </w:r>
      <w:r w:rsidR="0085101D">
        <w:rPr>
          <w:sz w:val="22"/>
          <w:szCs w:val="22"/>
        </w:rPr>
        <w:t xml:space="preserve">maximum stimulator output </w:t>
      </w:r>
      <w:r w:rsidR="004529E0">
        <w:rPr>
          <w:sz w:val="22"/>
          <w:szCs w:val="22"/>
        </w:rPr>
        <w:t xml:space="preserve">will be also obtained </w:t>
      </w:r>
    </w:p>
    <w:p w14:paraId="6D93BF86" w14:textId="1D03F41F" w:rsidR="00C40B25" w:rsidRPr="00C40B25" w:rsidRDefault="00C40B25" w:rsidP="005012E4">
      <w:pPr>
        <w:ind w:left="1440" w:firstLine="720"/>
        <w:jc w:val="both"/>
        <w:rPr>
          <w:sz w:val="22"/>
          <w:szCs w:val="22"/>
        </w:rPr>
      </w:pPr>
    </w:p>
    <w:p w14:paraId="5827611A" w14:textId="77777777" w:rsidR="00C40B25" w:rsidRPr="00C40B25" w:rsidRDefault="00C40B25" w:rsidP="005012E4">
      <w:pPr>
        <w:ind w:left="1440" w:firstLine="720"/>
        <w:jc w:val="both"/>
        <w:rPr>
          <w:sz w:val="22"/>
          <w:szCs w:val="22"/>
        </w:rPr>
      </w:pPr>
      <w:r w:rsidRPr="005012E4">
        <w:rPr>
          <w:b/>
          <w:i/>
          <w:sz w:val="22"/>
          <w:szCs w:val="22"/>
        </w:rPr>
        <w:t>Unimanual Function</w:t>
      </w:r>
      <w:r w:rsidRPr="00C40B25">
        <w:rPr>
          <w:sz w:val="22"/>
          <w:szCs w:val="22"/>
        </w:rPr>
        <w:t xml:space="preserve">. The GRT is developed to assess unimanual performance in individuals with tetraplegia </w:t>
      </w:r>
      <w:r w:rsidRPr="00C40B25">
        <w:rPr>
          <w:sz w:val="22"/>
          <w:szCs w:val="22"/>
        </w:rPr>
        <w:fldChar w:fldCharType="begin" w:fldLock="1"/>
      </w:r>
      <w:r w:rsidR="004C530D">
        <w:rPr>
          <w:sz w:val="22"/>
          <w:szCs w:val="22"/>
        </w:rPr>
        <w:instrText>ADDIN CSL_CITATION {"citationItems":[{"id":"ITEM-1","itemData":{"DOI":"10.1016/0363-5023(94)90008-6","ISSN":"0363-5023","PMID":"8201183","abstract":"We developed a quantitative grasp and release test for assessing a hand neuroprosthesis in C5 and C6 level tetraplegic patients. The objectives were (1) to determine if a patient's hand performance with the neuroprosthesis exceeded a defined, clinically acceptable baseline, (2) to compare performance with and without the neuroprosthesis, (3) to measure the consistency of performance over time, and (4) to compare performance among patients. In the test, patients grasped, moved, and released one of six different objects as many times as possible in five 30-second trials for each object, with and without the neuroprosthesis. Unlike earlier tests, the objects and the task were chosen to span a range of difficulties appropriate for C5 and C6 tetraplegic patients using a hand neuroprosthesis. Data from five patients showed that performance with the neuroprosthesis was above the baseline; performance improved with the neuroprosthesis, although it was not generally consistent across sessions; and the neuroprosthesis helped C5 patients manipulate most objects and helped C6 patients primarily with more difficult objects.","author":[{"dropping-particle":"","family":"Wuolle","given":"K S","non-dropping-particle":"","parse-names":false,"suffix":""},{"dropping-particle":"","family":"Doren","given":"C L","non-dropping-particle":"Van","parse-names":false,"suffix":""},{"dropping-particle":"","family":"Thrope","given":"G B","non-dropping-particle":"","parse-names":false,"suffix":""},{"dropping-particle":"","family":"Keith","given":"M W","non-dropping-particle":"","parse-names":false,"suffix":""},{"dropping-particle":"","family":"Peckham","given":"P H","non-dropping-particle":"","parse-names":false,"suffix":""}],"container-title":"The Journal of hand surgery","id":"ITEM-1","issue":"2","issued":{"date-parts":[["1994","3"]]},"page":"209-18","title":"Development of a quantitative hand grasp and release test for patients with tetraplegia using a hand neuroprosthesis.","type":"article-journal","volume":"19"},"uris":["http://www.mendeley.com/documents/?uuid=d8c22cd5-8bdd-3c2c-999d-d4d24b478567"]}],"mendeley":{"formattedCitation":"[12]","plainTextFormattedCitation":"[12]","previouslyFormattedCitation":"[12]"},"properties":{"noteIndex":0},"schema":"https://github.com/citation-style-language/schema/raw/master/csl-citation.json"}</w:instrText>
      </w:r>
      <w:r w:rsidRPr="00C40B25">
        <w:rPr>
          <w:sz w:val="22"/>
          <w:szCs w:val="22"/>
        </w:rPr>
        <w:fldChar w:fldCharType="separate"/>
      </w:r>
      <w:r w:rsidR="00906C02" w:rsidRPr="00906C02">
        <w:rPr>
          <w:noProof/>
          <w:sz w:val="22"/>
          <w:szCs w:val="22"/>
        </w:rPr>
        <w:t>[12]</w:t>
      </w:r>
      <w:r w:rsidRPr="00C40B25">
        <w:rPr>
          <w:sz w:val="22"/>
          <w:szCs w:val="22"/>
        </w:rPr>
        <w:fldChar w:fldCharType="end"/>
      </w:r>
      <w:r w:rsidRPr="00C40B25">
        <w:rPr>
          <w:sz w:val="22"/>
          <w:szCs w:val="22"/>
        </w:rPr>
        <w:t xml:space="preserve"> and has good test-retest reliability </w:t>
      </w:r>
      <w:r w:rsidRPr="00C40B25">
        <w:rPr>
          <w:sz w:val="22"/>
          <w:szCs w:val="22"/>
        </w:rPr>
        <w:fldChar w:fldCharType="begin" w:fldLock="1"/>
      </w:r>
      <w:r w:rsidR="00D70713">
        <w:rPr>
          <w:sz w:val="22"/>
          <w:szCs w:val="22"/>
        </w:rPr>
        <w:instrText>ADDIN CSL_CITATION {"citationItems":[{"id":"ITEM-1","itemData":{"ISSN":"1079-0268","PMID":"15156936","abstract":"OBJECTIVE The purpose of the study was to further develop the psychometric rigor of the Grasp and Release Test (GRT), a hand function assessment designed to measure tendon transfer and functional electrical stimulation (FES) outcomes on functional limitation of individuals with tetraplegia. METHODS Nineteen participants (21 hands) between 7 and 20 years of age with cervical-level spinal cord injuries (SCIs) participated in this study. Three participants (5 hands) had strong C6 or C7 function and underwent bilateral surgical tendon transfers to restore volitional thumb and finger flexion. The remaining 16 participants (16 hands) had C5- or weak C6-level SCI and underwent unilateral surgical implantation of the Freehand System for stimulated grasp and release. Preliminary evaluation of test-retest reliability, predictive validity, and sensitivity to change of the GRT was conducted. Reproducibility of test scores was evaluated by intraclass correlation coefficients (ICCs). RESULTS Three objects-which included a fork, paperweight, and videotape-had perfect correlation. For the 3 remaining GRT objects, ICC values were significant (block = 0.87, peg = 0.93, can = 0.99; P &lt; 0.01). For predictive validity, the relationships between 12-month Functional Independence Measure (FIM) scores and the peg, block, paperweight, and total number of GRT objects were nonsignificant. Correlation was significant between 12-month FIM scores and the fork (rho = 0.624, P &lt; 0.01), can (rho = 0.700, P &lt; 0.01), and videotape (rho = 0.503, P &lt; 0.05). Sensitivity to change was evident by a significant difference between baseline and postrehabilitation GRT scores for the fork (z = 3.05, P &lt; 0.01), paperweight (z = 2.83, P &lt; 0.01), and can (z = 2.66, P &lt; 0.01), and between the total number of GRT objects that were manipulated following surgery as compared with the number prior to surgery (z = 3.40, P &lt; 0.05). CONCLUSION Based on this study, the GRT has good test-retest reliability as evidenced by coefficients between 0.87 and 1.00, and is able to detect changes in hand function following tendon transfers and FES.","author":[{"dropping-particle":"","family":"Mulcahey","given":"M J","non-dropping-particle":"","parse-names":false,"suffix":""},{"dropping-particle":"","family":"Smith","given":"Brian T","non-dropping-particle":"","parse-names":false,"suffix":""},{"dropping-particle":"","family":"Betz","given":"Randal R","non-dropping-particle":"","parse-names":false,"suffix":""}],"container-title":"The journal of spinal cord medicine","id":"ITEM-1","issue":"1","issued":{"date-parts":[["2004"]]},"page":"41-6","title":"Psychometric rigor of the Grasp and Release Test for measuring functional limitation of persons with tetraplegia: a preliminary analysis.","type":"article-journal","volume":"27"},"uris":["http://www.mendeley.com/documents/?uuid=524f1ee7-bcc1-336a-8d7d-d0098442efcf"]}],"mendeley":{"formattedCitation":"[20]","plainTextFormattedCitation":"[20]","previouslyFormattedCitation":"[20]"},"properties":{"noteIndex":0},"schema":"https://github.com/citation-style-language/schema/raw/master/csl-citation.json"}</w:instrText>
      </w:r>
      <w:r w:rsidRPr="00C40B25">
        <w:rPr>
          <w:sz w:val="22"/>
          <w:szCs w:val="22"/>
        </w:rPr>
        <w:fldChar w:fldCharType="separate"/>
      </w:r>
      <w:r w:rsidR="00141D21" w:rsidRPr="00141D21">
        <w:rPr>
          <w:noProof/>
          <w:sz w:val="22"/>
          <w:szCs w:val="22"/>
        </w:rPr>
        <w:t>[20]</w:t>
      </w:r>
      <w:r w:rsidRPr="00C40B25">
        <w:rPr>
          <w:sz w:val="22"/>
          <w:szCs w:val="22"/>
        </w:rPr>
        <w:fldChar w:fldCharType="end"/>
      </w:r>
      <w:r w:rsidRPr="00C40B25">
        <w:rPr>
          <w:sz w:val="22"/>
          <w:szCs w:val="22"/>
        </w:rPr>
        <w:t>. For this test, participants will be required to grasp, move, and release six objects of different size and weight. Three of these objects (</w:t>
      </w:r>
      <w:proofErr w:type="spellStart"/>
      <w:r w:rsidRPr="00C40B25">
        <w:rPr>
          <w:sz w:val="22"/>
          <w:szCs w:val="22"/>
        </w:rPr>
        <w:t>ie</w:t>
      </w:r>
      <w:proofErr w:type="spellEnd"/>
      <w:r w:rsidRPr="00C40B25">
        <w:rPr>
          <w:sz w:val="22"/>
          <w:szCs w:val="22"/>
        </w:rPr>
        <w:t xml:space="preserve">, peg, paperweight, and fork) will be manipulated with lateral </w:t>
      </w:r>
      <w:commentRangeStart w:id="9"/>
      <w:r w:rsidRPr="00C40B25">
        <w:rPr>
          <w:sz w:val="22"/>
          <w:szCs w:val="22"/>
        </w:rPr>
        <w:t>prehension</w:t>
      </w:r>
      <w:commentRangeEnd w:id="9"/>
      <w:r w:rsidR="00A47F1D">
        <w:rPr>
          <w:rStyle w:val="CommentReference"/>
        </w:rPr>
        <w:commentReference w:id="9"/>
      </w:r>
      <w:r w:rsidRPr="00C40B25">
        <w:rPr>
          <w:sz w:val="22"/>
          <w:szCs w:val="22"/>
        </w:rPr>
        <w:t xml:space="preserve"> and 3 with palmar prehension (</w:t>
      </w:r>
      <w:proofErr w:type="spellStart"/>
      <w:r w:rsidRPr="00C40B25">
        <w:rPr>
          <w:sz w:val="22"/>
          <w:szCs w:val="22"/>
        </w:rPr>
        <w:t>ie</w:t>
      </w:r>
      <w:proofErr w:type="spellEnd"/>
      <w:r w:rsidRPr="00C40B25">
        <w:rPr>
          <w:sz w:val="22"/>
          <w:szCs w:val="22"/>
        </w:rPr>
        <w:t xml:space="preserve">, block, can, videotape). For each task, the number of successful and unsuccessful attempts is 30 s for a total of 3 trials will be recorded for each UE. </w:t>
      </w:r>
    </w:p>
    <w:p w14:paraId="79C51229" w14:textId="77777777" w:rsidR="00C40B25" w:rsidRPr="00C40B25" w:rsidRDefault="00C40B25" w:rsidP="005012E4">
      <w:pPr>
        <w:ind w:left="1440" w:firstLine="720"/>
        <w:jc w:val="both"/>
        <w:rPr>
          <w:sz w:val="22"/>
          <w:szCs w:val="22"/>
        </w:rPr>
      </w:pPr>
      <w:r w:rsidRPr="005012E4">
        <w:rPr>
          <w:b/>
          <w:i/>
          <w:sz w:val="22"/>
          <w:szCs w:val="22"/>
        </w:rPr>
        <w:t>Bimanual Function</w:t>
      </w:r>
      <w:r w:rsidRPr="00C40B25">
        <w:rPr>
          <w:sz w:val="22"/>
          <w:szCs w:val="22"/>
        </w:rPr>
        <w:t xml:space="preserve"> will be assessed with the CAHAI-9 Version </w:t>
      </w:r>
      <w:r w:rsidRPr="00C40B25">
        <w:rPr>
          <w:sz w:val="22"/>
          <w:szCs w:val="22"/>
        </w:rPr>
        <w:fldChar w:fldCharType="begin" w:fldLock="1"/>
      </w:r>
      <w:r w:rsidR="004C530D">
        <w:rPr>
          <w:sz w:val="22"/>
          <w:szCs w:val="22"/>
        </w:rPr>
        <w:instrText>ADDIN CSL_CITATION {"citationItems":[{"id":"ITEM-1","itemData":{"DOI":"10.1016/j.apmr.2005.03.017","ISSN":"00039993","PMID":"16084816","abstract":"OBJECTIVES To estimate the test-retest reliability and validity of the Chedoke Arm and Hand Activity Inventory (CAHAI) and to test whether the CAHAI was more sensitive to change in upper-limb function than the Impairment Inventory of the Chedoke-McMaster Stroke Assessment (CMSA) and the Action Research Arm Test (ARAT). DESIGN Construct validation process. SETTING Inpatient/outpatient rehabilitation facilities. PARTICIPANTS Stratified sample of 39 survivors of stroke: 24 early (mean age, 71.4 y; mean days poststroke, 27.3) and 15 chronic (mean age, 64.0 y; mean days poststroke, 101.7). INTERVENTION Regular therapy. MAIN OUTCOME MEASURES Intraclass correlation coefficients (ICCs), receiver operating characteristic (ROC), standard error of measurement, and correlation coefficients. RESULTS High interrater reliability was established with an ICC of .98 (95% confidence interval [CI], .96-.99). The minimal detectable change score was 6.3 CAHAI points. Higher correlations were obtained between the CAHAI and the ARAT and CMSA scores compared with the CMSA shoulder pain scores (1-sided, P=.001). Areas under the ROC curves were as follows: CAHAI, .95 (95% CI, 0.87-1.00); CMSA, .76 (95% CI, .61-.92); and ARAT, .88 (95% CI, 0.76-1.00). CONCLUSIONS High interrater reliability and convergent and discriminant cross-sectional validity were established for the CAHAI. The CAHAI is more sensitive to clinically important change than the ARAT.","author":[{"dropping-particle":"","family":"Barreca","given":"Susan R.","non-dropping-particle":"","parse-names":false,"suffix":""},{"dropping-particle":"","family":"Stratford","given":"Paul W.","non-dropping-particle":"","parse-names":false,"suffix":""},{"dropping-particle":"","family":"Lambert","given":"Cynthia L.","non-dropping-particle":"","parse-names":false,"suffix":""},{"dropping-particle":"","family":"Masters","given":"Lisa M.","non-dropping-particle":"","parse-names":false,"suffix":""},{"dropping-particle":"","family":"Streiner","given":"David L.","non-dropping-particle":"","parse-names":false,"suffix":""}],"container-title":"Archives of Physical Medicine and Rehabilitation","id":"ITEM-1","issue":"8","issued":{"date-parts":[["2005","8"]]},"page":"1616-1622","title":"Test-Retest Reliability, Validity, and Sensitivity of the Chedoke Arm and Hand Activity Inventory: A New Measure of Upper-Limb Function for Survivors of Stroke","type":"article-journal","volume":"86"},"uris":["http://www.mendeley.com/documents/?uuid=7a1adb61-e690-3637-8fd6-f818ea743c96"]}],"mendeley":{"formattedCitation":"[13]","plainTextFormattedCitation":"[13]","previouslyFormattedCitation":"[13]"},"properties":{"noteIndex":0},"schema":"https://github.com/citation-style-language/schema/raw/master/csl-citation.json"}</w:instrText>
      </w:r>
      <w:r w:rsidRPr="00C40B25">
        <w:rPr>
          <w:sz w:val="22"/>
          <w:szCs w:val="22"/>
        </w:rPr>
        <w:fldChar w:fldCharType="separate"/>
      </w:r>
      <w:r w:rsidR="00906C02" w:rsidRPr="00906C02">
        <w:rPr>
          <w:noProof/>
          <w:sz w:val="22"/>
          <w:szCs w:val="22"/>
        </w:rPr>
        <w:t>[13]</w:t>
      </w:r>
      <w:r w:rsidRPr="00C40B25">
        <w:rPr>
          <w:sz w:val="22"/>
          <w:szCs w:val="22"/>
        </w:rPr>
        <w:fldChar w:fldCharType="end"/>
      </w:r>
      <w:r w:rsidRPr="00C40B25">
        <w:rPr>
          <w:sz w:val="22"/>
          <w:szCs w:val="22"/>
        </w:rPr>
        <w:t xml:space="preserve">. This test consists of 9 functional tasks that require bimanual coordination. The test items </w:t>
      </w:r>
      <w:proofErr w:type="gramStart"/>
      <w:r w:rsidRPr="00C40B25">
        <w:rPr>
          <w:sz w:val="22"/>
          <w:szCs w:val="22"/>
        </w:rPr>
        <w:t>are:</w:t>
      </w:r>
      <w:proofErr w:type="gramEnd"/>
      <w:r w:rsidRPr="00C40B25">
        <w:rPr>
          <w:sz w:val="22"/>
          <w:szCs w:val="22"/>
        </w:rPr>
        <w:t xml:space="preserve"> opening a jar of coffee, calling 911, drawing a line with a ruler, pouring a glass of water, wringing out a washcloth, doing up to 5 buttons, drying up with a towel, putting toothpaste on toothbrush, and cutting a medium resistance putty using a knife and a fork. Each item is graded on a 7-point activity scale (1: participant expends ≤25% of the effort for the task; 7: participant performs the task safely without modifications, assistive device, or aids, and within reasonable time) with higher scores suggesting better bilateral function. This test has good reliability and construct validity for individuals with stroke </w:t>
      </w:r>
      <w:r w:rsidRPr="00C40B25">
        <w:rPr>
          <w:sz w:val="22"/>
          <w:szCs w:val="22"/>
        </w:rPr>
        <w:fldChar w:fldCharType="begin" w:fldLock="1"/>
      </w:r>
      <w:r w:rsidR="004C530D">
        <w:rPr>
          <w:sz w:val="22"/>
          <w:szCs w:val="22"/>
        </w:rPr>
        <w:instrText>ADDIN CSL_CITATION {"citationItems":[{"id":"ITEM-1","itemData":{"DOI":"10.1016/j.apmr.2005.03.017","ISSN":"00039993","PMID":"16084816","abstract":"OBJECTIVES To estimate the test-retest reliability and validity of the Chedoke Arm and Hand Activity Inventory (CAHAI) and to test whether the CAHAI was more sensitive to change in upper-limb function than the Impairment Inventory of the Chedoke-McMaster Stroke Assessment (CMSA) and the Action Research Arm Test (ARAT). DESIGN Construct validation process. SETTING Inpatient/outpatient rehabilitation facilities. PARTICIPANTS Stratified sample of 39 survivors of stroke: 24 early (mean age, 71.4 y; mean days poststroke, 27.3) and 15 chronic (mean age, 64.0 y; mean days poststroke, 101.7). INTERVENTION Regular therapy. MAIN OUTCOME MEASURES Intraclass correlation coefficients (ICCs), receiver operating characteristic (ROC), standard error of measurement, and correlation coefficients. RESULTS High interrater reliability was established with an ICC of .98 (95% confidence interval [CI], .96-.99). The minimal detectable change score was 6.3 CAHAI points. Higher correlations were obtained between the CAHAI and the ARAT and CMSA scores compared with the CMSA shoulder pain scores (1-sided, P=.001). Areas under the ROC curves were as follows: CAHAI, .95 (95% CI, 0.87-1.00); CMSA, .76 (95% CI, .61-.92); and ARAT, .88 (95% CI, 0.76-1.00). CONCLUSIONS High interrater reliability and convergent and discriminant cross-sectional validity were established for the CAHAI. The CAHAI is more sensitive to clinically important change than the ARAT.","author":[{"dropping-particle":"","family":"Barreca","given":"Susan R.","non-dropping-particle":"","parse-names":false,"suffix":""},{"dropping-particle":"","family":"Stratford","given":"Paul W.","non-dropping-particle":"","parse-names":false,"suffix":""},{"dropping-particle":"","family":"Lambert","given":"Cynthia L.","non-dropping-particle":"","parse-names":false,"suffix":""},{"dropping-particle":"","family":"Masters","given":"Lisa M.","non-dropping-particle":"","parse-names":false,"suffix":""},{"dropping-particle":"","family":"Streiner","given":"David L.","non-dropping-particle":"","parse-names":false,"suffix":""}],"container-title":"Archives of Physical Medicine and Rehabilitation","id":"ITEM-1","issue":"8","issued":{"date-parts":[["2005","8"]]},"page":"1616-1622","title":"Test-Retest Reliability, Validity, and Sensitivity of the Chedoke Arm and Hand Activity Inventory: A New Measure of Upper-Limb Function for Survivors of Stroke","type":"article-journal","volume":"86"},"uris":["http://www.mendeley.com/documents/?uuid=7a1adb61-e690-3637-8fd6-f818ea743c96"]}],"mendeley":{"formattedCitation":"[13]","plainTextFormattedCitation":"[13]","previouslyFormattedCitation":"[13]"},"properties":{"noteIndex":0},"schema":"https://github.com/citation-style-language/schema/raw/master/csl-citation.json"}</w:instrText>
      </w:r>
      <w:r w:rsidRPr="00C40B25">
        <w:rPr>
          <w:sz w:val="22"/>
          <w:szCs w:val="22"/>
        </w:rPr>
        <w:fldChar w:fldCharType="separate"/>
      </w:r>
      <w:r w:rsidR="00906C02" w:rsidRPr="00906C02">
        <w:rPr>
          <w:noProof/>
          <w:sz w:val="22"/>
          <w:szCs w:val="22"/>
        </w:rPr>
        <w:t>[13]</w:t>
      </w:r>
      <w:r w:rsidRPr="00C40B25">
        <w:rPr>
          <w:sz w:val="22"/>
          <w:szCs w:val="22"/>
        </w:rPr>
        <w:fldChar w:fldCharType="end"/>
      </w:r>
      <w:r w:rsidRPr="00C40B25">
        <w:rPr>
          <w:sz w:val="22"/>
          <w:szCs w:val="22"/>
        </w:rPr>
        <w:t xml:space="preserve">. Our lab has established its validity in individuals with cervical SCI </w:t>
      </w:r>
      <w:r w:rsidRPr="00C40B25">
        <w:rPr>
          <w:sz w:val="22"/>
          <w:szCs w:val="22"/>
        </w:rPr>
        <w:fldChar w:fldCharType="begin" w:fldLock="1"/>
      </w:r>
      <w:r w:rsidR="00D70713">
        <w:rPr>
          <w:sz w:val="22"/>
          <w:szCs w:val="22"/>
        </w:rPr>
        <w:instrText>ADDIN CSL_CITATION {"citationItems":[{"id":"ITEM-1","itemData":{"DOI":"10.1097/NPT.0b013e3181fbe692","ISSN":"1557-0576","PMID":"21084920","abstract":"BACKGROUND AND PURPOSE In individuals with cervical spinal cord injury (SCI), damage to spinal pathways results in deficits of hand function; maladaptive cortical changes further impair function. Unimanual massed practice (MP) training with somatosensory stimulation (SS) has been shown to improve hand function and increase corticomotor excitability after SCI. However, bimanual training may be more beneficial as these individuals have bilateral impairment. We compared clinical and corticomotor changes associated with unimanual versus bimanual MP training, each combined with SS. METHODS Participants were 13 individuals with chronic tetraplegia who had at least minimal voluntary control of the thenar muscles of 1 hand. The participants were randomly assigned to unimanual MP + SS or bimanual MP + SS. Clinical outcome measures included tests of unimanual (Jebsen Taylor Hand Function Test; JTT) and bimanual hand function (Chedoke Arm and Hand Activity Inventory; CAHAI), sensory function (monofilament test), and pinch grip strength. Neurophysiological outcome measures were corticomotor map area, center of gravity (COG), of the corticomotor map and corticomotor threshold as assessed by transcranial magnetic stimulation. RESULTS There were no significant differences in outcomes between the unimanual MP + SS versus bimanual MP + SS groups, both groups showed significant improvements in the JTT, CAHAI, and monofilament test. However, trends suggest that the unimanual MP + SS group had greater improvement in the JTT whereas the bimanual MP + SS group had greater improvement on the CAHAI. Functional changes were accompanied by a strong trend toward increased corticomotor map area. DISCUSSION AND CONCLUSION When combined with SS, both unimanual and bimanual MP training improve hand function and sensation in individuals with tetraplegia. Changes in hand function seem to be associated with increased corticomotor map area.","author":[{"dropping-particle":"","family":"Hoffman","given":"Larisa R.","non-dropping-particle":"","parse-names":false,"suffix":""},{"dropping-particle":"","family":"Field-Fote","given":"Edelle C.","non-dropping-particle":"","parse-names":false,"suffix":""}],"container-title":"Journal of Neurologic Physical Therapy","id":"ITEM-1","issue":"4","issued":{"date-parts":[["2010","12"]]},"page":"193-201","title":"Functional and Corticomotor Changes in Individuals With Tetraplegia Following Unimanual or Bimanual Massed Practice Training With Somatosensory Stimulation","type":"article-journal","volume":"34"},"uris":["http://www.mendeley.com/documents/?uuid=263ade4c-68d0-3ffa-9dfb-1b9c9e04fce2"]}],"mendeley":{"formattedCitation":"[21]","plainTextFormattedCitation":"[21]","previouslyFormattedCitation":"[21]"},"properties":{"noteIndex":0},"schema":"https://github.com/citation-style-language/schema/raw/master/csl-citation.json"}</w:instrText>
      </w:r>
      <w:r w:rsidRPr="00C40B25">
        <w:rPr>
          <w:sz w:val="22"/>
          <w:szCs w:val="22"/>
        </w:rPr>
        <w:fldChar w:fldCharType="separate"/>
      </w:r>
      <w:r w:rsidR="00141D21" w:rsidRPr="00141D21">
        <w:rPr>
          <w:noProof/>
          <w:sz w:val="22"/>
          <w:szCs w:val="22"/>
        </w:rPr>
        <w:t>[21]</w:t>
      </w:r>
      <w:r w:rsidRPr="00C40B25">
        <w:rPr>
          <w:sz w:val="22"/>
          <w:szCs w:val="22"/>
        </w:rPr>
        <w:fldChar w:fldCharType="end"/>
      </w:r>
      <w:r w:rsidRPr="00C40B25">
        <w:rPr>
          <w:sz w:val="22"/>
          <w:szCs w:val="22"/>
        </w:rPr>
        <w:t xml:space="preserve">. </w:t>
      </w:r>
    </w:p>
    <w:p w14:paraId="1856A86E" w14:textId="77777777" w:rsidR="00C40B25" w:rsidRPr="00C40B25" w:rsidRDefault="00C40B25" w:rsidP="005012E4">
      <w:pPr>
        <w:ind w:left="1440" w:firstLine="720"/>
        <w:jc w:val="both"/>
        <w:rPr>
          <w:sz w:val="22"/>
          <w:szCs w:val="22"/>
        </w:rPr>
      </w:pPr>
      <w:r w:rsidRPr="005012E4">
        <w:rPr>
          <w:b/>
          <w:i/>
          <w:sz w:val="22"/>
          <w:szCs w:val="22"/>
        </w:rPr>
        <w:t>Sensory Function</w:t>
      </w:r>
      <w:r w:rsidRPr="005012E4">
        <w:rPr>
          <w:b/>
          <w:sz w:val="22"/>
          <w:szCs w:val="22"/>
        </w:rPr>
        <w:t>.</w:t>
      </w:r>
      <w:r w:rsidRPr="00C40B25">
        <w:rPr>
          <w:sz w:val="22"/>
          <w:szCs w:val="22"/>
        </w:rPr>
        <w:t xml:space="preserve"> The sensation subtests of GRASSP will be used to quantify sensory function. GRASSP is a reliable and valid tool developed for individuals with tetraplegia </w:t>
      </w:r>
      <w:r w:rsidRPr="00C40B25">
        <w:rPr>
          <w:sz w:val="22"/>
          <w:szCs w:val="22"/>
        </w:rPr>
        <w:fldChar w:fldCharType="begin" w:fldLock="1"/>
      </w:r>
      <w:r w:rsidR="004C530D">
        <w:rPr>
          <w:sz w:val="22"/>
          <w:szCs w:val="22"/>
        </w:rPr>
        <w:instrText>ADDIN CSL_CITATION {"citationItems":[{"id":"ITEM-1","itemData":{"DOI":"10.3171/2012.6.AOSPINE1258","ISSN":"1547-5654","PMID":"22985372","abstract":"OBJECT Primary outcome measures for the upper limb in trials concerning human spinal cord injury (SCI) need to distinguish between functional and neurological changes and require satisfying psychometric properties for clinical application. METHODS The Graded Redefined Assessment of Strength, Sensibility and Prehension (GRASSP) was developed by the International GRASSP Research and Design Team as a clinical outcome measure specific to the upper limbs for individuals with complete and incomplete tetraplegia (that is, paralysis or paresis). It can be administered across the continuum of recovery after acute cervical SCI. An international multicenter study (involving centers in North America and Europe) was conducted to apply the measure internationally and examine its applicability. RESULTS The GRASSP is a multimodal test comprising 5 subtests for each upper limb: dorsal sensation, palmar sensation (tested with Semmes-Weinstein monofilaments), strength (tested with motor grading of 10 muscles), and prehension (distinguishes scores for qualitative and quantitative grasping). Thus, administration of the GRASSP results in 5 numerical scores that provide a comprehensive profile of upper-limb function. The established interrater and test-retest reliability for all subtests within the GRASSP range from 0.84 to 0.96 and from 0.86 to 0.98, respectively. The GRASSP is approximately 50% more sensitive (construct validity) than the International Standards of Neurological Classification of SCI (ISNCSCI) in defining sensory and motor integrity of the upper limb. The subtests show concurrence with the Spinal Cord Independence Measure (SCIM), SCIM self-care subscales, and Capabilities of Upper Extremity Questionnaire (CUE) (the strongest concurrence to impairment is with self-perception of function [CUE], 0.57-0.83, p &lt; 0.0001). CONCLUSIONS The GRASSP was found to demonstrate reliability, construct validity, and concurrent validity for use as a standardized upper-limb impairment measure for individuals with complete or incomplete tetraplegia. Responsiveness (follow-up from onset to 1 year postinjury) is currently being tested in international studies (in North America and Europe). The GRASSP can be administered early after injury, thus making it a tool that can be administered in acute care (in the ICU), rehabilitation, and outpatient clinics.","author":[{"dropping-particle":"","family":"Kalsi-Ryan","given":"Sukhvinder","non-dropping-particle":"","parse-names":false,"suffix":""},{"dropping-particle":"","family":"Curt","given":"Armin","non-dropping-particle":"","parse-names":false,"suffix":""},{"dropping-particle":"","family":"Verrier","given":"Mary C.","non-dropping-particle":"","parse-names":false,"suffix":""},{"dropping-particle":"","family":"Fehlings","given":"Michael G.","non-dropping-particle":"","parse-names":false,"suffix":""}],"container-title":"Journal of Neurosurgery: Spine","id":"ITEM-1","issue":"Suppl1","issued":{"date-parts":[["2012","9"]]},"page":"65-76","title":"Development of the Graded Redefined Assessment of Strength, Sensibility and Prehension (GRASSP): reviewing measurement specific to the upper limb in tetraplegia","type":"article-journal","volume":"17"},"uris":["http://www.mendeley.com/documents/?uuid=7c641a1e-114b-3bf4-a522-59c628c425e1"]}],"mendeley":{"formattedCitation":"[15]","plainTextFormattedCitation":"[15]","previouslyFormattedCitation":"[15]"},"properties":{"noteIndex":0},"schema":"https://github.com/citation-style-language/schema/raw/master/csl-citation.json"}</w:instrText>
      </w:r>
      <w:r w:rsidRPr="00C40B25">
        <w:rPr>
          <w:sz w:val="22"/>
          <w:szCs w:val="22"/>
        </w:rPr>
        <w:fldChar w:fldCharType="separate"/>
      </w:r>
      <w:r w:rsidR="00906C02" w:rsidRPr="00906C02">
        <w:rPr>
          <w:noProof/>
          <w:sz w:val="22"/>
          <w:szCs w:val="22"/>
        </w:rPr>
        <w:t>[15]</w:t>
      </w:r>
      <w:r w:rsidRPr="00C40B25">
        <w:rPr>
          <w:sz w:val="22"/>
          <w:szCs w:val="22"/>
        </w:rPr>
        <w:fldChar w:fldCharType="end"/>
      </w:r>
      <w:r w:rsidRPr="00C40B25">
        <w:rPr>
          <w:sz w:val="22"/>
          <w:szCs w:val="22"/>
        </w:rPr>
        <w:t xml:space="preserve">. The high responsiveness and sensitivity of GRASSP allows for identification of UE neurological and functional changes associated with the efficacy of therapeutic interventions </w:t>
      </w:r>
      <w:r w:rsidRPr="00C40B25">
        <w:rPr>
          <w:sz w:val="22"/>
          <w:szCs w:val="22"/>
        </w:rPr>
        <w:fldChar w:fldCharType="begin" w:fldLock="1"/>
      </w:r>
      <w:r w:rsidR="00D70713">
        <w:rPr>
          <w:sz w:val="22"/>
          <w:szCs w:val="22"/>
        </w:rPr>
        <w:instrText>ADDIN CSL_CITATION {"citationItems":[{"id":"ITEM-1","itemData":{"DOI":"10.1089/neu.2015.4217","ISSN":"0897-7151","author":[{"dropping-particle":"","family":"Kalsi-Ryan","given":"Sukhvinder","non-dropping-particle":"","parse-names":false,"suffix":""},{"dropping-particle":"","family":"Beaton","given":"Dorcas","non-dropping-particle":"","parse-names":false,"suffix":""},{"dropping-particle":"","family":"Ahn","given":"Henry","non-dropping-particle":"","parse-names":false,"suffix":""},{"dropping-particle":"","family":"Askes","given":"Heather","non-dropping-particle":"","parse-names":false,"suffix":""},{"dropping-particle":"","family":"Drew","given":"Brian","non-dropping-particle":"","parse-names":false,"suffix":""},{"dropping-particle":"","family":"Curt","given":"Armin","non-dropping-particle":"","parse-names":false,"suffix":""},{"dropping-particle":"","family":"Popovic","given":"Milos R.","non-dropping-particle":"","parse-names":false,"suffix":""},{"dropping-particle":"","family":"Wang","given":"Justin","non-dropping-particle":"","parse-names":false,"suffix":""},{"dropping-particle":"","family":"Verrier","given":"Mary C.","non-dropping-particle":"","parse-names":false,"suffix":""},{"dropping-particle":"","family":"Fehlings","given":"Michael G.","non-dropping-particle":"","parse-names":false,"suffix":""}],"container-title":"Journal of Neurotrauma","id":"ITEM-1","issue":"3","issued":{"date-parts":[["2016","2"]]},"page":"307-314","title":"Responsiveness, Sensitivity, and Minimally Detectable Difference of the Graded and Redefined Assessment of Strength, Sensibility, and Prehension, Version 1.0","type":"article-journal","volume":"33"},"uris":["http://www.mendeley.com/documents/?uuid=6cf2cfa1-c1fb-300c-a7a8-86c442d69ab1"]}],"mendeley":{"formattedCitation":"[22]","plainTextFormattedCitation":"[22]","previouslyFormattedCitation":"[22]"},"properties":{"noteIndex":0},"schema":"https://github.com/citation-style-language/schema/raw/master/csl-citation.json"}</w:instrText>
      </w:r>
      <w:r w:rsidRPr="00C40B25">
        <w:rPr>
          <w:sz w:val="22"/>
          <w:szCs w:val="22"/>
        </w:rPr>
        <w:fldChar w:fldCharType="separate"/>
      </w:r>
      <w:r w:rsidR="00141D21" w:rsidRPr="00141D21">
        <w:rPr>
          <w:noProof/>
          <w:sz w:val="22"/>
          <w:szCs w:val="22"/>
        </w:rPr>
        <w:t>[22]</w:t>
      </w:r>
      <w:r w:rsidRPr="00C40B25">
        <w:rPr>
          <w:sz w:val="22"/>
          <w:szCs w:val="22"/>
        </w:rPr>
        <w:fldChar w:fldCharType="end"/>
      </w:r>
      <w:r w:rsidRPr="00C40B25">
        <w:rPr>
          <w:sz w:val="22"/>
          <w:szCs w:val="22"/>
        </w:rPr>
        <w:t xml:space="preserve">. During testing, Semmes and </w:t>
      </w:r>
      <w:r w:rsidR="00644D15" w:rsidRPr="00C40B25">
        <w:rPr>
          <w:sz w:val="22"/>
          <w:szCs w:val="22"/>
        </w:rPr>
        <w:t>Weinstein</w:t>
      </w:r>
      <w:r w:rsidRPr="00C40B25">
        <w:rPr>
          <w:sz w:val="22"/>
          <w:szCs w:val="22"/>
        </w:rPr>
        <w:t xml:space="preserve"> Monofilaments will be applied on 3 dorsal and palmar sensory test locations in each hand. Each location is scored from 0 (no response) to 4 (participant </w:t>
      </w:r>
      <w:proofErr w:type="gramStart"/>
      <w:r w:rsidRPr="00C40B25">
        <w:rPr>
          <w:sz w:val="22"/>
          <w:szCs w:val="22"/>
        </w:rPr>
        <w:t>is able to</w:t>
      </w:r>
      <w:proofErr w:type="gramEnd"/>
      <w:r w:rsidRPr="00C40B25">
        <w:rPr>
          <w:sz w:val="22"/>
          <w:szCs w:val="22"/>
        </w:rPr>
        <w:t xml:space="preserve"> perceive the smallest diameter monofilament). For each hand, a total score will be computed by adding the individual scores for each site (range 0- 24).</w:t>
      </w:r>
    </w:p>
    <w:p w14:paraId="4F884F6A" w14:textId="77777777" w:rsidR="00C40B25" w:rsidRPr="00C40B25" w:rsidRDefault="00C40B25" w:rsidP="005012E4">
      <w:pPr>
        <w:ind w:left="1440" w:firstLine="720"/>
        <w:jc w:val="both"/>
        <w:rPr>
          <w:sz w:val="22"/>
          <w:szCs w:val="22"/>
        </w:rPr>
      </w:pPr>
      <w:r w:rsidRPr="00C40B25">
        <w:rPr>
          <w:sz w:val="22"/>
          <w:szCs w:val="22"/>
        </w:rPr>
        <w:t xml:space="preserve">The </w:t>
      </w:r>
      <w:proofErr w:type="spellStart"/>
      <w:r w:rsidRPr="00C40B25">
        <w:rPr>
          <w:sz w:val="22"/>
          <w:szCs w:val="22"/>
        </w:rPr>
        <w:t>rNSA</w:t>
      </w:r>
      <w:proofErr w:type="spellEnd"/>
      <w:r w:rsidR="002C5867">
        <w:rPr>
          <w:sz w:val="22"/>
          <w:szCs w:val="22"/>
        </w:rPr>
        <w:t xml:space="preserve"> </w:t>
      </w:r>
      <w:r w:rsidRPr="00C40B25">
        <w:rPr>
          <w:sz w:val="22"/>
          <w:szCs w:val="22"/>
        </w:rPr>
        <w:fldChar w:fldCharType="begin" w:fldLock="1"/>
      </w:r>
      <w:r w:rsidR="004C530D">
        <w:rPr>
          <w:sz w:val="22"/>
          <w:szCs w:val="22"/>
        </w:rPr>
        <w:instrText>ADDIN CSL_CITATION {"citationItems":[{"id":"ITEM-1","itemData":{"DOI":"10.1016/S0031-9406(05)61454-X","ISSN":"0031-9406","abstract":"The Nottingham Sensory Assessment is a standardised scale for assessing sensory impairment in stroke patients. In the first study, a revised version of the scale was developed by reviewing the assessments of 61 patients admitted to a stroke unit. The scale was shortened by reducing testing of the unaffected limb to light touch, temperature and kinaesthetic sensation. An heirarchy of items was identified so that testing could be discontinued if no impairment was detected in the distal portion of the limb. In a second study, the reliability of the revised Nottingham Sensory Assessment was checked by two physiotherapists, who both assessed 27 stroke patients. Kappa co-efficients showed acceptable agreement on 12 out of 86 items. The light touch and pressure scales were the most reliable and pin-prick and temperature scales were the least reliable.","author":[{"dropping-particle":"","family":"Lincoln","given":"NB","non-dropping-particle":"","parse-names":false,"suffix":""},{"dropping-particle":"","family":"Jackson","given":"JM","non-dropping-particle":"","parse-names":false,"suffix":""},{"dropping-particle":"","family":"Adams","given":"SA","non-dropping-particle":"","parse-names":false,"suffix":""}],"container-title":"Physiotherapy","id":"ITEM-1","issue":"8","issued":{"date-parts":[["1998","8","1"]]},"page":"358-365","publisher":"Elsevier","title":"Reliability and Revision of the Nottingham Sensory Assessment for Stroke Patients","type":"article-journal","volume":"84"},"uris":["http://www.mendeley.com/documents/?uuid=635c0cdf-16a1-395f-93cb-a41a2ef05a0e"]}],"mendeley":{"formattedCitation":"[14]","plainTextFormattedCitation":"[14]","previouslyFormattedCitation":"[14]"},"properties":{"noteIndex":0},"schema":"https://github.com/citation-style-language/schema/raw/master/csl-citation.json"}</w:instrText>
      </w:r>
      <w:r w:rsidRPr="00C40B25">
        <w:rPr>
          <w:sz w:val="22"/>
          <w:szCs w:val="22"/>
        </w:rPr>
        <w:fldChar w:fldCharType="separate"/>
      </w:r>
      <w:r w:rsidR="00906C02" w:rsidRPr="00906C02">
        <w:rPr>
          <w:noProof/>
          <w:sz w:val="22"/>
          <w:szCs w:val="22"/>
        </w:rPr>
        <w:t>[14]</w:t>
      </w:r>
      <w:r w:rsidRPr="00C40B25">
        <w:rPr>
          <w:sz w:val="22"/>
          <w:szCs w:val="22"/>
        </w:rPr>
        <w:fldChar w:fldCharType="end"/>
      </w:r>
      <w:r w:rsidRPr="00C40B25">
        <w:rPr>
          <w:sz w:val="22"/>
          <w:szCs w:val="22"/>
        </w:rPr>
        <w:t xml:space="preserve"> is a standardized screening tool and a thorough sensory assessment approach utilizing simple and clinically available tools. It consists of 4 subscales: tactile sensation, proprioception, stereognosis, and two-point discrimination. All the subscales, except proprioception, will be assessed on a 3-point scale from 0 (the investigated sensory modality is absent) to 2 (the investigated sensory modality is normal). For the proprioception subscale, a 4-point scale will be used (0: no appreciation of movement taking place; 1: appreciation of movement taking </w:t>
      </w:r>
      <w:proofErr w:type="gramStart"/>
      <w:r w:rsidRPr="00C40B25">
        <w:rPr>
          <w:sz w:val="22"/>
          <w:szCs w:val="22"/>
        </w:rPr>
        <w:t>place</w:t>
      </w:r>
      <w:proofErr w:type="gramEnd"/>
      <w:r w:rsidRPr="00C40B25">
        <w:rPr>
          <w:sz w:val="22"/>
          <w:szCs w:val="22"/>
        </w:rPr>
        <w:t xml:space="preserve"> but direction is incorrect; 2: appreciation of the direction of movement taking place but inaccurate positioning; 3: appreciation of the direction of movement taking place and accurate positioning). For the purposes of this test, only the UE will be evaluated. The </w:t>
      </w:r>
      <w:proofErr w:type="spellStart"/>
      <w:r w:rsidRPr="00C40B25">
        <w:rPr>
          <w:sz w:val="22"/>
          <w:szCs w:val="22"/>
        </w:rPr>
        <w:t>rNSA</w:t>
      </w:r>
      <w:proofErr w:type="spellEnd"/>
      <w:r w:rsidRPr="00C40B25">
        <w:rPr>
          <w:sz w:val="22"/>
          <w:szCs w:val="22"/>
        </w:rPr>
        <w:t xml:space="preserve"> has acceptable inter-rater reliability for individuals with stroke </w:t>
      </w:r>
      <w:r w:rsidRPr="00C40B25">
        <w:rPr>
          <w:sz w:val="22"/>
          <w:szCs w:val="22"/>
        </w:rPr>
        <w:fldChar w:fldCharType="begin" w:fldLock="1"/>
      </w:r>
      <w:r w:rsidR="004C530D">
        <w:rPr>
          <w:sz w:val="22"/>
          <w:szCs w:val="22"/>
        </w:rPr>
        <w:instrText>ADDIN CSL_CITATION {"citationItems":[{"id":"ITEM-1","itemData":{"DOI":"10.1016/S0031-9406(05)61454-X","ISSN":"0031-9406","abstract":"The Nottingham Sensory Assessment is a standardised scale for assessing sensory impairment in stroke patients. In the first study, a revised version of the scale was developed by reviewing the assessments of 61 patients admitted to a stroke unit. The scale was shortened by reducing testing of the unaffected limb to light touch, temperature and kinaesthetic sensation. An heirarchy of items was identified so that testing could be discontinued if no impairment was detected in the distal portion of the limb. In a second study, the reliability of the revised Nottingham Sensory Assessment was checked by two physiotherapists, who both assessed 27 stroke patients. Kappa co-efficients showed acceptable agreement on 12 out of 86 items. The light touch and pressure scales were the most reliable and pin-prick and temperature scales were the least reliable.","author":[{"dropping-particle":"","family":"Lincoln","given":"NB","non-dropping-particle":"","parse-names":false,"suffix":""},{"dropping-particle":"","family":"Jackson","given":"JM","non-dropping-particle":"","parse-names":false,"suffix":""},{"dropping-particle":"","family":"Adams","given":"SA","non-dropping-particle":"","parse-names":false,"suffix":""}],"container-title":"Physiotherapy","id":"ITEM-1","issue":"8","issued":{"date-parts":[["1998","8","1"]]},"page":"358-365","publisher":"Elsevier","title":"Reliability and Revision of the Nottingham Sensory Assessment for Stroke Patients","type":"article-journal","volume":"84"},"uris":["http://www.mendeley.com/documents/?uuid=635c0cdf-16a1-395f-93cb-a41a2ef05a0e"]}],"mendeley":{"formattedCitation":"[14]","plainTextFormattedCitation":"[14]","previouslyFormattedCitation":"[14]"},"properties":{"noteIndex":0},"schema":"https://github.com/citation-style-language/schema/raw/master/csl-citation.json"}</w:instrText>
      </w:r>
      <w:r w:rsidRPr="00C40B25">
        <w:rPr>
          <w:sz w:val="22"/>
          <w:szCs w:val="22"/>
        </w:rPr>
        <w:fldChar w:fldCharType="separate"/>
      </w:r>
      <w:r w:rsidR="00906C02" w:rsidRPr="00906C02">
        <w:rPr>
          <w:noProof/>
          <w:sz w:val="22"/>
          <w:szCs w:val="22"/>
        </w:rPr>
        <w:t>[14]</w:t>
      </w:r>
      <w:r w:rsidRPr="00C40B25">
        <w:rPr>
          <w:sz w:val="22"/>
          <w:szCs w:val="22"/>
        </w:rPr>
        <w:fldChar w:fldCharType="end"/>
      </w:r>
      <w:r w:rsidRPr="00C40B25">
        <w:rPr>
          <w:sz w:val="22"/>
          <w:szCs w:val="22"/>
        </w:rPr>
        <w:t>; nevertheless, it has never been applied to people with SCI. To examine its concurrent validity, we will validate it against the sensation domains of GRASSP. A score for each UE will be obtained.</w:t>
      </w:r>
    </w:p>
    <w:p w14:paraId="3B5B6BFA" w14:textId="77777777" w:rsidR="00C40B25" w:rsidRPr="00C40B25" w:rsidRDefault="00C40B25" w:rsidP="005012E4">
      <w:pPr>
        <w:ind w:left="1440" w:firstLine="720"/>
        <w:jc w:val="both"/>
        <w:rPr>
          <w:sz w:val="22"/>
          <w:szCs w:val="22"/>
        </w:rPr>
      </w:pPr>
      <w:r w:rsidRPr="005012E4">
        <w:rPr>
          <w:b/>
          <w:i/>
          <w:sz w:val="22"/>
          <w:szCs w:val="22"/>
        </w:rPr>
        <w:lastRenderedPageBreak/>
        <w:t>Strength.</w:t>
      </w:r>
      <w:r w:rsidRPr="00C40B25">
        <w:rPr>
          <w:sz w:val="22"/>
          <w:szCs w:val="22"/>
        </w:rPr>
        <w:t xml:space="preserve"> Changes in pinch and grasp strength will be assessed with a mechanical pinch gauge and hydraulic hand dynamometer (B&amp;L Engineering, Santa Ana, CA). Research has shown that pinch and grasp strength in persons with SCI is improved following intervention comprised of </w:t>
      </w:r>
      <w:proofErr w:type="spellStart"/>
      <w:r w:rsidRPr="00C40B25">
        <w:rPr>
          <w:sz w:val="22"/>
          <w:szCs w:val="22"/>
        </w:rPr>
        <w:t>neuromodulatory</w:t>
      </w:r>
      <w:proofErr w:type="spellEnd"/>
      <w:r w:rsidRPr="00C40B25">
        <w:rPr>
          <w:sz w:val="22"/>
          <w:szCs w:val="22"/>
        </w:rPr>
        <w:t xml:space="preserve"> stimulation and training </w:t>
      </w:r>
      <w:r w:rsidRPr="00C40B25">
        <w:rPr>
          <w:sz w:val="22"/>
          <w:szCs w:val="22"/>
        </w:rPr>
        <w:fldChar w:fldCharType="begin" w:fldLock="1"/>
      </w:r>
      <w:r w:rsidR="00D70713">
        <w:rPr>
          <w:sz w:val="22"/>
          <w:szCs w:val="22"/>
        </w:rPr>
        <w:instrText>ADDIN CSL_CITATION {"citationItems":[{"id":"ITEM-1","itemData":{"DOI":"10.1097/NPT.0000000000000062","ISSN":"1557-0584","PMID":"25415549","abstract":"BACKGROUND AND PURPOSE Evidence suggests that the use of stimulation to increase corticomotor excitability improves hand function in persons with cervical spinal cord injury. We assessed effects of a multiday application of 10-Hz repetitive transcranial magnetic stimulation (rTMS) applied to the corticomotor hand area combined with repetitive task practice (RTP) in participants with tetraplegia and neurologically healthy participants. METHODS Using a double-blind, randomized, crossover design, 11 participants with chronic tetraplegia and 10 neurologically healthy participants received 3 sessions of 10-Hz rTMS+RTP and 3 sessions of sham-rTMS+RTP to the corticomotor hand region controlling the weaker hand. Repetitive transcranial magnetic stimulation was interleaved with RTP of a skilled motor task between pulse trains. Hand function (Jebsen-Taylor Hand Function Test, pinch, and grasp strength) and corticomotor excitability (amplitude of motor-evoked potential) were assessed before and after the rTMS+RTP and sham-rTMS+RTP phases. We assessed significance, using paired t tests on pre-post differences, and effect sizes, using the standardized response mean. RESULTS RTMS+RTP was associated with larger effect sizes compared with sham-rTMS+RTP for improvement in Jebsen-Taylor Hand Function Test for both the trained hand (standardized response mean = 0.85 and 0.42, respectively) and non-trained hand (0.55 and 0.31, respectively), and for grasp strength of the trained hand in the group with cervical spinal cord injury (0.67 and 0.39, respectively) alone. Effect sizes for all other measures were small and there were no statistical between-condition differences in the outcomes assessed. DISCUSSION AND CONCLUSIONS Repetitive transcranial magnetic stimulation may be a valuable adjunct to RTP for improving hand function in persons with tetraplegia. Higher stimulation dose (frequency, intensity, and the number of sessions) may be associated with larger effects. VIDEO ABSTRACT AVAILABLE (see Supplemental Digital Content 1, http://links.lww.com/JNPT/A82) for more insights from the authors.","author":[{"dropping-particle":"","family":"Gomes-Osman","given":"Joyce","non-dropping-particle":"","parse-names":false,"suffix":""},{"dropping-particle":"","family":"Field-Fote","given":"Edelle C","non-dropping-particle":"","parse-names":false,"suffix":""}],"container-title":"Journal of neurologic physical therapy : JNPT","id":"ITEM-1","issue":"1","issued":{"date-parts":[["2015","1"]]},"page":"23-30","publisher":"NIH Public Access","title":"Improvements in hand function in adults with chronic tetraplegia following a multiday 10-Hz repetitive transcranial magnetic stimulation intervention combined with repetitive task practice.","type":"article-journal","volume":"39"},"uris":["http://www.mendeley.com/documents/?uuid=e6d20b67-6530-36fa-9382-157d832a0b0f"]},{"id":"ITEM-2","itemData":{"DOI":"10.1177/0269215514556087","ISSN":"0269-2155","PMID":"25381344","abstract":"OBJECTIVE To assess single-session effects of three different types of stimuli known to increase cortical excitability when combined with functional task practice. DESIGN Randomized cross-over trial. PARTICIPANTS A total of 24 participants with chronic cervical spinal cord injury. INTERVENTIONS One 30-minute session of each, applied concurrently with functional task practice: transcranial direct current stimulation, vibration, and transcutaneous electrical nerve stimulation. MEASUREMENTS Nine-hole Peg Test, pinch force, visuomotor tracking, and cortical excitability were collected at pretest, posttest and late posttest (30 minutes after). Early effects (posttest minus pretest) and short-term persistence (late posttest minus pretest) were assessed using a general linear mixed model. Magnitude of effect size was assessed using the Cohen's d. RESULTS Transcutaneous electrical nerve stimulation was associated with moderate, significant early effects and short-term persistence on Nine-hole Peg Test performance (1.8 ±1.8, p = 0.003, d = 0.59; 2.0 ±2.5, p &lt; 0.001, Cohen's d = 0.65, respectively). Transcranial direct current stimulation (1.8 ±2.5, p = 0.003, Cohen's d = 0.52) was also associated with significant short-term persistence of moderate size on Nine-hole Peg Test performance (1.8 ±2.5, p = 0.003, Cohen's d = 0.52) and visuomotor tracking performance (p = 0.05, d = 0.51). Early effects on corticomotor excitability were significant for transcutaneous electrical nerve stimulation (p = 0.003), approached significance for transcranial direct current stimulation (p = 0.07), and only vibration was associated with significant short-term persistence (p = 0.006). CONCLUSIONS Meaningful improvements in aspects of hand-related function that persisted at least 30 minutes after intervention were observed with transcutaneous electrical nerve stimulation and transcranial direct current stimulation, when combined with functional task practice.","author":[{"dropping-particle":"","family":"Gomes-Osman","given":"Joyce","non-dropping-particle":"","parse-names":false,"suffix":""},{"dropping-particle":"","family":"Field-Fote","given":"Edelle C","non-dropping-particle":"","parse-names":false,"suffix":""}],"container-title":"Clinical Rehabilitation","id":"ITEM-2","issue":"8","issued":{"date-parts":[["2015","8","7"]]},"page":"771-782","title":"Cortical vs. afferent stimulation as an adjunct to functional task practice training: a randomized, comparative pilot study in people with cervical spinal cord injury","type":"article-journal","volume":"29"},"uris":["http://www.mendeley.com/documents/?uuid=95d294e6-4845-3e68-8d41-69c37fb676ca"]},{"id":"ITEM-3","itemData":{"DOI":"10.1080/00222895.2013.808604","ISSN":"1940-1027","PMID":"23796102","abstract":"Transcranial direct current stimulation (tDCS) is associated with improved unimanual skilled hand use. The authors assessed effects of bihemispheric anodal corticomotor tDCS (BAC-tDCS) on bimanual skilled hand use. Twenty-eight nondisabled subjects were randomized to either BAC-tDCS or sham-tDCS, 20 min daily for 5 consecutive days. Performance on a bimanual typing (BT) task and a short-term memory (STM) task was assessed daily and at 1-week follow-up. Mean change between Day 1 and Day 5 in BT score with BAC-tDCS (19.4 points; 95% CI [12.82, 25.99]) was significantly greater (p =.04) than change with sham-tDCS (12.5 points; 95% CI [7.6, 17.3]). Neither group retained improvements in BT score at follow-up. BAC-tDCS had no effect on STM. These results may have implications for interventions to improve hand function in persons with bilateral hand dysfunction.","author":[{"dropping-particle":"","family":"Gomes-Osman","given":"Joyce","non-dropping-particle":"","parse-names":false,"suffix":""},{"dropping-particle":"","family":"Field-Fote","given":"Edelle C","non-dropping-particle":"","parse-names":false,"suffix":""}],"container-title":"Journal of motor behavior","id":"ITEM-3","issue":"4","issued":{"date-parts":[["2013","7"]]},"page":"361-7","title":"Bihemispheric anodal corticomotor stimulation using transcranial direct current stimulation improves bimanual typing task performance.","type":"article-journal","volume":"45"},"uris":["http://www.mendeley.com/documents/?uuid=2334737c-a2e2-38ca-9ebb-d129af901255"]}],"mendeley":{"formattedCitation":"[2, 4, 23]","plainTextFormattedCitation":"[2, 4, 23]","previouslyFormattedCitation":"[2, 4, 23]"},"properties":{"noteIndex":0},"schema":"https://github.com/citation-style-language/schema/raw/master/csl-citation.json"}</w:instrText>
      </w:r>
      <w:r w:rsidRPr="00C40B25">
        <w:rPr>
          <w:sz w:val="22"/>
          <w:szCs w:val="22"/>
        </w:rPr>
        <w:fldChar w:fldCharType="separate"/>
      </w:r>
      <w:r w:rsidR="00141D21" w:rsidRPr="00141D21">
        <w:rPr>
          <w:noProof/>
          <w:sz w:val="22"/>
          <w:szCs w:val="22"/>
        </w:rPr>
        <w:t>[2, 4, 23]</w:t>
      </w:r>
      <w:r w:rsidRPr="00C40B25">
        <w:rPr>
          <w:sz w:val="22"/>
          <w:szCs w:val="22"/>
        </w:rPr>
        <w:fldChar w:fldCharType="end"/>
      </w:r>
      <w:r w:rsidRPr="00C40B25">
        <w:rPr>
          <w:sz w:val="22"/>
          <w:szCs w:val="22"/>
        </w:rPr>
        <w:t>. Participants will be in a seated position with their shoulder in neutral, elbow at 90</w:t>
      </w:r>
      <w:r w:rsidRPr="00C40B25">
        <w:rPr>
          <w:sz w:val="22"/>
          <w:szCs w:val="22"/>
          <w:vertAlign w:val="superscript"/>
        </w:rPr>
        <w:t xml:space="preserve">0 </w:t>
      </w:r>
      <w:r w:rsidRPr="00C40B25">
        <w:rPr>
          <w:sz w:val="22"/>
          <w:szCs w:val="22"/>
        </w:rPr>
        <w:t xml:space="preserve">flexion, and forearm and wrist in neutral position. A total of 3 maximum voluntary contractions for each side will be collected with a 1-min resting period between trials. The average force in 3 trials will be recorded for each UE. </w:t>
      </w:r>
    </w:p>
    <w:p w14:paraId="3D4A20D3" w14:textId="77777777" w:rsidR="005012E4" w:rsidRDefault="005012E4" w:rsidP="00C40B25">
      <w:pPr>
        <w:ind w:left="1440"/>
        <w:jc w:val="both"/>
        <w:rPr>
          <w:sz w:val="22"/>
          <w:szCs w:val="22"/>
        </w:rPr>
      </w:pPr>
    </w:p>
    <w:p w14:paraId="5FDA11AC" w14:textId="77777777" w:rsidR="005012E4" w:rsidRPr="005012E4" w:rsidRDefault="00C40B25" w:rsidP="005012E4">
      <w:pPr>
        <w:spacing w:after="120"/>
        <w:ind w:left="1440"/>
        <w:jc w:val="both"/>
        <w:rPr>
          <w:b/>
          <w:sz w:val="22"/>
          <w:szCs w:val="22"/>
          <w:u w:val="single"/>
        </w:rPr>
      </w:pPr>
      <w:r w:rsidRPr="005012E4">
        <w:rPr>
          <w:b/>
          <w:sz w:val="22"/>
          <w:szCs w:val="22"/>
          <w:u w:val="single"/>
        </w:rPr>
        <w:t>Intervention</w:t>
      </w:r>
      <w:r w:rsidR="005012E4" w:rsidRPr="005012E4">
        <w:rPr>
          <w:b/>
          <w:sz w:val="22"/>
          <w:szCs w:val="22"/>
          <w:u w:val="single"/>
        </w:rPr>
        <w:t xml:space="preserve"> procedures</w:t>
      </w:r>
    </w:p>
    <w:p w14:paraId="4BE4D737" w14:textId="77777777" w:rsidR="00C40B25" w:rsidRPr="00C40B25" w:rsidRDefault="00C40B25" w:rsidP="005012E4">
      <w:pPr>
        <w:spacing w:after="120"/>
        <w:ind w:left="1440" w:firstLine="720"/>
        <w:jc w:val="both"/>
        <w:rPr>
          <w:sz w:val="22"/>
          <w:szCs w:val="22"/>
        </w:rPr>
      </w:pPr>
      <w:r w:rsidRPr="00C40B25">
        <w:rPr>
          <w:sz w:val="22"/>
          <w:szCs w:val="22"/>
        </w:rPr>
        <w:t xml:space="preserve">Combined stimulation and training protocols can lead to greater improvements in functional performance than stimulation or training alone </w:t>
      </w:r>
      <w:r w:rsidRPr="00C40B25">
        <w:rPr>
          <w:sz w:val="22"/>
          <w:szCs w:val="22"/>
        </w:rPr>
        <w:fldChar w:fldCharType="begin" w:fldLock="1"/>
      </w:r>
      <w:r w:rsidR="00D70713">
        <w:rPr>
          <w:sz w:val="22"/>
          <w:szCs w:val="22"/>
        </w:rPr>
        <w:instrText>ADDIN CSL_CITATION {"citationItems":[{"id":"ITEM-1","itemData":{"DOI":"10.1016/j.apmr.2007.11.021","ISSN":"1532-821X","PMID":"18373988","abstract":"OBJECTIVE To compare functional changes and cortical neuroplasticity associated with hand and upper extremity use after massed (repetitive task-oriented practice) training, somatosensory stimulation, massed practice training combined with somatosensory stimulation, or no intervention, in persons with chronic incomplete tetraplegia. DESIGN Participants were randomly assigned to 1 of 4 groups: massed practice training combined with somatosensory peripheral nerve stimulation (MP+SS), somatosensory peripheral nerve stimulation only (SS), massed practice training only (MP), and no intervention (control). SETTING University medical school setting. PARTICIPANTS Twenty-four subjects with chronic incomplete tetraplegia. INTERVENTIONS Intervention sessions were 2 hours per session, 5 days a week for 3 weeks. Massed practice training consisted of repetitive practice of functional tasks requiring skilled hand and upper-extremity use. Somatosensory stimulation consisted of median nerve stimulation with intensity set below motor threshold. MAIN OUTCOME MEASURES Pre- and post-testing assessed changes in functional hand use (Jebsen-Taylor Hand Function Test), functional upper-extremity use (Wolf Motor Function Test), pinch grip strength (key pinch force), sensory function (monofilament testing), and changes in cortical excitation (motor evoked potential threshold). RESULTS The 3 groups showed significant improvements in hand function after training. The MP+SS and SS groups had significant improvements in upper-extremity function and pinch strength compared with the control group, but only the MP+SS group had a significant change in sensory scores compared with the control group. The MP+SS and MP groups had greater change in threshold measures of cortical excitability. CONCLUSIONS People with chronic incomplete tetraplegia obtain functional benefits from massed practice of task-oriented skills. Somatosensory stimulation appears to be a valuable adjunct to training programs designed to improve hand and upper-extremity function in these subjects.","author":[{"dropping-particle":"","family":"Beekhuizen","given":"Kristina S","non-dropping-particle":"","parse-names":false,"suffix":""},{"dropping-particle":"","family":"Field-Fote","given":"Edelle C","non-dropping-particle":"","parse-names":false,"suffix":""}],"container-title":"Archives of physical medicine and rehabilitation","id":"ITEM-1","issue":"4","issued":{"date-parts":[["2008","4"]]},"page":"602-8","title":"Sensory stimulation augments the effects of massed practice training in persons with tetraplegia.","type":"article-journal","volume":"89"},"uris":["http://www.mendeley.com/documents/?uuid=17151796-278a-31a2-828d-c04f01a322f5"]}],"mendeley":{"formattedCitation":"[24]","plainTextFormattedCitation":"[24]","previouslyFormattedCitation":"[24]"},"properties":{"noteIndex":0},"schema":"https://github.com/citation-style-language/schema/raw/master/csl-citation.json"}</w:instrText>
      </w:r>
      <w:r w:rsidRPr="00C40B25">
        <w:rPr>
          <w:sz w:val="22"/>
          <w:szCs w:val="22"/>
        </w:rPr>
        <w:fldChar w:fldCharType="separate"/>
      </w:r>
      <w:r w:rsidR="00141D21" w:rsidRPr="00141D21">
        <w:rPr>
          <w:noProof/>
          <w:sz w:val="22"/>
          <w:szCs w:val="22"/>
        </w:rPr>
        <w:t>[24]</w:t>
      </w:r>
      <w:r w:rsidRPr="00C40B25">
        <w:rPr>
          <w:sz w:val="22"/>
          <w:szCs w:val="22"/>
        </w:rPr>
        <w:fldChar w:fldCharType="end"/>
      </w:r>
      <w:r w:rsidRPr="00C40B25">
        <w:rPr>
          <w:sz w:val="22"/>
          <w:szCs w:val="22"/>
        </w:rPr>
        <w:t>. Therefore, participants will receive a combined intervention for 6 days (3 days of sham-</w:t>
      </w:r>
      <w:proofErr w:type="spellStart"/>
      <w:r w:rsidR="00D70713">
        <w:rPr>
          <w:sz w:val="22"/>
          <w:szCs w:val="22"/>
        </w:rPr>
        <w:t>tDCS</w:t>
      </w:r>
      <w:proofErr w:type="spellEnd"/>
      <w:r w:rsidRPr="00C40B25">
        <w:rPr>
          <w:sz w:val="22"/>
          <w:szCs w:val="22"/>
        </w:rPr>
        <w:t xml:space="preserve"> and 3 days of</w:t>
      </w:r>
      <w:r w:rsidR="00D70713">
        <w:rPr>
          <w:sz w:val="22"/>
          <w:szCs w:val="22"/>
        </w:rPr>
        <w:t xml:space="preserve"> </w:t>
      </w:r>
      <w:proofErr w:type="spellStart"/>
      <w:r w:rsidR="00D70713">
        <w:rPr>
          <w:sz w:val="22"/>
          <w:szCs w:val="22"/>
        </w:rPr>
        <w:t>tRNS</w:t>
      </w:r>
      <w:proofErr w:type="spellEnd"/>
      <w:r w:rsidR="00D70713">
        <w:rPr>
          <w:sz w:val="22"/>
          <w:szCs w:val="22"/>
        </w:rPr>
        <w:t xml:space="preserve"> or </w:t>
      </w:r>
      <w:proofErr w:type="spellStart"/>
      <w:r w:rsidR="00D70713">
        <w:rPr>
          <w:sz w:val="22"/>
          <w:szCs w:val="22"/>
        </w:rPr>
        <w:t>tDCS</w:t>
      </w:r>
      <w:proofErr w:type="spellEnd"/>
      <w:r w:rsidRPr="00C40B25">
        <w:rPr>
          <w:sz w:val="22"/>
          <w:szCs w:val="22"/>
        </w:rPr>
        <w:t xml:space="preserve"> during FMT). In each training session, a questionnaire prior and following the intervention will be administered. This questionnaire will include questions regarding factors that can potentially influence the effects of </w:t>
      </w:r>
      <w:proofErr w:type="spellStart"/>
      <w:r w:rsidRPr="00C40B25">
        <w:rPr>
          <w:sz w:val="22"/>
          <w:szCs w:val="22"/>
        </w:rPr>
        <w:t>tRNS</w:t>
      </w:r>
      <w:proofErr w:type="spellEnd"/>
      <w:r w:rsidR="00D70713">
        <w:rPr>
          <w:sz w:val="22"/>
          <w:szCs w:val="22"/>
        </w:rPr>
        <w:t xml:space="preserve"> or </w:t>
      </w:r>
      <w:proofErr w:type="spellStart"/>
      <w:r w:rsidR="00D70713">
        <w:rPr>
          <w:sz w:val="22"/>
          <w:szCs w:val="22"/>
        </w:rPr>
        <w:t>tDCS</w:t>
      </w:r>
      <w:proofErr w:type="spellEnd"/>
      <w:r w:rsidRPr="00C40B25">
        <w:rPr>
          <w:sz w:val="22"/>
          <w:szCs w:val="22"/>
        </w:rPr>
        <w:t xml:space="preserve"> and track sensations associated with its application. This questionnaire administration has been recommended for safety monitoring by recently published guidelines on low intensity transcranial electrical stimulation </w:t>
      </w:r>
      <w:r w:rsidRPr="00C40B25">
        <w:rPr>
          <w:sz w:val="22"/>
          <w:szCs w:val="22"/>
        </w:rPr>
        <w:fldChar w:fldCharType="begin" w:fldLock="1"/>
      </w:r>
      <w:r w:rsidR="00EA06E5">
        <w:rPr>
          <w:sz w:val="22"/>
          <w:szCs w:val="22"/>
        </w:rPr>
        <w:instrText>ADDIN CSL_CITATION {"citationItems":[{"id":"ITEM-1","itemData":{"DOI":"10.1016/j.clinph.2017.06.001","ISSN":"13882457","PMID":"28709880","abstract":"Low intensity transcranial electrical stimulation (TES) in humans, encompassing transcranial direct current (tDCS), transcutaneous spinal Direct Current Stimulation (tsDCS), transcranial alternating current (tACS), and transcranial random noise (tRNS) stimulation or their combinations, appears to be safe. No serious adverse events (SAEs) have been reported so far in over 18,000 sessions administered to healthy subjects, neurological and psychiatric patients, as summarized here. Moderate adverse events (AEs), as defined by the necessity to intervene, are rare, and include skin burns with tDCS due to suboptimal electrode-skin contact. Very rarely mania or hypomania was induced in patients with depression (11 documented cases), yet a causal relationship is difficult to prove because of the low incidence rate and limited numbers of subjects in controlled trials. Mild AEs (MAEs) include headache and fatigue following stimulation as well as prickling and burning sensations occurring during tDCS at peak-to-baseline intensities of 1-2mA and during tACS at higher peak-to-peak intensities above 2mA. The prevalence of published AEs is different in studies specifically assessing AEs vs. those not assessing them, being higher in the former. AEs are frequently reported by individuals receiving placebo stimulation. The profile of AEs in terms of frequency, magnitude and type is comparable in healthy and clinical populations, and this is also the case for more vulnerable populations, such as children, elderly persons, or pregnant women. Combined interventions (e.g., co-application of drugs, electrophysiological measurements, neuroimaging) were not associated with further safety issues. Safety is established for low-intensity 'conventional' TES defined as &lt;4mA, up to 60min duration per day. Animal studies and modeling evidence indicate that brain injury could occur at predicted current densities in the brain of 6.3-13A/m2 that are over an order of magnitude above those produced by tDCS in humans. Using AC stimulation fewer AEs were reported compared to DC. In specific paradigms with amplitudes of up to 10mA, frequencies in the kHz range appear to be safe. In this paper we provide structured interviews and recommend their use in future controlled studies, in particular when trying to extend the parameters applied. We also discuss recent regulatory issues, reporting practices and ethical issues. These recommendations achieved consensus in a meeting, which took place in Gö…","author":[{"dropping-particle":"","family":"Antal","given":"A.","non-dropping-particle":"","parse-names":false,"suffix":""},{"dropping-particle":"","family":"Alekseichuk","given":"I.","non-dropping-particle":"","parse-names":false,"suffix":""},{"dropping-particle":"","family":"Bikson","given":"M.","non-dropping-particle":"","parse-names":false,"suffix":""},{"dropping-particle":"","family":"Brockmöller","given":"J.","non-dropping-particle":"","parse-names":false,"suffix":""},{"dropping-particle":"","family":"Brunoni","given":"A.R.","non-dropping-particle":"","parse-names":false,"suffix":""},{"dropping-particle":"","family":"Chen","given":"R.","non-dropping-particle":"","parse-names":false,"suffix":""},{"dropping-particle":"","family":"Cohen","given":"L.G.","non-dropping-particle":"","parse-names":false,"suffix":""},{"dropping-particle":"","family":"Dowthwaite","given":"G.","non-dropping-particle":"","parse-names":false,"suffix":""},{"dropping-particle":"","family":"Ellrich","given":"J.","non-dropping-particle":"","parse-names":false,"suffix":""},{"dropping-particle":"","family":"Flöel","given":"A.","non-dropping-particle":"","parse-names":false,"suffix":""},{"dropping-particle":"","family":"Fregni","given":"F.","non-dropping-particle":"","parse-names":false,"suffix":""},{"dropping-particle":"","family":"George","given":"M.S.","non-dropping-particle":"","parse-names":false,"suffix":""},{"dropping-particle":"","family":"Hamilton","given":"R.","non-dropping-particle":"","parse-names":false,"suffix":""},{"dropping-particle":"","family":"Haueisen","given":"J.","non-dropping-particle":"","parse-names":false,"suffix":""},{"dropping-particle":"","family":"Herrmann","given":"C.S.","non-dropping-particle":"","parse-names":false,"suffix":""},{"dropping-particle":"","family":"Hummel","given":"F.C.","non-dropping-particle":"","parse-names":false,"suffix":""},{"dropping-particle":"","family":"Lefaucheur","given":"J.P.","non-dropping-particle":"","parse-names":false,"suffix":""},{"dropping-particle":"","family":"Liebetanz","given":"D.","non-dropping-particle":"","parse-names":false,"suffix":""},{"dropping-particle":"","family":"Loo","given":"C.K.","non-dropping-particle":"","parse-names":false,"suffix":""},{"dropping-particle":"","family":"McCaig","given":"C.D.","non-dropping-particle":"","parse-names":false,"suffix":""},{"dropping-particle":"","family":"Miniussi","given":"C.","non-dropping-particle":"","parse-names":false,"suffix":""},{"dropping-particle":"","family":"Miranda","given":"P.C.","non-dropping-particle":"","parse-names":false,"suffix":""},{"dropping-particle":"","family":"Moliadze","given":"V.","non-dropping-particle":"","parse-names":false,"suffix":""},{"dropping-particle":"","family":"Nitsche","given":"M.A.","non-dropping-particle":"","parse-names":false,"suffix":""},{"dropping-particle":"","family":"Nowak","given":"R.","non-dropping-particle":"","parse-names":false,"suffix":""},{"dropping-particle":"","family":"Padberg","given":"F.","non-dropping-particle":"","parse-names":false,"suffix":""},{"dropping-particle":"","family":"Pascual-Leone","given":"A.","non-dropping-particle":"","parse-names":false,"suffix":""},{"dropping-particle":"","family":"Poppendieck","given":"W.","non-dropping-particle":"","parse-names":false,"suffix":""},{"dropping-particle":"","family":"Priori","given":"A.","non-dropping-particle":"","parse-names":false,"suffix":""},{"dropping-particle":"","family":"Rossi","given":"S.","non-dropping-particle":"","parse-names":false,"suffix":""},{"dropping-particle":"","family":"Rossini","given":"P.M.","non-dropping-particle":"","parse-names":false,"suffix":""},{"dropping-particle":"","family":"Rothwell","given":"J.","non-dropping-particle":"","parse-names":false,"suffix":""},{"dropping-particle":"","family":"Rueger","given":"M.A.","non-dropping-particle":"","parse-names":false,"suffix":""},{"dropping-particle":"","family":"Ruffini","given":"G.","non-dropping-particle":"","parse-names":false,"suffix":""},{"dropping-particle":"","family":"Schellhorn","given":"K.","non-dropping-particle":"","parse-names":false,"suffix":""},{"dropping-particle":"","family":"Siebner","given":"H.R.","non-dropping-particle":"","parse-names":false,"suffix":""},{"dropping-particle":"","family":"Ugawa","given":"Y.","non-dropping-particle":"","parse-names":false,"suffix":""},{"dropping-particle":"","family":"Wexler","given":"A.","non-dropping-particle":"","parse-names":false,"suffix":""},{"dropping-particle":"","family":"Ziemann","given":"U.","non-dropping-particle":"","parse-names":false,"suffix":""},{"dropping-particle":"","family":"Hallett","given":"M.","non-dropping-particle":"","parse-names":false,"suffix":""},{"dropping-particle":"","family":"Paulus","given":"W.","non-dropping-particle":"","parse-names":false,"suffix":""}],"container-title":"Clinical Neurophysiology","id":"ITEM-1","issue":"9","issued":{"date-parts":[["2017","9"]]},"page":"1774-1809","title":"Low intensity transcranial electric stimulation: Safety, ethical, legal regulatory and application guidelines","type":"article-journal","volume":"128"},"uris":["http://www.mendeley.com/documents/?uuid=ea08a8d1-ed4f-3348-9e96-904f13409acb"]}],"mendeley":{"formattedCitation":"[25]","plainTextFormattedCitation":"[25]","previouslyFormattedCitation":"[25]"},"properties":{"noteIndex":0},"schema":"https://github.com/citation-style-language/schema/raw/master/csl-citation.json"}</w:instrText>
      </w:r>
      <w:r w:rsidRPr="00C40B25">
        <w:rPr>
          <w:sz w:val="22"/>
          <w:szCs w:val="22"/>
        </w:rPr>
        <w:fldChar w:fldCharType="separate"/>
      </w:r>
      <w:r w:rsidR="00D70713" w:rsidRPr="00D70713">
        <w:rPr>
          <w:noProof/>
          <w:sz w:val="22"/>
          <w:szCs w:val="22"/>
        </w:rPr>
        <w:t>[25]</w:t>
      </w:r>
      <w:r w:rsidRPr="00C40B25">
        <w:rPr>
          <w:sz w:val="22"/>
          <w:szCs w:val="22"/>
        </w:rPr>
        <w:fldChar w:fldCharType="end"/>
      </w:r>
      <w:r w:rsidRPr="00C40B25">
        <w:rPr>
          <w:sz w:val="22"/>
          <w:szCs w:val="22"/>
        </w:rPr>
        <w:t xml:space="preserve">.  </w:t>
      </w:r>
    </w:p>
    <w:p w14:paraId="252129C1" w14:textId="77777777" w:rsidR="00C40B25" w:rsidRPr="00C40B25" w:rsidRDefault="00C40B25" w:rsidP="005012E4">
      <w:pPr>
        <w:ind w:left="1440" w:firstLine="720"/>
        <w:jc w:val="both"/>
        <w:rPr>
          <w:sz w:val="22"/>
          <w:szCs w:val="22"/>
        </w:rPr>
      </w:pPr>
      <w:proofErr w:type="spellStart"/>
      <w:r w:rsidRPr="005012E4">
        <w:rPr>
          <w:b/>
          <w:i/>
          <w:sz w:val="22"/>
          <w:szCs w:val="22"/>
        </w:rPr>
        <w:t>tRNS</w:t>
      </w:r>
      <w:proofErr w:type="spellEnd"/>
      <w:r w:rsidRPr="005012E4">
        <w:rPr>
          <w:b/>
          <w:i/>
          <w:sz w:val="22"/>
          <w:szCs w:val="22"/>
        </w:rPr>
        <w:t>.</w:t>
      </w:r>
      <w:r w:rsidRPr="00C40B25">
        <w:rPr>
          <w:sz w:val="22"/>
          <w:szCs w:val="22"/>
        </w:rPr>
        <w:t xml:space="preserve"> </w:t>
      </w:r>
      <w:proofErr w:type="spellStart"/>
      <w:r w:rsidRPr="00C40B25">
        <w:rPr>
          <w:sz w:val="22"/>
          <w:szCs w:val="22"/>
        </w:rPr>
        <w:t>tRNS</w:t>
      </w:r>
      <w:proofErr w:type="spellEnd"/>
      <w:r w:rsidRPr="00C40B25">
        <w:rPr>
          <w:sz w:val="22"/>
          <w:szCs w:val="22"/>
        </w:rPr>
        <w:t xml:space="preserve"> will be delivered by using a commercially available NIBS device (</w:t>
      </w:r>
      <w:proofErr w:type="spellStart"/>
      <w:r w:rsidRPr="00C40B25">
        <w:rPr>
          <w:sz w:val="22"/>
          <w:szCs w:val="22"/>
        </w:rPr>
        <w:t>Starstim</w:t>
      </w:r>
      <w:proofErr w:type="spellEnd"/>
      <w:r w:rsidRPr="00C40B25">
        <w:rPr>
          <w:sz w:val="22"/>
          <w:szCs w:val="22"/>
        </w:rPr>
        <w:t xml:space="preserve"> 8, </w:t>
      </w:r>
      <w:proofErr w:type="spellStart"/>
      <w:r w:rsidRPr="00C40B25">
        <w:rPr>
          <w:sz w:val="22"/>
          <w:szCs w:val="22"/>
        </w:rPr>
        <w:t>Neuroelectrics</w:t>
      </w:r>
      <w:proofErr w:type="spellEnd"/>
      <w:r w:rsidRPr="00C40B25">
        <w:rPr>
          <w:sz w:val="22"/>
          <w:szCs w:val="22"/>
        </w:rPr>
        <w:t>, Cambridge, MA). The applied stimulation will be of random frequency (0- 500Hz) and intensity (gaussian white noise). The intensity of this noise signal follows the normal distribution with a mean value of 0</w:t>
      </w:r>
      <w:r w:rsidRPr="00C40B25">
        <w:rPr>
          <w:sz w:val="22"/>
          <w:szCs w:val="22"/>
          <w:lang w:val="el-GR"/>
        </w:rPr>
        <w:t>μΑ</w:t>
      </w:r>
      <w:r w:rsidRPr="00C40B25">
        <w:rPr>
          <w:sz w:val="22"/>
          <w:szCs w:val="22"/>
        </w:rPr>
        <w:t>, standard deviation of 334</w:t>
      </w:r>
      <w:r w:rsidRPr="00C40B25">
        <w:rPr>
          <w:sz w:val="22"/>
          <w:szCs w:val="22"/>
          <w:lang w:val="el-GR"/>
        </w:rPr>
        <w:t>μΑ</w:t>
      </w:r>
      <w:r w:rsidRPr="00C40B25">
        <w:rPr>
          <w:sz w:val="22"/>
          <w:szCs w:val="22"/>
        </w:rPr>
        <w:t>, and direct current offset of 0</w:t>
      </w:r>
      <w:r w:rsidRPr="00C40B25">
        <w:rPr>
          <w:sz w:val="22"/>
          <w:szCs w:val="22"/>
          <w:lang w:val="el-GR"/>
        </w:rPr>
        <w:t>μΑ</w:t>
      </w:r>
      <w:r w:rsidRPr="00C40B25">
        <w:rPr>
          <w:sz w:val="22"/>
          <w:szCs w:val="22"/>
        </w:rPr>
        <w:t>; thus, 99% of all randomly generated intensity values will range from -1002 to +1002</w:t>
      </w:r>
      <w:r w:rsidRPr="00C40B25">
        <w:rPr>
          <w:sz w:val="22"/>
          <w:szCs w:val="22"/>
          <w:lang w:val="el-GR"/>
        </w:rPr>
        <w:t>μΑ</w:t>
      </w:r>
      <w:r w:rsidRPr="00C40B25">
        <w:rPr>
          <w:sz w:val="22"/>
          <w:szCs w:val="22"/>
        </w:rPr>
        <w:t>. For NIBS approaches, this intensity level (</w:t>
      </w:r>
      <w:proofErr w:type="spellStart"/>
      <w:r w:rsidRPr="00C40B25">
        <w:rPr>
          <w:sz w:val="22"/>
          <w:szCs w:val="22"/>
        </w:rPr>
        <w:t>ie</w:t>
      </w:r>
      <w:proofErr w:type="spellEnd"/>
      <w:r w:rsidRPr="00C40B25">
        <w:rPr>
          <w:sz w:val="22"/>
          <w:szCs w:val="22"/>
        </w:rPr>
        <w:t>, 2000</w:t>
      </w:r>
      <w:r w:rsidRPr="00C40B25">
        <w:rPr>
          <w:sz w:val="22"/>
          <w:szCs w:val="22"/>
          <w:lang w:val="el-GR"/>
        </w:rPr>
        <w:t>μΑ</w:t>
      </w:r>
      <w:r w:rsidRPr="00C40B25">
        <w:rPr>
          <w:sz w:val="22"/>
          <w:szCs w:val="22"/>
        </w:rPr>
        <w:t>) has been shown to be more effective in individuals with chronic SCI</w:t>
      </w:r>
      <w:r w:rsidRPr="00C40B25">
        <w:rPr>
          <w:sz w:val="22"/>
          <w:szCs w:val="22"/>
        </w:rPr>
        <w:fldChar w:fldCharType="begin" w:fldLock="1"/>
      </w:r>
      <w:r w:rsidR="00EA06E5">
        <w:rPr>
          <w:sz w:val="22"/>
          <w:szCs w:val="22"/>
        </w:rPr>
        <w:instrText>ADDIN CSL_CITATION {"citationItems":[{"id":"ITEM-1","itemData":{"DOI":"10.1016/j.apmr.2014.11.004","ISSN":"00039993","PMID":"25461825","abstract":"OBJECTIVE To investigate the effects of anodal transcranial direct current stimulation (a-tDCS) intensity on corticospinal excitability and affected muscle activation in individuals with chronic spinal cord injury (SCI). DESIGN Single-blind, randomized, sham-controlled, crossover study. SETTING Medical research institute and rehabilitation hospital. PARTICIPANTS Volunteers (N = 9) with chronic SCI and motor dysfunction in wrist extensor muscles. INTERVENTIONS Three single session exposures to 20 minutes of a-tDCS (anode over the extensor carpi radialis [ECR] muscle representation on the left primary motor cortex, cathode over the right supraorbital area) using 1 mA, 2 mA, or sham stimulation, delivered at rest, with at least 1 week between sessions. MAIN OUTCOME MEASURES Corticospinal excitability was assessed with motor-evoked potentials (MEPs) from the ECR muscle using surface electromyography after transcranial magnetic stimulation. Changes in spinal excitability, sensory threshold, and muscle strength were also investigated. RESULTS Mean MEP amplitude significantly increased by approximately 40% immediately after 2mA a-tDCS (pre: 0.36 ± 0.1 mV; post: 0.47 ± 0.11 mV; P = .001), but not with 1 mA or sham. Maximal voluntary contraction measures remained unaltered across all conditions. Sensory threshold significantly decreased over time after 1mA (P = .002) and 2mA (P = .039) a-tDCS and did not change with sham. F-wave persistence showed a nonsignificant trend for increase (pre: 32% ± 12%; post: 41% ± 10%; follow-up: 46% ± 12%) after 2 mA stimulation. No adverse effects were reported with any of the experimental conditions. CONCLUSIONS The a-tDCS can transiently raise corticospinal excitability to affected muscles in patients with chronic SCI after 2 mA stimulation. Sensory perception can improve with both 1 and 2 mA stimulation. This study gives support to the safe and effective use of a-tDCS using small electrodes in patients with SCI and highlights the importance of stimulation intensity.","author":[{"dropping-particle":"","family":"Murray","given":"Lynda M.","non-dropping-particle":"","parse-names":false,"suffix":""},{"dropping-particle":"","family":"Edwards","given":"Dylan J.","non-dropping-particle":"","parse-names":false,"suffix":""},{"dropping-particle":"","family":"Ruffini","given":"Giulio","non-dropping-particle":"","parse-names":false,"suffix":""},{"dropping-particle":"","family":"Labar","given":"Douglas","non-dropping-particle":"","parse-names":false,"suffix":""},{"dropping-particle":"","family":"Stampas","given":"Argyrios","non-dropping-particle":"","parse-names":false,"suffix":""},{"dropping-particle":"","family":"Pascual-Leone","given":"Alvaro","non-dropping-particle":"","parse-names":false,"suffix":""},{"dropping-particle":"","family":"Cortes","given":"Mar","non-dropping-particle":"","parse-names":false,"suffix":""}],"container-title":"Archives of Physical Medicine and Rehabilitation","id":"ITEM-1","issue":"4","issued":{"date-parts":[["2015","4"]]},"page":"S114-S121","title":"Intensity Dependent Effects of Transcranial Direct Current Stimulation on Corticospinal Excitability in Chronic Spinal Cord Injury","type":"article-journal","volume":"96"},"uris":["http://www.mendeley.com/documents/?uuid=37697800-fc9a-3177-ad12-1f1d95f04e06"]}],"mendeley":{"formattedCitation":"[26]","plainTextFormattedCitation":"[26]","previouslyFormattedCitation":"[26]"},"properties":{"noteIndex":0},"schema":"https://github.com/citation-style-language/schema/raw/master/csl-citation.json"}</w:instrText>
      </w:r>
      <w:r w:rsidRPr="00C40B25">
        <w:rPr>
          <w:sz w:val="22"/>
          <w:szCs w:val="22"/>
        </w:rPr>
        <w:fldChar w:fldCharType="separate"/>
      </w:r>
      <w:r w:rsidR="00D70713" w:rsidRPr="00D70713">
        <w:rPr>
          <w:noProof/>
          <w:sz w:val="22"/>
          <w:szCs w:val="22"/>
        </w:rPr>
        <w:t>[26]</w:t>
      </w:r>
      <w:r w:rsidRPr="00C40B25">
        <w:rPr>
          <w:sz w:val="22"/>
          <w:szCs w:val="22"/>
        </w:rPr>
        <w:fldChar w:fldCharType="end"/>
      </w:r>
      <w:r w:rsidRPr="00C40B25">
        <w:rPr>
          <w:sz w:val="22"/>
          <w:szCs w:val="22"/>
        </w:rPr>
        <w:t xml:space="preserve">.  </w:t>
      </w:r>
    </w:p>
    <w:p w14:paraId="044BA39D" w14:textId="77777777" w:rsidR="00C40B25" w:rsidRDefault="00C40B25" w:rsidP="00C40B25">
      <w:pPr>
        <w:ind w:left="1440"/>
        <w:jc w:val="both"/>
        <w:rPr>
          <w:sz w:val="22"/>
          <w:szCs w:val="22"/>
        </w:rPr>
      </w:pPr>
      <w:r w:rsidRPr="00C40B25">
        <w:rPr>
          <w:sz w:val="22"/>
          <w:szCs w:val="22"/>
        </w:rPr>
        <w:t>The stimulation will be delivered during the first 20 min of training using two rubber electrodes, placed in two saline-soaked sponges (35 cm</w:t>
      </w:r>
      <w:r w:rsidRPr="00C40B25">
        <w:rPr>
          <w:sz w:val="22"/>
          <w:szCs w:val="22"/>
          <w:vertAlign w:val="superscript"/>
        </w:rPr>
        <w:t xml:space="preserve">2 </w:t>
      </w:r>
      <w:r w:rsidRPr="00C40B25">
        <w:rPr>
          <w:sz w:val="22"/>
          <w:szCs w:val="22"/>
        </w:rPr>
        <w:t xml:space="preserve">per sponge). This stimulation duration has been previously used to increase behavioral performance in healthy individuals </w:t>
      </w:r>
      <w:r w:rsidRPr="00C40B25">
        <w:rPr>
          <w:sz w:val="22"/>
          <w:szCs w:val="22"/>
        </w:rPr>
        <w:fldChar w:fldCharType="begin" w:fldLock="1"/>
      </w:r>
      <w:r w:rsidR="00EA06E5">
        <w:rPr>
          <w:sz w:val="22"/>
          <w:szCs w:val="22"/>
        </w:rPr>
        <w:instrText>ADDIN CSL_CITATION {"citationItems":[{"id":"ITEM-1","itemData":{"DOI":"10.1523/JNEUROSCI.2002-11.2011","ISSN":"1529-2401","PMID":"22031888","abstract":"Perceptual learning is considered a manifestation of neural plasticity in the human brain. We investigated brain plasticity mechanisms in a learning task using noninvasive transcranial electrical stimulation (tES). We hypothesized that different types of tES would have varying actions on the nervous system, which would result in different efficacies of neural plasticity modulation. Thus, the principal goal of the present study was to verify the possibility of inducing differential plasticity effects using two tES approaches [i.e., direct current stimulation (tDCS) and random noise stimulation (tRNS)] during the execution of a visual perceptual learning task.","author":[{"dropping-particle":"","family":"Fertonani","given":"Anna","non-dropping-particle":"","parse-names":false,"suffix":""},{"dropping-particle":"","family":"Pirulli","given":"Cornelia","non-dropping-particle":"","parse-names":false,"suffix":""},{"dropping-particle":"","family":"Miniussi","given":"Carlo","non-dropping-particle":"","parse-names":false,"suffix":""}],"container-title":"The Journal of neuroscience : the official journal of the Society for Neuroscience","id":"ITEM-1","issue":"43","issued":{"date-parts":[["2011","10","26"]]},"page":"15416-23","title":"Random noise stimulation improves neuroplasticity in perceptual learning.","type":"article-journal","volume":"31"},"uris":["http://www.mendeley.com/documents/?uuid=0154adfc-e0c1-357f-b3e4-127f7ed01234"]}],"mendeley":{"formattedCitation":"[27]","plainTextFormattedCitation":"[27]","previouslyFormattedCitation":"[27]"},"properties":{"noteIndex":0},"schema":"https://github.com/citation-style-language/schema/raw/master/csl-citation.json"}</w:instrText>
      </w:r>
      <w:r w:rsidRPr="00C40B25">
        <w:rPr>
          <w:sz w:val="22"/>
          <w:szCs w:val="22"/>
        </w:rPr>
        <w:fldChar w:fldCharType="separate"/>
      </w:r>
      <w:r w:rsidR="00D70713" w:rsidRPr="00D70713">
        <w:rPr>
          <w:noProof/>
          <w:sz w:val="22"/>
          <w:szCs w:val="22"/>
        </w:rPr>
        <w:t>[27]</w:t>
      </w:r>
      <w:r w:rsidRPr="00C40B25">
        <w:rPr>
          <w:sz w:val="22"/>
          <w:szCs w:val="22"/>
        </w:rPr>
        <w:fldChar w:fldCharType="end"/>
      </w:r>
      <w:r w:rsidRPr="00C40B25">
        <w:rPr>
          <w:sz w:val="22"/>
          <w:szCs w:val="22"/>
        </w:rPr>
        <w:t xml:space="preserve">, and it is within the safety limits for applying NIBS approaches </w:t>
      </w:r>
      <w:r w:rsidRPr="00C40B25">
        <w:rPr>
          <w:sz w:val="22"/>
          <w:szCs w:val="22"/>
        </w:rPr>
        <w:fldChar w:fldCharType="begin" w:fldLock="1"/>
      </w:r>
      <w:r w:rsidR="00EA06E5">
        <w:rPr>
          <w:sz w:val="22"/>
          <w:szCs w:val="22"/>
        </w:rPr>
        <w:instrText>ADDIN CSL_CITATION {"citationItems":[{"id":"ITEM-1","itemData":{"DOI":"10.1016/j.clinph.2017.06.001","ISSN":"13882457","PMID":"28709880","abstract":"Low intensity transcranial electrical stimulation (TES) in humans, encompassing transcranial direct current (tDCS), transcutaneous spinal Direct Current Stimulation (tsDCS), transcranial alternating current (tACS), and transcranial random noise (tRNS) stimulation or their combinations, appears to be safe. No serious adverse events (SAEs) have been reported so far in over 18,000 sessions administered to healthy subjects, neurological and psychiatric patients, as summarized here. Moderate adverse events (AEs), as defined by the necessity to intervene, are rare, and include skin burns with tDCS due to suboptimal electrode-skin contact. Very rarely mania or hypomania was induced in patients with depression (11 documented cases), yet a causal relationship is difficult to prove because of the low incidence rate and limited numbers of subjects in controlled trials. Mild AEs (MAEs) include headache and fatigue following stimulation as well as prickling and burning sensations occurring during tDCS at peak-to-baseline intensities of 1-2mA and during tACS at higher peak-to-peak intensities above 2mA. The prevalence of published AEs is different in studies specifically assessing AEs vs. those not assessing them, being higher in the former. AEs are frequently reported by individuals receiving placebo stimulation. The profile of AEs in terms of frequency, magnitude and type is comparable in healthy and clinical populations, and this is also the case for more vulnerable populations, such as children, elderly persons, or pregnant women. Combined interventions (e.g., co-application of drugs, electrophysiological measurements, neuroimaging) were not associated with further safety issues. Safety is established for low-intensity 'conventional' TES defined as &lt;4mA, up to 60min duration per day. Animal studies and modeling evidence indicate that brain injury could occur at predicted current densities in the brain of 6.3-13A/m2 that are over an order of magnitude above those produced by tDCS in humans. Using AC stimulation fewer AEs were reported compared to DC. In specific paradigms with amplitudes of up to 10mA, frequencies in the kHz range appear to be safe. In this paper we provide structured interviews and recommend their use in future controlled studies, in particular when trying to extend the parameters applied. We also discuss recent regulatory issues, reporting practices and ethical issues. These recommendations achieved consensus in a meeting, which took place in Gö…","author":[{"dropping-particle":"","family":"Antal","given":"A.","non-dropping-particle":"","parse-names":false,"suffix":""},{"dropping-particle":"","family":"Alekseichuk","given":"I.","non-dropping-particle":"","parse-names":false,"suffix":""},{"dropping-particle":"","family":"Bikson","given":"M.","non-dropping-particle":"","parse-names":false,"suffix":""},{"dropping-particle":"","family":"Brockmöller","given":"J.","non-dropping-particle":"","parse-names":false,"suffix":""},{"dropping-particle":"","family":"Brunoni","given":"A.R.","non-dropping-particle":"","parse-names":false,"suffix":""},{"dropping-particle":"","family":"Chen","given":"R.","non-dropping-particle":"","parse-names":false,"suffix":""},{"dropping-particle":"","family":"Cohen","given":"L.G.","non-dropping-particle":"","parse-names":false,"suffix":""},{"dropping-particle":"","family":"Dowthwaite","given":"G.","non-dropping-particle":"","parse-names":false,"suffix":""},{"dropping-particle":"","family":"Ellrich","given":"J.","non-dropping-particle":"","parse-names":false,"suffix":""},{"dropping-particle":"","family":"Flöel","given":"A.","non-dropping-particle":"","parse-names":false,"suffix":""},{"dropping-particle":"","family":"Fregni","given":"F.","non-dropping-particle":"","parse-names":false,"suffix":""},{"dropping-particle":"","family":"George","given":"M.S.","non-dropping-particle":"","parse-names":false,"suffix":""},{"dropping-particle":"","family":"Hamilton","given":"R.","non-dropping-particle":"","parse-names":false,"suffix":""},{"dropping-particle":"","family":"Haueisen","given":"J.","non-dropping-particle":"","parse-names":false,"suffix":""},{"dropping-particle":"","family":"Herrmann","given":"C.S.","non-dropping-particle":"","parse-names":false,"suffix":""},{"dropping-particle":"","family":"Hummel","given":"F.C.","non-dropping-particle":"","parse-names":false,"suffix":""},{"dropping-particle":"","family":"Lefaucheur","given":"J.P.","non-dropping-particle":"","parse-names":false,"suffix":""},{"dropping-particle":"","family":"Liebetanz","given":"D.","non-dropping-particle":"","parse-names":false,"suffix":""},{"dropping-particle":"","family":"Loo","given":"C.K.","non-dropping-particle":"","parse-names":false,"suffix":""},{"dropping-particle":"","family":"McCaig","given":"C.D.","non-dropping-particle":"","parse-names":false,"suffix":""},{"dropping-particle":"","family":"Miniussi","given":"C.","non-dropping-particle":"","parse-names":false,"suffix":""},{"dropping-particle":"","family":"Miranda","given":"P.C.","non-dropping-particle":"","parse-names":false,"suffix":""},{"dropping-particle":"","family":"Moliadze","given":"V.","non-dropping-particle":"","parse-names":false,"suffix":""},{"dropping-particle":"","family":"Nitsche","given":"M.A.","non-dropping-particle":"","parse-names":false,"suffix":""},{"dropping-particle":"","family":"Nowak","given":"R.","non-dropping-particle":"","parse-names":false,"suffix":""},{"dropping-particle":"","family":"Padberg","given":"F.","non-dropping-particle":"","parse-names":false,"suffix":""},{"dropping-particle":"","family":"Pascual-Leone","given":"A.","non-dropping-particle":"","parse-names":false,"suffix":""},{"dropping-particle":"","family":"Poppendieck","given":"W.","non-dropping-particle":"","parse-names":false,"suffix":""},{"dropping-particle":"","family":"Priori","given":"A.","non-dropping-particle":"","parse-names":false,"suffix":""},{"dropping-particle":"","family":"Rossi","given":"S.","non-dropping-particle":"","parse-names":false,"suffix":""},{"dropping-particle":"","family":"Rossini","given":"P.M.","non-dropping-particle":"","parse-names":false,"suffix":""},{"dropping-particle":"","family":"Rothwell","given":"J.","non-dropping-particle":"","parse-names":false,"suffix":""},{"dropping-particle":"","family":"Rueger","given":"M.A.","non-dropping-particle":"","parse-names":false,"suffix":""},{"dropping-particle":"","family":"Ruffini","given":"G.","non-dropping-particle":"","parse-names":false,"suffix":""},{"dropping-particle":"","family":"Schellhorn","given":"K.","non-dropping-particle":"","parse-names":false,"suffix":""},{"dropping-particle":"","family":"Siebner","given":"H.R.","non-dropping-particle":"","parse-names":false,"suffix":""},{"dropping-particle":"","family":"Ugawa","given":"Y.","non-dropping-particle":"","parse-names":false,"suffix":""},{"dropping-particle":"","family":"Wexler","given":"A.","non-dropping-particle":"","parse-names":false,"suffix":""},{"dropping-particle":"","family":"Ziemann","given":"U.","non-dropping-particle":"","parse-names":false,"suffix":""},{"dropping-particle":"","family":"Hallett","given":"M.","non-dropping-particle":"","parse-names":false,"suffix":""},{"dropping-particle":"","family":"Paulus","given":"W.","non-dropping-particle":"","parse-names":false,"suffix":""}],"container-title":"Clinical Neurophysiology","id":"ITEM-1","issue":"9","issued":{"date-parts":[["2017","9"]]},"page":"1774-1809","title":"Low intensity transcranial electric stimulation: Safety, ethical, legal regulatory and application guidelines","type":"article-journal","volume":"128"},"uris":["http://www.mendeley.com/documents/?uuid=ea08a8d1-ed4f-3348-9e96-904f13409acb"]}],"mendeley":{"formattedCitation":"[25]","plainTextFormattedCitation":"[25]","previouslyFormattedCitation":"[25]"},"properties":{"noteIndex":0},"schema":"https://github.com/citation-style-language/schema/raw/master/csl-citation.json"}</w:instrText>
      </w:r>
      <w:r w:rsidRPr="00C40B25">
        <w:rPr>
          <w:sz w:val="22"/>
          <w:szCs w:val="22"/>
        </w:rPr>
        <w:fldChar w:fldCharType="separate"/>
      </w:r>
      <w:r w:rsidR="00D70713" w:rsidRPr="00D70713">
        <w:rPr>
          <w:noProof/>
          <w:sz w:val="22"/>
          <w:szCs w:val="22"/>
        </w:rPr>
        <w:t>[25]</w:t>
      </w:r>
      <w:r w:rsidRPr="00C40B25">
        <w:rPr>
          <w:sz w:val="22"/>
          <w:szCs w:val="22"/>
        </w:rPr>
        <w:fldChar w:fldCharType="end"/>
      </w:r>
      <w:r w:rsidRPr="00C40B25">
        <w:rPr>
          <w:sz w:val="22"/>
          <w:szCs w:val="22"/>
        </w:rPr>
        <w:t xml:space="preserve">. For the </w:t>
      </w:r>
      <w:proofErr w:type="spellStart"/>
      <w:r w:rsidRPr="00C40B25">
        <w:rPr>
          <w:sz w:val="22"/>
          <w:szCs w:val="22"/>
        </w:rPr>
        <w:t>tRNS</w:t>
      </w:r>
      <w:proofErr w:type="spellEnd"/>
      <w:r w:rsidRPr="00C40B25">
        <w:rPr>
          <w:sz w:val="22"/>
          <w:szCs w:val="22"/>
        </w:rPr>
        <w:t xml:space="preserve"> group the active electrode will be positioned over the primary motor cortex representation area (C3 or C4) of the more impaired hand- </w:t>
      </w:r>
      <w:proofErr w:type="gramStart"/>
      <w:r w:rsidRPr="00C40B25">
        <w:rPr>
          <w:sz w:val="22"/>
          <w:szCs w:val="22"/>
        </w:rPr>
        <w:t>as long as</w:t>
      </w:r>
      <w:proofErr w:type="gramEnd"/>
      <w:r w:rsidRPr="00C40B25">
        <w:rPr>
          <w:sz w:val="22"/>
          <w:szCs w:val="22"/>
        </w:rPr>
        <w:t xml:space="preserve"> it has intrinsic control</w:t>
      </w:r>
      <w:r w:rsidR="005100F2">
        <w:rPr>
          <w:sz w:val="22"/>
          <w:szCs w:val="22"/>
        </w:rPr>
        <w:t xml:space="preserve"> and reliable MEP responses</w:t>
      </w:r>
      <w:r w:rsidRPr="00C40B25">
        <w:rPr>
          <w:sz w:val="22"/>
          <w:szCs w:val="22"/>
        </w:rPr>
        <w:t xml:space="preserve"> (active thenar and/ or </w:t>
      </w:r>
      <w:r w:rsidR="005100F2">
        <w:rPr>
          <w:sz w:val="22"/>
          <w:szCs w:val="22"/>
        </w:rPr>
        <w:t>first dorsal interosseous</w:t>
      </w:r>
      <w:r w:rsidRPr="00C40B25">
        <w:rPr>
          <w:sz w:val="22"/>
          <w:szCs w:val="22"/>
        </w:rPr>
        <w:t xml:space="preserve">), and the reference electrode will be placed over the contralateral orbit. This stimulation set-up has been shown to be the optimal montage to enhance excitability of hand muscles </w:t>
      </w:r>
      <w:r w:rsidRPr="00C40B25">
        <w:rPr>
          <w:sz w:val="22"/>
          <w:szCs w:val="22"/>
        </w:rPr>
        <w:fldChar w:fldCharType="begin" w:fldLock="1"/>
      </w:r>
      <w:r w:rsidR="00EA06E5">
        <w:rPr>
          <w:sz w:val="22"/>
          <w:szCs w:val="22"/>
        </w:rPr>
        <w:instrText>ADDIN CSL_CITATION {"citationItems":[{"id":"ITEM-1","itemData":{"DOI":"10.1016/j.clinph.2010.04.033","ISSN":"1872-8952","PMID":"20554472","abstract":"OBJECTIVE To evaluate the importance of the distance between stimulation electrodes, in various montages, on the ability to induce sustained cortical excitability changes using transcranial direct and random noise stimulation. METHODS Twelve healthy subjects participated in four different experimental conditions. The stimulation electrode was always placed over the primary motor cortex; the reference electrode was placed at the contralateral orbit or at the ipsilateral/contralateral arm. MEPs were recorded in order to measure changes in cortical excitability over time. RESULTS The distance between the two electrodes correlates negatively with the duration and magnitude of induced after-effects. CONCLUSIONS In particular when using extracephalic reference electrodes with transcranial electric stimulation techniques, the stimulation intensity has to be adapted to account for interelectrode distance. SIGNIFICANCE Electrode distance plays a critical role in the induction for stimulation after-effects in tDCS and tRNS studies, and must be taken into account in future studies and also when making comparisons with the published literature.","author":[{"dropping-particle":"","family":"Moliadze","given":"Vera","non-dropping-particle":"","parse-names":false,"suffix":""},{"dropping-particle":"","family":"Antal","given":"Andrea","non-dropping-particle":"","parse-names":false,"suffix":""},{"dropping-particle":"","family":"Paulus","given":"Walter","non-dropping-particle":"","parse-names":false,"suffix":""}],"container-title":"Clinical neurophysiology : official journal of the International Federation of Clinical Neurophysiology","id":"ITEM-1","issue":"12","issued":{"date-parts":[["2010","12"]]},"page":"2165-71","title":"Electrode-distance dependent after-effects of transcranial direct and random noise stimulation with extracephalic reference electrodes.","type":"article-journal","volume":"121"},"uris":["http://www.mendeley.com/documents/?uuid=c1c2626e-89f6-32f2-8cf1-fe703fa0d0f6"]}],"mendeley":{"formattedCitation":"[28]","plainTextFormattedCitation":"[28]","previouslyFormattedCitation":"[28]"},"properties":{"noteIndex":0},"schema":"https://github.com/citation-style-language/schema/raw/master/csl-citation.json"}</w:instrText>
      </w:r>
      <w:r w:rsidRPr="00C40B25">
        <w:rPr>
          <w:sz w:val="22"/>
          <w:szCs w:val="22"/>
        </w:rPr>
        <w:fldChar w:fldCharType="separate"/>
      </w:r>
      <w:r w:rsidR="00D70713" w:rsidRPr="00D70713">
        <w:rPr>
          <w:noProof/>
          <w:sz w:val="22"/>
          <w:szCs w:val="22"/>
        </w:rPr>
        <w:t>[28]</w:t>
      </w:r>
      <w:r w:rsidRPr="00C40B25">
        <w:rPr>
          <w:sz w:val="22"/>
          <w:szCs w:val="22"/>
        </w:rPr>
        <w:fldChar w:fldCharType="end"/>
      </w:r>
      <w:r w:rsidRPr="00C40B25">
        <w:rPr>
          <w:sz w:val="22"/>
          <w:szCs w:val="22"/>
        </w:rPr>
        <w:t xml:space="preserve">. </w:t>
      </w:r>
    </w:p>
    <w:p w14:paraId="64D070FC" w14:textId="77777777" w:rsidR="00693417" w:rsidRPr="008E0A2B" w:rsidRDefault="00A43876" w:rsidP="00693417">
      <w:pPr>
        <w:ind w:left="1440"/>
        <w:jc w:val="both"/>
        <w:rPr>
          <w:sz w:val="22"/>
          <w:szCs w:val="22"/>
        </w:rPr>
      </w:pPr>
      <w:r>
        <w:rPr>
          <w:sz w:val="22"/>
          <w:szCs w:val="22"/>
        </w:rPr>
        <w:tab/>
      </w:r>
      <w:proofErr w:type="spellStart"/>
      <w:r w:rsidRPr="00B71045">
        <w:rPr>
          <w:b/>
          <w:i/>
          <w:sz w:val="22"/>
          <w:szCs w:val="22"/>
        </w:rPr>
        <w:t>tDCS</w:t>
      </w:r>
      <w:proofErr w:type="spellEnd"/>
      <w:r w:rsidRPr="00B71045">
        <w:rPr>
          <w:i/>
          <w:sz w:val="22"/>
          <w:szCs w:val="22"/>
        </w:rPr>
        <w:t>.</w:t>
      </w:r>
      <w:r w:rsidR="008E0A2B" w:rsidRPr="008E0A2B">
        <w:t xml:space="preserve"> </w:t>
      </w:r>
      <w:proofErr w:type="spellStart"/>
      <w:r w:rsidR="008E0A2B" w:rsidRPr="00B71045">
        <w:rPr>
          <w:sz w:val="22"/>
          <w:szCs w:val="22"/>
        </w:rPr>
        <w:t>tDCS</w:t>
      </w:r>
      <w:proofErr w:type="spellEnd"/>
      <w:r w:rsidR="008E0A2B" w:rsidRPr="00B71045">
        <w:rPr>
          <w:sz w:val="22"/>
          <w:szCs w:val="22"/>
        </w:rPr>
        <w:t xml:space="preserve"> will be delivered by using a commercially available NIBS device (</w:t>
      </w:r>
      <w:proofErr w:type="spellStart"/>
      <w:r w:rsidR="008E0A2B" w:rsidRPr="00B71045">
        <w:rPr>
          <w:sz w:val="22"/>
          <w:szCs w:val="22"/>
        </w:rPr>
        <w:t>Starstim</w:t>
      </w:r>
      <w:proofErr w:type="spellEnd"/>
      <w:r w:rsidR="008E0A2B" w:rsidRPr="00B71045">
        <w:rPr>
          <w:sz w:val="22"/>
          <w:szCs w:val="22"/>
        </w:rPr>
        <w:t xml:space="preserve"> 8, </w:t>
      </w:r>
      <w:proofErr w:type="spellStart"/>
      <w:r w:rsidR="008E0A2B" w:rsidRPr="00B71045">
        <w:rPr>
          <w:sz w:val="22"/>
          <w:szCs w:val="22"/>
        </w:rPr>
        <w:t>Neuroelectrics</w:t>
      </w:r>
      <w:proofErr w:type="spellEnd"/>
      <w:r w:rsidR="008E0A2B" w:rsidRPr="00B71045">
        <w:rPr>
          <w:sz w:val="22"/>
          <w:szCs w:val="22"/>
        </w:rPr>
        <w:t xml:space="preserve">, Cambridge, MA). </w:t>
      </w:r>
      <w:r w:rsidR="00693417" w:rsidRPr="00EA30C5">
        <w:rPr>
          <w:sz w:val="22"/>
          <w:szCs w:val="22"/>
        </w:rPr>
        <w:t>The stimulation will be delivered during the first 20 min of training using two rubber electrodes, placed in two saline-soaked sponges (35 cm</w:t>
      </w:r>
      <w:r w:rsidR="00693417" w:rsidRPr="00B71045">
        <w:rPr>
          <w:sz w:val="22"/>
          <w:szCs w:val="22"/>
          <w:vertAlign w:val="superscript"/>
        </w:rPr>
        <w:t>2</w:t>
      </w:r>
      <w:r w:rsidR="00693417" w:rsidRPr="00EA30C5">
        <w:rPr>
          <w:sz w:val="22"/>
          <w:szCs w:val="22"/>
        </w:rPr>
        <w:t xml:space="preserve"> per sponge).</w:t>
      </w:r>
      <w:r w:rsidR="00F53CD5">
        <w:rPr>
          <w:sz w:val="22"/>
          <w:szCs w:val="22"/>
        </w:rPr>
        <w:t xml:space="preserve"> The active electrode (anode) will be positioned over the hand representation areas of the motor cortex (C3 or C4) whereas the reference electrode (cathode) will be positioned over the contralateral orbit</w:t>
      </w:r>
      <w:r w:rsidR="005100F2">
        <w:rPr>
          <w:sz w:val="22"/>
          <w:szCs w:val="22"/>
        </w:rPr>
        <w:t xml:space="preserve"> as described above</w:t>
      </w:r>
      <w:r w:rsidR="00F53CD5">
        <w:rPr>
          <w:sz w:val="22"/>
          <w:szCs w:val="22"/>
        </w:rPr>
        <w:t xml:space="preserve">. </w:t>
      </w:r>
      <w:r w:rsidR="00693417">
        <w:rPr>
          <w:sz w:val="22"/>
          <w:szCs w:val="22"/>
        </w:rPr>
        <w:t xml:space="preserve">The intensity of the stimulation will be at </w:t>
      </w:r>
      <w:r w:rsidR="00A3212B">
        <w:rPr>
          <w:sz w:val="22"/>
          <w:szCs w:val="22"/>
        </w:rPr>
        <w:t>2</w:t>
      </w:r>
      <w:r w:rsidR="00EA06E5">
        <w:rPr>
          <w:sz w:val="22"/>
          <w:szCs w:val="22"/>
        </w:rPr>
        <w:t>000</w:t>
      </w:r>
      <w:r w:rsidR="00EA06E5">
        <w:rPr>
          <w:sz w:val="22"/>
          <w:szCs w:val="22"/>
          <w:lang w:val="el-GR"/>
        </w:rPr>
        <w:t>μ</w:t>
      </w:r>
      <w:r w:rsidR="00A3212B">
        <w:rPr>
          <w:sz w:val="22"/>
          <w:szCs w:val="22"/>
        </w:rPr>
        <w:t xml:space="preserve">A </w:t>
      </w:r>
      <w:r w:rsidR="00F53CD5">
        <w:rPr>
          <w:sz w:val="22"/>
          <w:szCs w:val="22"/>
        </w:rPr>
        <w:t>as</w:t>
      </w:r>
      <w:r w:rsidR="00EA06E5">
        <w:rPr>
          <w:sz w:val="22"/>
          <w:szCs w:val="22"/>
        </w:rPr>
        <w:t xml:space="preserve"> literature indicates that leads to increases in cortical excitability in individuals with chronic SCI </w:t>
      </w:r>
      <w:r w:rsidR="00EA06E5">
        <w:rPr>
          <w:sz w:val="22"/>
          <w:szCs w:val="22"/>
        </w:rPr>
        <w:fldChar w:fldCharType="begin" w:fldLock="1"/>
      </w:r>
      <w:r w:rsidR="00EA06E5">
        <w:rPr>
          <w:sz w:val="22"/>
          <w:szCs w:val="22"/>
        </w:rPr>
        <w:instrText>ADDIN CSL_CITATION {"citationItems":[{"id":"ITEM-1","itemData":{"DOI":"10.1016/j.apmr.2014.11.004","ISSN":"00039993","PMID":"25461825","abstract":"OBJECTIVE To investigate the effects of anodal transcranial direct current stimulation (a-tDCS) intensity on corticospinal excitability and affected muscle activation in individuals with chronic spinal cord injury (SCI). DESIGN Single-blind, randomized, sham-controlled, crossover study. SETTING Medical research institute and rehabilitation hospital. PARTICIPANTS Volunteers (N = 9) with chronic SCI and motor dysfunction in wrist extensor muscles. INTERVENTIONS Three single session exposures to 20 minutes of a-tDCS (anode over the extensor carpi radialis [ECR] muscle representation on the left primary motor cortex, cathode over the right supraorbital area) using 1 mA, 2 mA, or sham stimulation, delivered at rest, with at least 1 week between sessions. MAIN OUTCOME MEASURES Corticospinal excitability was assessed with motor-evoked potentials (MEPs) from the ECR muscle using surface electromyography after transcranial magnetic stimulation. Changes in spinal excitability, sensory threshold, and muscle strength were also investigated. RESULTS Mean MEP amplitude significantly increased by approximately 40% immediately after 2mA a-tDCS (pre: 0.36 ± 0.1 mV; post: 0.47 ± 0.11 mV; P = .001), but not with 1 mA or sham. Maximal voluntary contraction measures remained unaltered across all conditions. Sensory threshold significantly decreased over time after 1mA (P = .002) and 2mA (P = .039) a-tDCS and did not change with sham. F-wave persistence showed a nonsignificant trend for increase (pre: 32% ± 12%; post: 41% ± 10%; follow-up: 46% ± 12%) after 2 mA stimulation. No adverse effects were reported with any of the experimental conditions. CONCLUSIONS The a-tDCS can transiently raise corticospinal excitability to affected muscles in patients with chronic SCI after 2 mA stimulation. Sensory perception can improve with both 1 and 2 mA stimulation. This study gives support to the safe and effective use of a-tDCS using small electrodes in patients with SCI and highlights the importance of stimulation intensity.","author":[{"dropping-particle":"","family":"Murray","given":"Lynda M.","non-dropping-particle":"","parse-names":false,"suffix":""},{"dropping-particle":"","family":"Edwards","given":"Dylan J.","non-dropping-particle":"","parse-names":false,"suffix":""},{"dropping-particle":"","family":"Ruffini","given":"Giulio","non-dropping-particle":"","parse-names":false,"suffix":""},{"dropping-particle":"","family":"Labar","given":"Douglas","non-dropping-particle":"","parse-names":false,"suffix":""},{"dropping-particle":"","family":"Stampas","given":"Argyrios","non-dropping-particle":"","parse-names":false,"suffix":""},{"dropping-particle":"","family":"Pascual-Leone","given":"Alvaro","non-dropping-particle":"","parse-names":false,"suffix":""},{"dropping-particle":"","family":"Cortes","given":"Mar","non-dropping-particle":"","parse-names":false,"suffix":""}],"container-title":"Archives of Physical Medicine and Rehabilitation","id":"ITEM-1","issue":"4","issued":{"date-parts":[["2015","4"]]},"page":"S114-S121","title":"Intensity Dependent Effects of Transcranial Direct Current Stimulation on Corticospinal Excitability in Chronic Spinal Cord Injury","type":"article-journal","volume":"96"},"uris":["http://www.mendeley.com/documents/?uuid=37697800-fc9a-3177-ad12-1f1d95f04e06"]}],"mendeley":{"formattedCitation":"[26]","plainTextFormattedCitation":"[26]"},"properties":{"noteIndex":0},"schema":"https://github.com/citation-style-language/schema/raw/master/csl-citation.json"}</w:instrText>
      </w:r>
      <w:r w:rsidR="00EA06E5">
        <w:rPr>
          <w:sz w:val="22"/>
          <w:szCs w:val="22"/>
        </w:rPr>
        <w:fldChar w:fldCharType="separate"/>
      </w:r>
      <w:r w:rsidR="00EA06E5" w:rsidRPr="00EA06E5">
        <w:rPr>
          <w:noProof/>
          <w:sz w:val="22"/>
          <w:szCs w:val="22"/>
        </w:rPr>
        <w:t>[26]</w:t>
      </w:r>
      <w:r w:rsidR="00EA06E5">
        <w:rPr>
          <w:sz w:val="22"/>
          <w:szCs w:val="22"/>
        </w:rPr>
        <w:fldChar w:fldCharType="end"/>
      </w:r>
      <w:r w:rsidR="005100F2">
        <w:rPr>
          <w:sz w:val="22"/>
          <w:szCs w:val="22"/>
        </w:rPr>
        <w:t>.</w:t>
      </w:r>
    </w:p>
    <w:p w14:paraId="2B8B612B" w14:textId="77777777" w:rsidR="00C40B25" w:rsidRPr="00C40B25" w:rsidRDefault="00C40B25" w:rsidP="005012E4">
      <w:pPr>
        <w:ind w:left="1440" w:firstLine="720"/>
        <w:jc w:val="both"/>
        <w:rPr>
          <w:sz w:val="22"/>
          <w:szCs w:val="22"/>
        </w:rPr>
      </w:pPr>
      <w:r w:rsidRPr="005012E4">
        <w:rPr>
          <w:b/>
          <w:i/>
          <w:sz w:val="22"/>
          <w:szCs w:val="22"/>
        </w:rPr>
        <w:t>Sham-</w:t>
      </w:r>
      <w:proofErr w:type="spellStart"/>
      <w:r w:rsidRPr="005012E4">
        <w:rPr>
          <w:b/>
          <w:i/>
          <w:sz w:val="22"/>
          <w:szCs w:val="22"/>
        </w:rPr>
        <w:t>t</w:t>
      </w:r>
      <w:r w:rsidR="00A43876">
        <w:rPr>
          <w:b/>
          <w:i/>
          <w:sz w:val="22"/>
          <w:szCs w:val="22"/>
        </w:rPr>
        <w:t>DC</w:t>
      </w:r>
      <w:r w:rsidRPr="005012E4">
        <w:rPr>
          <w:b/>
          <w:i/>
          <w:sz w:val="22"/>
          <w:szCs w:val="22"/>
        </w:rPr>
        <w:t>S</w:t>
      </w:r>
      <w:proofErr w:type="spellEnd"/>
      <w:r w:rsidRPr="00C40B25">
        <w:rPr>
          <w:sz w:val="22"/>
          <w:szCs w:val="22"/>
        </w:rPr>
        <w:t>. The sham-</w:t>
      </w:r>
      <w:proofErr w:type="spellStart"/>
      <w:r w:rsidRPr="00C40B25">
        <w:rPr>
          <w:sz w:val="22"/>
          <w:szCs w:val="22"/>
        </w:rPr>
        <w:t>t</w:t>
      </w:r>
      <w:r w:rsidR="00A43876">
        <w:rPr>
          <w:sz w:val="22"/>
          <w:szCs w:val="22"/>
        </w:rPr>
        <w:t>DC</w:t>
      </w:r>
      <w:r w:rsidRPr="00C40B25">
        <w:rPr>
          <w:sz w:val="22"/>
          <w:szCs w:val="22"/>
        </w:rPr>
        <w:t>S</w:t>
      </w:r>
      <w:proofErr w:type="spellEnd"/>
      <w:r w:rsidRPr="00C40B25">
        <w:rPr>
          <w:sz w:val="22"/>
          <w:szCs w:val="22"/>
        </w:rPr>
        <w:t xml:space="preserve"> (control condition) will be delivered using the same commercially available NIBS device (</w:t>
      </w:r>
      <w:proofErr w:type="spellStart"/>
      <w:r w:rsidRPr="00C40B25">
        <w:rPr>
          <w:sz w:val="22"/>
          <w:szCs w:val="22"/>
        </w:rPr>
        <w:t>Starstim</w:t>
      </w:r>
      <w:proofErr w:type="spellEnd"/>
      <w:r w:rsidRPr="00C40B25">
        <w:rPr>
          <w:sz w:val="22"/>
          <w:szCs w:val="22"/>
        </w:rPr>
        <w:t xml:space="preserve"> 8, </w:t>
      </w:r>
      <w:proofErr w:type="spellStart"/>
      <w:r w:rsidRPr="00C40B25">
        <w:rPr>
          <w:sz w:val="22"/>
          <w:szCs w:val="22"/>
        </w:rPr>
        <w:t>Neuroelectrics</w:t>
      </w:r>
      <w:proofErr w:type="spellEnd"/>
      <w:r w:rsidRPr="00C40B25">
        <w:rPr>
          <w:sz w:val="22"/>
          <w:szCs w:val="22"/>
        </w:rPr>
        <w:t xml:space="preserve">, Cambridge, MA).  At the beginning and end of the sham-control intervention, a brief ramp-up and ramp-down of </w:t>
      </w:r>
      <w:proofErr w:type="spellStart"/>
      <w:r w:rsidRPr="00C40B25">
        <w:rPr>
          <w:sz w:val="22"/>
          <w:szCs w:val="22"/>
        </w:rPr>
        <w:t>t</w:t>
      </w:r>
      <w:r w:rsidR="00A43876">
        <w:rPr>
          <w:sz w:val="22"/>
          <w:szCs w:val="22"/>
        </w:rPr>
        <w:t>DC</w:t>
      </w:r>
      <w:r w:rsidRPr="00C40B25">
        <w:rPr>
          <w:sz w:val="22"/>
          <w:szCs w:val="22"/>
        </w:rPr>
        <w:t>S</w:t>
      </w:r>
      <w:proofErr w:type="spellEnd"/>
      <w:r w:rsidRPr="00C40B25">
        <w:rPr>
          <w:sz w:val="22"/>
          <w:szCs w:val="22"/>
        </w:rPr>
        <w:t xml:space="preserve"> lasting 60 s will be applied, while no stimulation will be delivered in between. The sham-</w:t>
      </w:r>
      <w:proofErr w:type="spellStart"/>
      <w:r w:rsidRPr="00C40B25">
        <w:rPr>
          <w:sz w:val="22"/>
          <w:szCs w:val="22"/>
        </w:rPr>
        <w:t>t</w:t>
      </w:r>
      <w:r w:rsidR="00A43876">
        <w:rPr>
          <w:sz w:val="22"/>
          <w:szCs w:val="22"/>
        </w:rPr>
        <w:t>DC</w:t>
      </w:r>
      <w:r w:rsidRPr="00C40B25">
        <w:rPr>
          <w:sz w:val="22"/>
          <w:szCs w:val="22"/>
        </w:rPr>
        <w:t>S</w:t>
      </w:r>
      <w:proofErr w:type="spellEnd"/>
      <w:r w:rsidRPr="00C40B25">
        <w:rPr>
          <w:sz w:val="22"/>
          <w:szCs w:val="22"/>
        </w:rPr>
        <w:t xml:space="preserve"> will be applied for a total of 20 min at the beginning of the training sessions. The electrode placement for sham </w:t>
      </w:r>
      <w:proofErr w:type="spellStart"/>
      <w:r w:rsidRPr="00C40B25">
        <w:rPr>
          <w:sz w:val="22"/>
          <w:szCs w:val="22"/>
        </w:rPr>
        <w:t>t</w:t>
      </w:r>
      <w:r w:rsidR="005100F2">
        <w:rPr>
          <w:sz w:val="22"/>
          <w:szCs w:val="22"/>
        </w:rPr>
        <w:t>DC</w:t>
      </w:r>
      <w:r w:rsidRPr="00C40B25">
        <w:rPr>
          <w:sz w:val="22"/>
          <w:szCs w:val="22"/>
        </w:rPr>
        <w:t>S</w:t>
      </w:r>
      <w:proofErr w:type="spellEnd"/>
      <w:r w:rsidRPr="00C40B25">
        <w:rPr>
          <w:sz w:val="22"/>
          <w:szCs w:val="22"/>
        </w:rPr>
        <w:t xml:space="preserve"> will be identical to the process described above. </w:t>
      </w:r>
    </w:p>
    <w:p w14:paraId="1D1B7E7F" w14:textId="77777777" w:rsidR="00C40B25" w:rsidRPr="00654BAB" w:rsidRDefault="00C40B25" w:rsidP="00654BAB">
      <w:pPr>
        <w:ind w:left="1440" w:firstLine="720"/>
        <w:jc w:val="both"/>
        <w:rPr>
          <w:sz w:val="22"/>
          <w:szCs w:val="22"/>
        </w:rPr>
      </w:pPr>
      <w:r w:rsidRPr="005012E4">
        <w:rPr>
          <w:b/>
          <w:i/>
          <w:sz w:val="22"/>
          <w:szCs w:val="22"/>
        </w:rPr>
        <w:lastRenderedPageBreak/>
        <w:t>FMT.</w:t>
      </w:r>
      <w:r w:rsidRPr="00C40B25">
        <w:rPr>
          <w:sz w:val="22"/>
          <w:szCs w:val="22"/>
        </w:rPr>
        <w:t xml:space="preserve"> Subjects in both stimulation groups will participate in repetitive task practice of unilateral and bilateral functional activities for a total of 45- 60 min. Unimanual practice will involve tasks primarily performed by the more impaired hand. The protocol will consist of a variety of repetitive </w:t>
      </w:r>
      <w:r w:rsidR="005012E4">
        <w:rPr>
          <w:sz w:val="22"/>
          <w:szCs w:val="22"/>
        </w:rPr>
        <w:t>functional tasks. Specifically, a</w:t>
      </w:r>
      <w:r w:rsidRPr="00C40B25">
        <w:rPr>
          <w:sz w:val="22"/>
          <w:szCs w:val="22"/>
        </w:rPr>
        <w:t xml:space="preserve"> variety of tasks will be used to promote subjects’ motivation and active participation, which are key components for a successful training protocol. Further, in light of evidence supporting that sensorimotor training can be beneficial for neurologic populations with motor and sensory impairments </w:t>
      </w:r>
      <w:r w:rsidRPr="00C40B25">
        <w:rPr>
          <w:sz w:val="22"/>
          <w:szCs w:val="22"/>
        </w:rPr>
        <w:fldChar w:fldCharType="begin" w:fldLock="1"/>
      </w:r>
      <w:r w:rsidR="00EA06E5">
        <w:rPr>
          <w:sz w:val="22"/>
          <w:szCs w:val="22"/>
        </w:rPr>
        <w:instrText>ADDIN CSL_CITATION {"citationItems":[{"id":"ITEM-1","itemData":{"DOI":"10.1097/NPT.0b013e318283de0d","ISSN":"1557-0576","PMID":"23399924","abstract":"BACKGROUND AND PURPOSE Impaired hand function decreases quality of life after stroke. The purpose of this study was to pilot a novel 2-week upper extremity sensorimotor training program. This case series describes the training program and highlights outcome measures used for documenting behavioral change and neural reorganization. CASE DESCRIPTION Behavioral/performance changes were identified via sensorimotor evaluation. Activity-induced neural reorganization was examined using sensory functional magnetic resonance imaging, diffusion tensor tractography, and brain volume measurement. Participant 1 was a 75-year-old right-handed man 1 year post-right hemisphere stroke, with severe sensory impairment across domains in his left hand; he reported limited left-hand/arm use. Participant 2 was a 63-year-old right-handed woman who had experienced a left hemisphere stroke 9 months earlier, resulting in mild sensory impairment across domains in her right hand, as well as mild motor deficit. INTERVENTION Participants were trained 4 hours per day, 5 days per week for 2 weeks. Training tasks required sensory discrimination of temperature, weights, textures, shapes, and objects in the context of active exploration with the involved hand. Random multimodal feedback was used. OUTCOMES Both participants had improved scores on the Wolf Motor Function Test after training. Participant 1 had no measurable change in sensory function, while participant 2 improved in touch perception, proprioception, and haptic performance. Sensory functional magnetic resonance imaging suggested neural reorganization in both participants; participant 1 had a small increase in brain volume, while superior thalamic radiation white matter connectivity was unchanged in either participant. DISCUSSION Participating in sensorimotor training focused on sensory discrimination during manual manipulation was feasible for both participants. Future research to determine efficacy and identify optimal measures of sensory function and neural reorganization is recommended. VIDEO ABSTRACT AVAILABLE (see Video, Supplemental Digital Content 1, http://links.lww.com/JNPT/A38) for more insights from the authors.","author":[{"dropping-particle":"","family":"Borstad","given":"Alexandra L.","non-dropping-particle":"","parse-names":false,"suffix":""},{"dropping-particle":"","family":"Bird","given":"Travis","non-dropping-particle":"","parse-names":false,"suffix":""},{"dropping-particle":"","family":"Choi","given":"Seongjin","non-dropping-particle":"","parse-names":false,"suffix":""},{"dropping-particle":"","family":"Goodman","given":"Lindsay","non-dropping-particle":"","parse-names":false,"suffix":""},{"dropping-particle":"","family":"Schmalbrock","given":"Petra","non-dropping-particle":"","parse-names":false,"suffix":""},{"dropping-particle":"","family":"Nichols-Larsen","given":"Deborah S.","non-dropping-particle":"","parse-names":false,"suffix":""}],"container-title":"Journal of Neurologic Physical Therapy","id":"ITEM-1","issue":"1","issued":{"date-parts":[["2013","3"]]},"page":"27-36","title":"Sensorimotor Training and Neural Reorganization After Stroke","type":"article-journal","volume":"37"},"uris":["http://www.mendeley.com/documents/?uuid=716a4530-34f6-349d-a52c-b5fb852793d6"]}],"mendeley":{"formattedCitation":"[29]","plainTextFormattedCitation":"[29]","previouslyFormattedCitation":"[29]"},"properties":{"noteIndex":0},"schema":"https://github.com/citation-style-language/schema/raw/master/csl-citation.json"}</w:instrText>
      </w:r>
      <w:r w:rsidRPr="00C40B25">
        <w:rPr>
          <w:sz w:val="22"/>
          <w:szCs w:val="22"/>
        </w:rPr>
        <w:fldChar w:fldCharType="separate"/>
      </w:r>
      <w:r w:rsidR="00EA06E5" w:rsidRPr="00EA06E5">
        <w:rPr>
          <w:noProof/>
          <w:sz w:val="22"/>
          <w:szCs w:val="22"/>
        </w:rPr>
        <w:t>[29]</w:t>
      </w:r>
      <w:r w:rsidRPr="00C40B25">
        <w:rPr>
          <w:sz w:val="22"/>
          <w:szCs w:val="22"/>
        </w:rPr>
        <w:fldChar w:fldCharType="end"/>
      </w:r>
      <w:r w:rsidRPr="00C40B25">
        <w:rPr>
          <w:sz w:val="22"/>
          <w:szCs w:val="22"/>
        </w:rPr>
        <w:t xml:space="preserve">, we will include tasks focusing on sensory discrimination (see for example </w:t>
      </w:r>
      <w:proofErr w:type="spellStart"/>
      <w:r w:rsidRPr="00C40B25">
        <w:rPr>
          <w:sz w:val="22"/>
          <w:szCs w:val="22"/>
        </w:rPr>
        <w:t>Borstad</w:t>
      </w:r>
      <w:proofErr w:type="spellEnd"/>
      <w:r w:rsidRPr="00C40B25">
        <w:rPr>
          <w:sz w:val="22"/>
          <w:szCs w:val="22"/>
        </w:rPr>
        <w:t xml:space="preserve"> et al, 2013 </w:t>
      </w:r>
      <w:r w:rsidRPr="00C40B25">
        <w:rPr>
          <w:sz w:val="22"/>
          <w:szCs w:val="22"/>
        </w:rPr>
        <w:fldChar w:fldCharType="begin" w:fldLock="1"/>
      </w:r>
      <w:r w:rsidR="00EA06E5">
        <w:rPr>
          <w:sz w:val="22"/>
          <w:szCs w:val="22"/>
        </w:rPr>
        <w:instrText>ADDIN CSL_CITATION {"citationItems":[{"id":"ITEM-1","itemData":{"DOI":"10.1097/NPT.0b013e318283de0d","ISSN":"1557-0576","PMID":"23399924","abstract":"BACKGROUND AND PURPOSE Impaired hand function decreases quality of life after stroke. The purpose of this study was to pilot a novel 2-week upper extremity sensorimotor training program. This case series describes the training program and highlights outcome measures used for documenting behavioral change and neural reorganization. CASE DESCRIPTION Behavioral/performance changes were identified via sensorimotor evaluation. Activity-induced neural reorganization was examined using sensory functional magnetic resonance imaging, diffusion tensor tractography, and brain volume measurement. Participant 1 was a 75-year-old right-handed man 1 year post-right hemisphere stroke, with severe sensory impairment across domains in his left hand; he reported limited left-hand/arm use. Participant 2 was a 63-year-old right-handed woman who had experienced a left hemisphere stroke 9 months earlier, resulting in mild sensory impairment across domains in her right hand, as well as mild motor deficit. INTERVENTION Participants were trained 4 hours per day, 5 days per week for 2 weeks. Training tasks required sensory discrimination of temperature, weights, textures, shapes, and objects in the context of active exploration with the involved hand. Random multimodal feedback was used. OUTCOMES Both participants had improved scores on the Wolf Motor Function Test after training. Participant 1 had no measurable change in sensory function, while participant 2 improved in touch perception, proprioception, and haptic performance. Sensory functional magnetic resonance imaging suggested neural reorganization in both participants; participant 1 had a small increase in brain volume, while superior thalamic radiation white matter connectivity was unchanged in either participant. DISCUSSION Participating in sensorimotor training focused on sensory discrimination during manual manipulation was feasible for both participants. Future research to determine efficacy and identify optimal measures of sensory function and neural reorganization is recommended. VIDEO ABSTRACT AVAILABLE (see Video, Supplemental Digital Content 1, http://links.lww.com/JNPT/A38) for more insights from the authors.","author":[{"dropping-particle":"","family":"Borstad","given":"Alexandra L.","non-dropping-particle":"","parse-names":false,"suffix":""},{"dropping-particle":"","family":"Bird","given":"Travis","non-dropping-particle":"","parse-names":false,"suffix":""},{"dropping-particle":"","family":"Choi","given":"Seongjin","non-dropping-particle":"","parse-names":false,"suffix":""},{"dropping-particle":"","family":"Goodman","given":"Lindsay","non-dropping-particle":"","parse-names":false,"suffix":""},{"dropping-particle":"","family":"Schmalbrock","given":"Petra","non-dropping-particle":"","parse-names":false,"suffix":""},{"dropping-particle":"","family":"Nichols-Larsen","given":"Deborah S.","non-dropping-particle":"","parse-names":false,"suffix":""}],"container-title":"Journal of Neurologic Physical Therapy","id":"ITEM-1","issue":"1","issued":{"date-parts":[["2013","3"]]},"page":"27-36","title":"Sensorimotor Training and Neural Reorganization After Stroke","type":"article-journal","volume":"37"},"uris":["http://www.mendeley.com/documents/?uuid=716a4530-34f6-349d-a52c-b5fb852793d6"]}],"mendeley":{"formattedCitation":"[29]","plainTextFormattedCitation":"[29]","previouslyFormattedCitation":"[29]"},"properties":{"noteIndex":0},"schema":"https://github.com/citation-style-language/schema/raw/master/csl-citation.json"}</w:instrText>
      </w:r>
      <w:r w:rsidRPr="00C40B25">
        <w:rPr>
          <w:sz w:val="22"/>
          <w:szCs w:val="22"/>
        </w:rPr>
        <w:fldChar w:fldCharType="separate"/>
      </w:r>
      <w:r w:rsidR="00EA06E5" w:rsidRPr="00EA06E5">
        <w:rPr>
          <w:noProof/>
          <w:sz w:val="22"/>
          <w:szCs w:val="22"/>
        </w:rPr>
        <w:t>[29]</w:t>
      </w:r>
      <w:r w:rsidRPr="00C40B25">
        <w:rPr>
          <w:sz w:val="22"/>
          <w:szCs w:val="22"/>
        </w:rPr>
        <w:fldChar w:fldCharType="end"/>
      </w:r>
      <w:r w:rsidRPr="00C40B25">
        <w:rPr>
          <w:sz w:val="22"/>
          <w:szCs w:val="22"/>
        </w:rPr>
        <w:t xml:space="preserve">). Based on each participant’s performance, the training will be structured to progress in difficulty. Specifically, to ensure sensory demand, participants will be instructed to perform some of the tasks without visual feedback. </w:t>
      </w:r>
      <w:r w:rsidRPr="008F169D">
        <w:rPr>
          <w:sz w:val="22"/>
          <w:szCs w:val="22"/>
          <w:highlight w:val="yellow"/>
        </w:rPr>
        <w:t xml:space="preserve">We hypothesize that this protocol can facilitate both motor and sensory recovery and when combined with </w:t>
      </w:r>
      <w:r w:rsidR="00D70713" w:rsidRPr="008F169D">
        <w:rPr>
          <w:sz w:val="22"/>
          <w:szCs w:val="22"/>
          <w:highlight w:val="yellow"/>
        </w:rPr>
        <w:t>a NIBS</w:t>
      </w:r>
      <w:r w:rsidR="00A43876" w:rsidRPr="008F169D">
        <w:rPr>
          <w:sz w:val="22"/>
          <w:szCs w:val="22"/>
          <w:highlight w:val="yellow"/>
        </w:rPr>
        <w:t xml:space="preserve"> approach</w:t>
      </w:r>
      <w:r w:rsidRPr="008F169D">
        <w:rPr>
          <w:sz w:val="22"/>
          <w:szCs w:val="22"/>
          <w:highlight w:val="yellow"/>
        </w:rPr>
        <w:t xml:space="preserve"> its efficacious effect will be augmented.</w:t>
      </w:r>
    </w:p>
    <w:p w14:paraId="42D099BD" w14:textId="77777777" w:rsidR="009D622A" w:rsidRPr="0044227B" w:rsidRDefault="009D622A">
      <w:pPr>
        <w:rPr>
          <w:sz w:val="22"/>
          <w:szCs w:val="22"/>
        </w:rPr>
      </w:pPr>
    </w:p>
    <w:p w14:paraId="57A6CC10" w14:textId="77777777" w:rsidR="004F4CFB" w:rsidRPr="0044227B" w:rsidRDefault="00E36985" w:rsidP="00E36985">
      <w:pPr>
        <w:rPr>
          <w:b/>
          <w:sz w:val="22"/>
          <w:szCs w:val="22"/>
        </w:rPr>
      </w:pPr>
      <w:r w:rsidRPr="0044227B">
        <w:rPr>
          <w:sz w:val="22"/>
          <w:szCs w:val="22"/>
        </w:rPr>
        <w:tab/>
      </w:r>
      <w:r w:rsidRPr="0044227B">
        <w:rPr>
          <w:sz w:val="22"/>
          <w:szCs w:val="22"/>
        </w:rPr>
        <w:tab/>
      </w:r>
      <w:r w:rsidRPr="0044227B">
        <w:rPr>
          <w:b/>
          <w:sz w:val="22"/>
          <w:szCs w:val="22"/>
        </w:rPr>
        <w:t>3.3.3</w:t>
      </w:r>
      <w:r w:rsidRPr="0044227B">
        <w:rPr>
          <w:b/>
          <w:sz w:val="22"/>
          <w:szCs w:val="22"/>
        </w:rPr>
        <w:tab/>
      </w:r>
      <w:r w:rsidR="004F4CFB" w:rsidRPr="0044227B">
        <w:rPr>
          <w:b/>
          <w:sz w:val="22"/>
          <w:szCs w:val="22"/>
        </w:rPr>
        <w:t>Laboratories</w:t>
      </w:r>
    </w:p>
    <w:p w14:paraId="34EF6AF0" w14:textId="77777777" w:rsidR="004F4CFB" w:rsidRPr="0044227B" w:rsidRDefault="00F6286A" w:rsidP="005012E4">
      <w:pPr>
        <w:ind w:left="1440"/>
        <w:rPr>
          <w:sz w:val="22"/>
          <w:szCs w:val="22"/>
        </w:rPr>
      </w:pPr>
      <w:r w:rsidRPr="0044227B">
        <w:rPr>
          <w:sz w:val="22"/>
          <w:szCs w:val="22"/>
        </w:rPr>
        <w:t xml:space="preserve">The </w:t>
      </w:r>
      <w:r w:rsidR="00A63A14" w:rsidRPr="0044227B">
        <w:rPr>
          <w:sz w:val="22"/>
          <w:szCs w:val="22"/>
        </w:rPr>
        <w:t>Hulse Spinal Cord</w:t>
      </w:r>
      <w:r w:rsidRPr="0044227B">
        <w:rPr>
          <w:sz w:val="22"/>
          <w:szCs w:val="22"/>
        </w:rPr>
        <w:t xml:space="preserve"> </w:t>
      </w:r>
      <w:r w:rsidR="00A63A14" w:rsidRPr="0044227B">
        <w:rPr>
          <w:sz w:val="22"/>
          <w:szCs w:val="22"/>
        </w:rPr>
        <w:t xml:space="preserve">Injury </w:t>
      </w:r>
      <w:r w:rsidR="008851CA">
        <w:rPr>
          <w:sz w:val="22"/>
          <w:szCs w:val="22"/>
        </w:rPr>
        <w:t>Research</w:t>
      </w:r>
      <w:r w:rsidR="008851CA" w:rsidRPr="0044227B">
        <w:rPr>
          <w:sz w:val="22"/>
          <w:szCs w:val="22"/>
        </w:rPr>
        <w:t xml:space="preserve"> </w:t>
      </w:r>
      <w:r w:rsidR="00A63A14" w:rsidRPr="0044227B">
        <w:rPr>
          <w:sz w:val="22"/>
          <w:szCs w:val="22"/>
        </w:rPr>
        <w:t>Lab</w:t>
      </w:r>
      <w:r w:rsidRPr="0044227B">
        <w:rPr>
          <w:sz w:val="22"/>
          <w:szCs w:val="22"/>
        </w:rPr>
        <w:t xml:space="preserve">oratory will be used for all </w:t>
      </w:r>
      <w:r w:rsidR="009F046C">
        <w:rPr>
          <w:sz w:val="22"/>
          <w:szCs w:val="22"/>
        </w:rPr>
        <w:t>study sessions.</w:t>
      </w:r>
    </w:p>
    <w:p w14:paraId="5FE64CF5" w14:textId="77777777" w:rsidR="004F4CFB" w:rsidRPr="0044227B" w:rsidRDefault="004F4CFB" w:rsidP="004F4CFB">
      <w:pPr>
        <w:rPr>
          <w:sz w:val="22"/>
          <w:szCs w:val="22"/>
        </w:rPr>
      </w:pPr>
    </w:p>
    <w:p w14:paraId="21232FB1" w14:textId="77777777" w:rsidR="009D622A" w:rsidRPr="0044227B" w:rsidRDefault="009D622A">
      <w:pPr>
        <w:pStyle w:val="TOC1"/>
        <w:rPr>
          <w:sz w:val="22"/>
          <w:szCs w:val="22"/>
        </w:rPr>
      </w:pPr>
      <w:r w:rsidRPr="0044227B">
        <w:rPr>
          <w:sz w:val="22"/>
          <w:szCs w:val="22"/>
        </w:rPr>
        <w:t>4.0</w:t>
      </w:r>
      <w:r w:rsidRPr="0044227B">
        <w:rPr>
          <w:sz w:val="22"/>
          <w:szCs w:val="22"/>
        </w:rPr>
        <w:tab/>
        <w:t>Adverse Events</w:t>
      </w:r>
    </w:p>
    <w:p w14:paraId="5DE9673A" w14:textId="77777777" w:rsidR="009D622A" w:rsidRPr="0044227B" w:rsidRDefault="009D622A">
      <w:pPr>
        <w:rPr>
          <w:sz w:val="22"/>
          <w:szCs w:val="22"/>
        </w:rPr>
      </w:pPr>
    </w:p>
    <w:p w14:paraId="5E29F250" w14:textId="77777777" w:rsidR="009D622A" w:rsidRPr="0044227B" w:rsidRDefault="009D622A">
      <w:pPr>
        <w:ind w:left="1440"/>
        <w:rPr>
          <w:b/>
          <w:sz w:val="22"/>
          <w:szCs w:val="22"/>
        </w:rPr>
      </w:pPr>
      <w:r w:rsidRPr="0044227B">
        <w:rPr>
          <w:b/>
          <w:sz w:val="22"/>
          <w:szCs w:val="22"/>
        </w:rPr>
        <w:t>4.1</w:t>
      </w:r>
      <w:r w:rsidRPr="0044227B">
        <w:rPr>
          <w:b/>
          <w:sz w:val="22"/>
          <w:szCs w:val="22"/>
        </w:rPr>
        <w:tab/>
        <w:t>Definitions</w:t>
      </w:r>
    </w:p>
    <w:p w14:paraId="0A41C387" w14:textId="77777777" w:rsidR="00707194" w:rsidRPr="0044227B" w:rsidRDefault="00707194">
      <w:pPr>
        <w:widowControl w:val="0"/>
        <w:ind w:left="2160"/>
        <w:rPr>
          <w:sz w:val="22"/>
          <w:szCs w:val="22"/>
          <w:u w:val="single"/>
        </w:rPr>
      </w:pPr>
    </w:p>
    <w:p w14:paraId="17F6CB11" w14:textId="77777777" w:rsidR="009D622A" w:rsidRPr="0044227B" w:rsidRDefault="009D622A" w:rsidP="004F43E2">
      <w:pPr>
        <w:widowControl w:val="0"/>
        <w:ind w:left="1440"/>
        <w:jc w:val="both"/>
        <w:rPr>
          <w:sz w:val="22"/>
          <w:szCs w:val="22"/>
        </w:rPr>
      </w:pPr>
      <w:r w:rsidRPr="0044227B">
        <w:rPr>
          <w:sz w:val="22"/>
          <w:szCs w:val="22"/>
          <w:u w:val="single"/>
        </w:rPr>
        <w:t>Adverse Event (AE)</w:t>
      </w:r>
      <w:r w:rsidRPr="0044227B">
        <w:rPr>
          <w:sz w:val="22"/>
          <w:szCs w:val="22"/>
        </w:rPr>
        <w:t xml:space="preserve"> </w:t>
      </w:r>
      <w:r w:rsidR="00FD7E48" w:rsidRPr="0044227B">
        <w:rPr>
          <w:sz w:val="22"/>
          <w:szCs w:val="22"/>
        </w:rPr>
        <w:t>- any untoward physical or psychological occurrence or undesirable and unintended effect for a subject that may present itself during interventions and interactions used in the research or the collection of identifiable private informat</w:t>
      </w:r>
      <w:r w:rsidR="00360B86" w:rsidRPr="0044227B">
        <w:rPr>
          <w:sz w:val="22"/>
          <w:szCs w:val="22"/>
        </w:rPr>
        <w:t>ion</w:t>
      </w:r>
      <w:r w:rsidR="00FD7E48" w:rsidRPr="0044227B">
        <w:rPr>
          <w:sz w:val="22"/>
          <w:szCs w:val="22"/>
        </w:rPr>
        <w:t xml:space="preserve"> under the research, regardless of whether there may or may not be a relationship with the research intervention.  </w:t>
      </w:r>
    </w:p>
    <w:p w14:paraId="71D9076A" w14:textId="77777777" w:rsidR="009D622A" w:rsidRPr="0044227B" w:rsidRDefault="009D622A" w:rsidP="004F43E2">
      <w:pPr>
        <w:widowControl w:val="0"/>
        <w:ind w:left="1440"/>
        <w:jc w:val="both"/>
        <w:rPr>
          <w:sz w:val="22"/>
          <w:szCs w:val="22"/>
        </w:rPr>
      </w:pPr>
    </w:p>
    <w:p w14:paraId="2DFE6F36" w14:textId="77777777" w:rsidR="00360B86" w:rsidRPr="0044227B" w:rsidRDefault="00360B86" w:rsidP="004F43E2">
      <w:pPr>
        <w:pStyle w:val="BodyTextIndent3"/>
        <w:widowControl w:val="0"/>
        <w:jc w:val="both"/>
        <w:rPr>
          <w:sz w:val="22"/>
          <w:szCs w:val="22"/>
        </w:rPr>
      </w:pPr>
      <w:r w:rsidRPr="0044227B">
        <w:rPr>
          <w:sz w:val="22"/>
          <w:szCs w:val="22"/>
          <w:u w:val="single"/>
        </w:rPr>
        <w:t>Unanticipated Adverse Event</w:t>
      </w:r>
      <w:r w:rsidRPr="0044227B">
        <w:rPr>
          <w:sz w:val="22"/>
          <w:szCs w:val="22"/>
        </w:rPr>
        <w:t xml:space="preserve"> –</w:t>
      </w:r>
      <w:r w:rsidR="00E159DC" w:rsidRPr="0044227B">
        <w:rPr>
          <w:sz w:val="22"/>
          <w:szCs w:val="22"/>
        </w:rPr>
        <w:t xml:space="preserve"> a</w:t>
      </w:r>
      <w:r w:rsidRPr="0044227B">
        <w:rPr>
          <w:sz w:val="22"/>
          <w:szCs w:val="22"/>
        </w:rPr>
        <w:t>ny adverse event, the specificity, frequency or severity of which is not consistent with either:</w:t>
      </w:r>
    </w:p>
    <w:p w14:paraId="14FD2E48" w14:textId="77777777" w:rsidR="00360B86" w:rsidRPr="0044227B" w:rsidRDefault="00360B86" w:rsidP="004F43E2">
      <w:pPr>
        <w:pStyle w:val="BodyTextIndent3"/>
        <w:widowControl w:val="0"/>
        <w:jc w:val="both"/>
        <w:rPr>
          <w:sz w:val="22"/>
          <w:szCs w:val="22"/>
        </w:rPr>
      </w:pPr>
    </w:p>
    <w:p w14:paraId="4FE53475" w14:textId="77777777" w:rsidR="00360B86" w:rsidRPr="0044227B" w:rsidRDefault="00360B86" w:rsidP="004F43E2">
      <w:pPr>
        <w:pStyle w:val="BodyTextIndent3"/>
        <w:widowControl w:val="0"/>
        <w:numPr>
          <w:ilvl w:val="0"/>
          <w:numId w:val="6"/>
        </w:numPr>
        <w:tabs>
          <w:tab w:val="num" w:pos="2520"/>
        </w:tabs>
        <w:ind w:left="1890" w:hanging="180"/>
        <w:jc w:val="both"/>
        <w:rPr>
          <w:sz w:val="22"/>
          <w:szCs w:val="22"/>
        </w:rPr>
      </w:pPr>
      <w:r w:rsidRPr="0044227B">
        <w:rPr>
          <w:sz w:val="22"/>
          <w:szCs w:val="22"/>
        </w:rPr>
        <w:t>The known or foreseeable risk of adverse events associated with the procedures involved in the research that are described in the protocol related-documents, such as the IRB-approved research protocol, any applicable investigator brochure, and the current IRB-approved informed consent document, and other relevant so</w:t>
      </w:r>
      <w:r w:rsidR="0030487C" w:rsidRPr="0044227B">
        <w:rPr>
          <w:sz w:val="22"/>
          <w:szCs w:val="22"/>
        </w:rPr>
        <w:t>urces</w:t>
      </w:r>
      <w:r w:rsidRPr="0044227B">
        <w:rPr>
          <w:sz w:val="22"/>
          <w:szCs w:val="22"/>
        </w:rPr>
        <w:t xml:space="preserve"> of information, such as product labeling and package inserts; or</w:t>
      </w:r>
    </w:p>
    <w:p w14:paraId="271A3E1A" w14:textId="77777777" w:rsidR="00360B86" w:rsidRPr="0044227B" w:rsidRDefault="00360B86" w:rsidP="004F43E2">
      <w:pPr>
        <w:pStyle w:val="BodyTextIndent3"/>
        <w:widowControl w:val="0"/>
        <w:numPr>
          <w:ilvl w:val="0"/>
          <w:numId w:val="6"/>
        </w:numPr>
        <w:tabs>
          <w:tab w:val="num" w:pos="2520"/>
        </w:tabs>
        <w:ind w:left="1890" w:hanging="180"/>
        <w:jc w:val="both"/>
        <w:rPr>
          <w:sz w:val="22"/>
          <w:szCs w:val="22"/>
        </w:rPr>
      </w:pPr>
      <w:r w:rsidRPr="0044227B">
        <w:rPr>
          <w:sz w:val="22"/>
          <w:szCs w:val="22"/>
        </w:rPr>
        <w:t>The expe</w:t>
      </w:r>
      <w:r w:rsidR="0030487C" w:rsidRPr="0044227B">
        <w:rPr>
          <w:sz w:val="22"/>
          <w:szCs w:val="22"/>
        </w:rPr>
        <w:t>c</w:t>
      </w:r>
      <w:r w:rsidRPr="0044227B">
        <w:rPr>
          <w:sz w:val="22"/>
          <w:szCs w:val="22"/>
        </w:rPr>
        <w:t>ted natural progression of any underlying disease or condition of the subject(s) experiencing the adverse event</w:t>
      </w:r>
    </w:p>
    <w:p w14:paraId="34CD3DDE" w14:textId="77777777" w:rsidR="00FD7E48" w:rsidRPr="0044227B" w:rsidRDefault="00FD7E48" w:rsidP="004F43E2">
      <w:pPr>
        <w:pStyle w:val="BodyTextIndent3"/>
        <w:widowControl w:val="0"/>
        <w:jc w:val="both"/>
        <w:rPr>
          <w:sz w:val="22"/>
          <w:szCs w:val="22"/>
        </w:rPr>
      </w:pPr>
    </w:p>
    <w:p w14:paraId="40CB3FFF" w14:textId="77777777" w:rsidR="00E159DC" w:rsidRPr="0044227B" w:rsidRDefault="00E159DC" w:rsidP="004F43E2">
      <w:pPr>
        <w:pStyle w:val="BodyTextIndent3"/>
        <w:widowControl w:val="0"/>
        <w:jc w:val="both"/>
        <w:rPr>
          <w:sz w:val="22"/>
          <w:szCs w:val="22"/>
        </w:rPr>
      </w:pPr>
      <w:r w:rsidRPr="0044227B">
        <w:rPr>
          <w:sz w:val="22"/>
          <w:szCs w:val="22"/>
          <w:u w:val="single"/>
        </w:rPr>
        <w:t>Anticipated Adverse Event:</w:t>
      </w:r>
      <w:r w:rsidRPr="0044227B">
        <w:rPr>
          <w:sz w:val="22"/>
          <w:szCs w:val="22"/>
        </w:rPr>
        <w:t xml:space="preserve"> - an adverse event that is not an unanticipated adverse event.  The following adverse events are considered as anticipated:</w:t>
      </w:r>
    </w:p>
    <w:p w14:paraId="5062E504" w14:textId="77777777" w:rsidR="00E159DC" w:rsidRPr="0044227B" w:rsidRDefault="00E159DC" w:rsidP="004F43E2">
      <w:pPr>
        <w:pStyle w:val="BodyTextIndent3"/>
        <w:widowControl w:val="0"/>
        <w:jc w:val="both"/>
        <w:rPr>
          <w:sz w:val="22"/>
          <w:szCs w:val="22"/>
        </w:rPr>
      </w:pPr>
    </w:p>
    <w:p w14:paraId="7CF899F3" w14:textId="77777777" w:rsidR="00360B86" w:rsidRPr="0044227B" w:rsidRDefault="0030487C" w:rsidP="004F43E2">
      <w:pPr>
        <w:pStyle w:val="BodyTextIndent3"/>
        <w:widowControl w:val="0"/>
        <w:jc w:val="both"/>
        <w:rPr>
          <w:sz w:val="22"/>
          <w:szCs w:val="22"/>
        </w:rPr>
      </w:pPr>
      <w:r w:rsidRPr="0044227B">
        <w:rPr>
          <w:sz w:val="22"/>
          <w:szCs w:val="22"/>
          <w:u w:val="single"/>
        </w:rPr>
        <w:t>Unantici</w:t>
      </w:r>
      <w:r w:rsidR="00BA7920" w:rsidRPr="0044227B">
        <w:rPr>
          <w:sz w:val="22"/>
          <w:szCs w:val="22"/>
          <w:u w:val="single"/>
        </w:rPr>
        <w:t>p</w:t>
      </w:r>
      <w:r w:rsidRPr="0044227B">
        <w:rPr>
          <w:sz w:val="22"/>
          <w:szCs w:val="22"/>
          <w:u w:val="single"/>
        </w:rPr>
        <w:t>ated Adverse Device Effect</w:t>
      </w:r>
      <w:r w:rsidRPr="0044227B">
        <w:rPr>
          <w:sz w:val="22"/>
          <w:szCs w:val="22"/>
        </w:rPr>
        <w:t xml:space="preserve"> – any serious adverse effect on health or safety or any life-threatening problem or death caused by, or associated with, a device, if that </w:t>
      </w:r>
      <w:r w:rsidR="005A1C8E" w:rsidRPr="0044227B">
        <w:rPr>
          <w:sz w:val="22"/>
          <w:szCs w:val="22"/>
        </w:rPr>
        <w:t>effect, problem, or death was not</w:t>
      </w:r>
      <w:r w:rsidRPr="0044227B">
        <w:rPr>
          <w:sz w:val="22"/>
          <w:szCs w:val="22"/>
        </w:rPr>
        <w:t xml:space="preserve"> previously identified in nature, severity, or degree of incidence in the investigational plan or application (including a supplementary plan or application), or any other unanticipated serious problem associated with a device that relates to the rights, safety, or welfare of subjects.</w:t>
      </w:r>
    </w:p>
    <w:p w14:paraId="6836F4C3" w14:textId="77777777" w:rsidR="0030487C" w:rsidRPr="0044227B" w:rsidRDefault="0030487C" w:rsidP="004F43E2">
      <w:pPr>
        <w:pStyle w:val="BodyTextIndent3"/>
        <w:widowControl w:val="0"/>
        <w:jc w:val="both"/>
        <w:rPr>
          <w:sz w:val="22"/>
          <w:szCs w:val="22"/>
        </w:rPr>
      </w:pPr>
    </w:p>
    <w:p w14:paraId="1F58D5DA" w14:textId="77777777" w:rsidR="0030487C" w:rsidRPr="0044227B" w:rsidRDefault="00BA7920" w:rsidP="004F43E2">
      <w:pPr>
        <w:pStyle w:val="BodyTextIndent3"/>
        <w:widowControl w:val="0"/>
        <w:jc w:val="both"/>
        <w:rPr>
          <w:sz w:val="22"/>
          <w:szCs w:val="22"/>
        </w:rPr>
      </w:pPr>
      <w:r w:rsidRPr="0044227B">
        <w:rPr>
          <w:sz w:val="22"/>
          <w:szCs w:val="22"/>
          <w:u w:val="single"/>
        </w:rPr>
        <w:t>Related or possibly related to the research:</w:t>
      </w:r>
      <w:r w:rsidRPr="0044227B">
        <w:rPr>
          <w:sz w:val="22"/>
          <w:szCs w:val="22"/>
        </w:rPr>
        <w:t xml:space="preserve"> - an event is related to the research if, in the opinion of the Principal Investigator, it could not have been produced by the subject’s </w:t>
      </w:r>
      <w:r w:rsidRPr="0044227B">
        <w:rPr>
          <w:sz w:val="22"/>
          <w:szCs w:val="22"/>
        </w:rPr>
        <w:lastRenderedPageBreak/>
        <w:t>clinical condition or environment, follows a known pattern of response to intervention, disappears or decreases with reduction in dose or cessation of intervention and/or recurs with re-exposure and/or it was more likely than not to be the result of the collection/disclosure of identifiable private information in the research and/or the interventions used in the research.</w:t>
      </w:r>
    </w:p>
    <w:p w14:paraId="2E10CD16" w14:textId="77777777" w:rsidR="00BA7920" w:rsidRPr="0044227B" w:rsidRDefault="00BA7920" w:rsidP="004F43E2">
      <w:pPr>
        <w:pStyle w:val="BodyTextIndent3"/>
        <w:widowControl w:val="0"/>
        <w:jc w:val="both"/>
        <w:rPr>
          <w:sz w:val="22"/>
          <w:szCs w:val="22"/>
        </w:rPr>
      </w:pPr>
    </w:p>
    <w:p w14:paraId="55988402" w14:textId="77777777" w:rsidR="00BA7920" w:rsidRPr="0044227B" w:rsidRDefault="00BA7920" w:rsidP="004F43E2">
      <w:pPr>
        <w:pStyle w:val="BodyTextIndent3"/>
        <w:widowControl w:val="0"/>
        <w:jc w:val="both"/>
        <w:rPr>
          <w:sz w:val="22"/>
          <w:szCs w:val="22"/>
        </w:rPr>
      </w:pPr>
      <w:r w:rsidRPr="0044227B">
        <w:rPr>
          <w:sz w:val="22"/>
          <w:szCs w:val="22"/>
          <w:u w:val="single"/>
        </w:rPr>
        <w:t>Unrelated to the research:</w:t>
      </w:r>
      <w:r w:rsidRPr="0044227B">
        <w:rPr>
          <w:sz w:val="22"/>
          <w:szCs w:val="22"/>
        </w:rPr>
        <w:t xml:space="preserve"> - an adverse event is unrelated to the research if, in the opinion of the Principal Investigator, the adve</w:t>
      </w:r>
      <w:r w:rsidR="00707194" w:rsidRPr="0044227B">
        <w:rPr>
          <w:sz w:val="22"/>
          <w:szCs w:val="22"/>
        </w:rPr>
        <w:t>r</w:t>
      </w:r>
      <w:r w:rsidRPr="0044227B">
        <w:rPr>
          <w:sz w:val="22"/>
          <w:szCs w:val="22"/>
        </w:rPr>
        <w:t>se event is clearly due to extraneous c</w:t>
      </w:r>
      <w:r w:rsidR="00707194" w:rsidRPr="0044227B">
        <w:rPr>
          <w:sz w:val="22"/>
          <w:szCs w:val="22"/>
        </w:rPr>
        <w:t>a</w:t>
      </w:r>
      <w:r w:rsidRPr="0044227B">
        <w:rPr>
          <w:sz w:val="22"/>
          <w:szCs w:val="22"/>
        </w:rPr>
        <w:t>uses (e.g., underlying disease or environment)</w:t>
      </w:r>
      <w:r w:rsidR="005A1C8E" w:rsidRPr="0044227B">
        <w:rPr>
          <w:sz w:val="22"/>
          <w:szCs w:val="22"/>
        </w:rPr>
        <w:t>,</w:t>
      </w:r>
      <w:r w:rsidRPr="0044227B">
        <w:rPr>
          <w:sz w:val="22"/>
          <w:szCs w:val="22"/>
        </w:rPr>
        <w:t xml:space="preserve"> does not follow a known pattern of response to intervention, and/or does not reappear or worsen with re-introduction of the intervention.</w:t>
      </w:r>
    </w:p>
    <w:p w14:paraId="570D1159" w14:textId="77777777" w:rsidR="00BA7920" w:rsidRPr="0044227B" w:rsidRDefault="00BA7920" w:rsidP="004F43E2">
      <w:pPr>
        <w:pStyle w:val="BodyTextIndent3"/>
        <w:widowControl w:val="0"/>
        <w:jc w:val="both"/>
        <w:rPr>
          <w:sz w:val="22"/>
          <w:szCs w:val="22"/>
        </w:rPr>
      </w:pPr>
    </w:p>
    <w:p w14:paraId="2B5F6E42" w14:textId="77777777" w:rsidR="00BA7920" w:rsidRPr="0044227B" w:rsidRDefault="00BA7920" w:rsidP="004F43E2">
      <w:pPr>
        <w:pStyle w:val="BodyTextIndent3"/>
        <w:widowControl w:val="0"/>
        <w:jc w:val="both"/>
        <w:rPr>
          <w:sz w:val="22"/>
          <w:szCs w:val="22"/>
        </w:rPr>
      </w:pPr>
      <w:r w:rsidRPr="0044227B">
        <w:rPr>
          <w:sz w:val="22"/>
          <w:szCs w:val="22"/>
          <w:u w:val="single"/>
        </w:rPr>
        <w:t>Serious Adverse Event:</w:t>
      </w:r>
      <w:r w:rsidRPr="0044227B">
        <w:rPr>
          <w:sz w:val="22"/>
          <w:szCs w:val="22"/>
        </w:rPr>
        <w:t xml:space="preserve">  an event is considered serious if it results in death, is life-threatening, requires hospitalization or prolongation of hospitalization, causes persistent or significant disability or incapacity, is a birth defect or congen</w:t>
      </w:r>
      <w:r w:rsidR="00E159DC" w:rsidRPr="0044227B">
        <w:rPr>
          <w:sz w:val="22"/>
          <w:szCs w:val="22"/>
        </w:rPr>
        <w:t>i</w:t>
      </w:r>
      <w:r w:rsidRPr="0044227B">
        <w:rPr>
          <w:sz w:val="22"/>
          <w:szCs w:val="22"/>
        </w:rPr>
        <w:t>tal malformation,</w:t>
      </w:r>
      <w:r w:rsidR="00707194" w:rsidRPr="0044227B">
        <w:rPr>
          <w:sz w:val="22"/>
          <w:szCs w:val="22"/>
        </w:rPr>
        <w:t xml:space="preserve"> represents, in the Principal I</w:t>
      </w:r>
      <w:r w:rsidRPr="0044227B">
        <w:rPr>
          <w:sz w:val="22"/>
          <w:szCs w:val="22"/>
        </w:rPr>
        <w:t>n</w:t>
      </w:r>
      <w:r w:rsidR="00707194" w:rsidRPr="0044227B">
        <w:rPr>
          <w:sz w:val="22"/>
          <w:szCs w:val="22"/>
        </w:rPr>
        <w:t>v</w:t>
      </w:r>
      <w:r w:rsidRPr="0044227B">
        <w:rPr>
          <w:sz w:val="22"/>
          <w:szCs w:val="22"/>
        </w:rPr>
        <w:t>estigator’s judgment, other significant hazards or potentially serious harm to research subjects or others, or any other event as described</w:t>
      </w:r>
      <w:r w:rsidR="00707194" w:rsidRPr="0044227B">
        <w:rPr>
          <w:sz w:val="22"/>
          <w:szCs w:val="22"/>
        </w:rPr>
        <w:t xml:space="preserve"> </w:t>
      </w:r>
      <w:r w:rsidRPr="0044227B">
        <w:rPr>
          <w:sz w:val="22"/>
          <w:szCs w:val="22"/>
        </w:rPr>
        <w:t>in the research process.</w:t>
      </w:r>
    </w:p>
    <w:p w14:paraId="0715952C" w14:textId="77777777" w:rsidR="00BA7920" w:rsidRPr="0044227B" w:rsidRDefault="00BA7920">
      <w:pPr>
        <w:pStyle w:val="BodyTextIndent3"/>
        <w:widowControl w:val="0"/>
        <w:ind w:left="2160"/>
        <w:rPr>
          <w:sz w:val="22"/>
          <w:szCs w:val="22"/>
        </w:rPr>
      </w:pPr>
    </w:p>
    <w:p w14:paraId="62087F7D" w14:textId="77777777" w:rsidR="009D622A" w:rsidRPr="0044227B" w:rsidRDefault="009D622A">
      <w:pPr>
        <w:ind w:left="1440"/>
        <w:rPr>
          <w:b/>
          <w:sz w:val="22"/>
          <w:szCs w:val="22"/>
        </w:rPr>
      </w:pPr>
      <w:r w:rsidRPr="0044227B">
        <w:rPr>
          <w:b/>
          <w:sz w:val="22"/>
          <w:szCs w:val="22"/>
        </w:rPr>
        <w:t>4.2</w:t>
      </w:r>
      <w:r w:rsidRPr="0044227B">
        <w:rPr>
          <w:b/>
          <w:sz w:val="22"/>
          <w:szCs w:val="22"/>
        </w:rPr>
        <w:tab/>
        <w:t>Reporting</w:t>
      </w:r>
    </w:p>
    <w:p w14:paraId="7B0FDBB0" w14:textId="77777777" w:rsidR="009D622A" w:rsidRPr="0044227B" w:rsidRDefault="009D622A" w:rsidP="004F43E2">
      <w:pPr>
        <w:widowControl w:val="0"/>
        <w:ind w:left="1440"/>
        <w:jc w:val="both"/>
        <w:rPr>
          <w:sz w:val="22"/>
          <w:szCs w:val="22"/>
        </w:rPr>
      </w:pPr>
      <w:r w:rsidRPr="0044227B">
        <w:rPr>
          <w:sz w:val="22"/>
          <w:szCs w:val="22"/>
        </w:rPr>
        <w:t xml:space="preserve">Each </w:t>
      </w:r>
      <w:r w:rsidR="00FE4B28" w:rsidRPr="0044227B">
        <w:rPr>
          <w:sz w:val="22"/>
          <w:szCs w:val="22"/>
        </w:rPr>
        <w:t>subject</w:t>
      </w:r>
      <w:r w:rsidRPr="0044227B">
        <w:rPr>
          <w:sz w:val="22"/>
          <w:szCs w:val="22"/>
        </w:rPr>
        <w:t xml:space="preserve"> will be observed and queried in a nonspecific fashion at each contact during the study for any new or continuing symptoms since the last contact. All adverse events will be reported on the appropriate </w:t>
      </w:r>
      <w:r w:rsidR="008C39C0" w:rsidRPr="0044227B">
        <w:rPr>
          <w:sz w:val="22"/>
          <w:szCs w:val="22"/>
        </w:rPr>
        <w:t xml:space="preserve">electronic </w:t>
      </w:r>
      <w:r w:rsidRPr="0044227B">
        <w:rPr>
          <w:sz w:val="22"/>
          <w:szCs w:val="22"/>
        </w:rPr>
        <w:t>Case Report Form</w:t>
      </w:r>
      <w:r w:rsidR="008C39C0" w:rsidRPr="0044227B">
        <w:rPr>
          <w:sz w:val="22"/>
          <w:szCs w:val="22"/>
        </w:rPr>
        <w:t xml:space="preserve"> (eCRF)</w:t>
      </w:r>
      <w:r w:rsidRPr="0044227B">
        <w:rPr>
          <w:sz w:val="22"/>
          <w:szCs w:val="22"/>
        </w:rPr>
        <w:t xml:space="preserve">. Details will include the type of event, date of onset, duration, intensity, causality relationship to the study drug(s) (if applicable), and outcome. Wherever possible, a </w:t>
      </w:r>
      <w:r w:rsidRPr="0044227B">
        <w:rPr>
          <w:sz w:val="22"/>
          <w:szCs w:val="22"/>
          <w:u w:val="single"/>
        </w:rPr>
        <w:t>diagnosis</w:t>
      </w:r>
      <w:r w:rsidRPr="0044227B">
        <w:rPr>
          <w:sz w:val="22"/>
          <w:szCs w:val="22"/>
        </w:rPr>
        <w:t xml:space="preserve"> rather than symptom(s) will be reported.</w:t>
      </w:r>
    </w:p>
    <w:p w14:paraId="2A6BE3C1" w14:textId="77777777" w:rsidR="009D622A" w:rsidRPr="0044227B" w:rsidRDefault="009D622A" w:rsidP="004F43E2">
      <w:pPr>
        <w:widowControl w:val="0"/>
        <w:ind w:left="1440"/>
        <w:jc w:val="both"/>
        <w:rPr>
          <w:sz w:val="22"/>
          <w:szCs w:val="22"/>
        </w:rPr>
      </w:pPr>
    </w:p>
    <w:p w14:paraId="080D1D7C" w14:textId="77777777" w:rsidR="009D622A" w:rsidRPr="0044227B" w:rsidRDefault="009D622A" w:rsidP="004F43E2">
      <w:pPr>
        <w:widowControl w:val="0"/>
        <w:ind w:left="1440"/>
        <w:jc w:val="both"/>
        <w:rPr>
          <w:sz w:val="22"/>
          <w:szCs w:val="22"/>
        </w:rPr>
      </w:pPr>
      <w:r w:rsidRPr="0044227B">
        <w:rPr>
          <w:sz w:val="22"/>
          <w:szCs w:val="22"/>
        </w:rPr>
        <w:t xml:space="preserve">If an adverse event should occur, every attempt will be made to obtain as much information as possible about event evaluation and outcome. Documents of this follow-up will be maintained with the patient’s study records.  </w:t>
      </w:r>
    </w:p>
    <w:p w14:paraId="7A30E4A0" w14:textId="77777777" w:rsidR="009D622A" w:rsidRPr="0044227B" w:rsidRDefault="009D622A" w:rsidP="004F43E2">
      <w:pPr>
        <w:widowControl w:val="0"/>
        <w:ind w:left="1440"/>
        <w:jc w:val="both"/>
        <w:rPr>
          <w:sz w:val="22"/>
          <w:szCs w:val="22"/>
        </w:rPr>
      </w:pPr>
    </w:p>
    <w:p w14:paraId="40BFD260" w14:textId="77777777" w:rsidR="009D622A" w:rsidRPr="0044227B" w:rsidRDefault="009D622A" w:rsidP="004F43E2">
      <w:pPr>
        <w:widowControl w:val="0"/>
        <w:ind w:left="1440"/>
        <w:jc w:val="both"/>
        <w:rPr>
          <w:sz w:val="22"/>
          <w:szCs w:val="22"/>
        </w:rPr>
      </w:pPr>
      <w:r w:rsidRPr="0044227B">
        <w:rPr>
          <w:sz w:val="22"/>
          <w:szCs w:val="22"/>
        </w:rPr>
        <w:t xml:space="preserve">If a serious adverse event occurs, the treatment will be interrupted or discontinued at the physician investigator's discretion.  </w:t>
      </w:r>
    </w:p>
    <w:p w14:paraId="19F67748" w14:textId="77777777" w:rsidR="001006F5" w:rsidRPr="0044227B" w:rsidRDefault="001006F5" w:rsidP="004F43E2">
      <w:pPr>
        <w:widowControl w:val="0"/>
        <w:ind w:left="1440"/>
        <w:jc w:val="both"/>
        <w:rPr>
          <w:sz w:val="22"/>
          <w:szCs w:val="22"/>
        </w:rPr>
      </w:pPr>
    </w:p>
    <w:p w14:paraId="1F4AC6CC" w14:textId="77777777" w:rsidR="001006F5" w:rsidRPr="0044227B" w:rsidRDefault="001006F5" w:rsidP="004F43E2">
      <w:pPr>
        <w:pStyle w:val="BodyTextIndent3"/>
        <w:jc w:val="both"/>
        <w:rPr>
          <w:sz w:val="22"/>
          <w:szCs w:val="22"/>
        </w:rPr>
      </w:pPr>
      <w:r w:rsidRPr="0044227B">
        <w:rPr>
          <w:sz w:val="22"/>
          <w:szCs w:val="22"/>
        </w:rPr>
        <w:t xml:space="preserve">All protocol deviations will be reported to </w:t>
      </w:r>
      <w:r w:rsidR="00A33E2C" w:rsidRPr="0044227B">
        <w:rPr>
          <w:sz w:val="22"/>
          <w:szCs w:val="22"/>
        </w:rPr>
        <w:t xml:space="preserve">the investigator and </w:t>
      </w:r>
      <w:r w:rsidRPr="0044227B">
        <w:rPr>
          <w:sz w:val="22"/>
          <w:szCs w:val="22"/>
        </w:rPr>
        <w:t xml:space="preserve">the Institutional Review Board </w:t>
      </w:r>
      <w:r w:rsidR="00D04E86" w:rsidRPr="0044227B">
        <w:rPr>
          <w:sz w:val="22"/>
          <w:szCs w:val="22"/>
        </w:rPr>
        <w:t>(IRB</w:t>
      </w:r>
      <w:r w:rsidRPr="0044227B">
        <w:rPr>
          <w:sz w:val="22"/>
          <w:szCs w:val="22"/>
        </w:rPr>
        <w:t xml:space="preserve">). </w:t>
      </w:r>
    </w:p>
    <w:p w14:paraId="12B93815" w14:textId="77777777" w:rsidR="001006F5" w:rsidRPr="0044227B" w:rsidRDefault="001006F5" w:rsidP="004F43E2">
      <w:pPr>
        <w:pStyle w:val="BodyTextIndent3"/>
        <w:jc w:val="both"/>
        <w:rPr>
          <w:sz w:val="22"/>
          <w:szCs w:val="22"/>
        </w:rPr>
      </w:pPr>
    </w:p>
    <w:p w14:paraId="66A94B67" w14:textId="77777777" w:rsidR="001006F5" w:rsidRPr="004520E2" w:rsidRDefault="001006F5" w:rsidP="004F43E2">
      <w:pPr>
        <w:pStyle w:val="BodyTextIndent3"/>
        <w:jc w:val="both"/>
        <w:rPr>
          <w:sz w:val="22"/>
          <w:szCs w:val="22"/>
        </w:rPr>
      </w:pPr>
      <w:r w:rsidRPr="004520E2">
        <w:rPr>
          <w:sz w:val="22"/>
          <w:szCs w:val="22"/>
        </w:rPr>
        <w:t xml:space="preserve">All adverse events will be reported to the </w:t>
      </w:r>
      <w:r w:rsidR="00D04E86" w:rsidRPr="004520E2">
        <w:rPr>
          <w:sz w:val="22"/>
          <w:szCs w:val="22"/>
        </w:rPr>
        <w:t>IRB</w:t>
      </w:r>
      <w:r w:rsidRPr="004520E2">
        <w:rPr>
          <w:sz w:val="22"/>
          <w:szCs w:val="22"/>
        </w:rPr>
        <w:t xml:space="preserve">. All serious adverse events will be reported immediately to the </w:t>
      </w:r>
      <w:r w:rsidR="00D04E86" w:rsidRPr="004520E2">
        <w:rPr>
          <w:sz w:val="22"/>
          <w:szCs w:val="22"/>
        </w:rPr>
        <w:t>IRB</w:t>
      </w:r>
      <w:r w:rsidRPr="004520E2">
        <w:rPr>
          <w:sz w:val="22"/>
          <w:szCs w:val="22"/>
        </w:rPr>
        <w:t xml:space="preserve"> and the FDA (if applicable).</w:t>
      </w:r>
    </w:p>
    <w:p w14:paraId="07BE9D17" w14:textId="77777777" w:rsidR="001006F5" w:rsidRPr="004520E2" w:rsidRDefault="001006F5" w:rsidP="004F43E2">
      <w:pPr>
        <w:pStyle w:val="BodyTextIndent3"/>
        <w:jc w:val="both"/>
        <w:rPr>
          <w:sz w:val="22"/>
          <w:szCs w:val="22"/>
        </w:rPr>
      </w:pPr>
    </w:p>
    <w:p w14:paraId="369D39B2" w14:textId="77777777" w:rsidR="000F0819" w:rsidRDefault="001006F5" w:rsidP="004F43E2">
      <w:pPr>
        <w:pStyle w:val="BodyTextIndent3"/>
        <w:jc w:val="both"/>
        <w:rPr>
          <w:sz w:val="22"/>
          <w:szCs w:val="22"/>
        </w:rPr>
      </w:pPr>
      <w:r w:rsidRPr="004520E2">
        <w:rPr>
          <w:sz w:val="22"/>
          <w:szCs w:val="22"/>
        </w:rPr>
        <w:t>Endpoints will be adjudicated by the Principal Investigator. A written report detailing the endpoint adjudication will be provided by the Principal Investigator.</w:t>
      </w:r>
    </w:p>
    <w:p w14:paraId="48BB404C" w14:textId="77777777" w:rsidR="009D622A" w:rsidRPr="004520E2" w:rsidRDefault="009D622A" w:rsidP="00FA4722">
      <w:pPr>
        <w:widowControl w:val="0"/>
        <w:rPr>
          <w:sz w:val="22"/>
          <w:szCs w:val="22"/>
        </w:rPr>
      </w:pPr>
    </w:p>
    <w:p w14:paraId="529E8D42" w14:textId="77777777" w:rsidR="00AA400E" w:rsidRPr="00B91B8A" w:rsidRDefault="009D622A" w:rsidP="00AA400E">
      <w:pPr>
        <w:numPr>
          <w:ilvl w:val="1"/>
          <w:numId w:val="25"/>
        </w:numPr>
        <w:rPr>
          <w:b/>
          <w:sz w:val="22"/>
          <w:szCs w:val="22"/>
        </w:rPr>
      </w:pPr>
      <w:r w:rsidRPr="00B91B8A">
        <w:rPr>
          <w:b/>
          <w:sz w:val="22"/>
          <w:szCs w:val="22"/>
        </w:rPr>
        <w:t>Potential Side Effects</w:t>
      </w:r>
    </w:p>
    <w:p w14:paraId="279DFB2A" w14:textId="77777777" w:rsidR="000F75DB" w:rsidRPr="0044227B" w:rsidRDefault="00B91B8A" w:rsidP="00B91B8A">
      <w:pPr>
        <w:ind w:left="1440" w:firstLine="720"/>
        <w:jc w:val="both"/>
        <w:rPr>
          <w:sz w:val="22"/>
          <w:szCs w:val="22"/>
        </w:rPr>
      </w:pPr>
      <w:r>
        <w:rPr>
          <w:sz w:val="22"/>
          <w:szCs w:val="22"/>
        </w:rPr>
        <w:t xml:space="preserve">TRNS has been shown to have minimal risk as it </w:t>
      </w:r>
      <w:r w:rsidR="00AA400E" w:rsidRPr="00AA400E">
        <w:rPr>
          <w:sz w:val="22"/>
          <w:szCs w:val="22"/>
        </w:rPr>
        <w:t xml:space="preserve">delivers a low alternating current </w:t>
      </w:r>
      <w:r w:rsidR="00AA400E">
        <w:rPr>
          <w:sz w:val="22"/>
          <w:szCs w:val="22"/>
        </w:rPr>
        <w:t>and</w:t>
      </w:r>
      <w:r w:rsidR="00AA400E" w:rsidRPr="00AA400E">
        <w:rPr>
          <w:sz w:val="22"/>
          <w:szCs w:val="22"/>
        </w:rPr>
        <w:t xml:space="preserve"> is a polarity-independent approach with excellent tolerability and no risk of burns </w:t>
      </w:r>
      <w:r w:rsidR="00AA400E" w:rsidRPr="00AA400E">
        <w:rPr>
          <w:sz w:val="22"/>
          <w:szCs w:val="22"/>
        </w:rPr>
        <w:fldChar w:fldCharType="begin" w:fldLock="1"/>
      </w:r>
      <w:r w:rsidR="00EA06E5">
        <w:rPr>
          <w:sz w:val="22"/>
          <w:szCs w:val="22"/>
        </w:rPr>
        <w:instrText>ADDIN CSL_CITATION {"citationItems":[{"id":"ITEM-1","itemData":{"DOI":"10.1523/JNEUROSCI.4248-08.2008","ISSN":"0270-6474","author":[{"dropping-particle":"","family":"Terney","given":"D.","non-dropping-particle":"","parse-names":false,"suffix":""},{"dropping-particle":"","family":"Chaieb","given":"L.","non-dropping-particle":"","parse-names":false,"suffix":""},{"dropping-particle":"","family":"Moliadze","given":"V.","non-dropping-particle":"","parse-names":false,"suffix":""},{"dropping-particle":"","family":"Antal","given":"A.","non-dropping-particle":"","parse-names":false,"suffix":""},{"dropping-particle":"","family":"Paulus","given":"W.","non-dropping-particle":"","parse-names":false,"suffix":""}],"container-title":"Journal of Neuroscience","id":"ITEM-1","issue":"52","issued":{"date-parts":[["2008","12","24"]]},"page":"14147-14155","title":"Increasing Human Brain Excitability by Transcranial High-Frequency Random Noise Stimulation","type":"article-journal","volume":"28"},"uris":["http://www.mendeley.com/documents/?uuid=e7bcdf0d-0d31-3aa9-bd10-3352c8a54ebe"]},{"id":"ITEM-2","itemData":{"DOI":"10.1016/j.brs.2012.12.005","ISSN":"1935861X","PMID":"23369505","abstract":"BACKGROUND Transcranial electric stimulation (tES) protocols are able to induce neuromodulation, offering important insights to focus and constrain theories of the relationship between brain and behavior. Previous studies have shown that different types of tES (i.e., direct current stimulation - tDCS, and random noise stimulation - tRNS) induce different facilitatory behavioral effects. However to date is not clear which is the optimal timing to apply tES in relation to the induction of robust facilitatory effects. OBJECTIVE/HYPOTHESIS The goal of this work was to investigate how different types of tES (tDCS and tRNS) can modulate behavioral performance in the healthy adult brain in relation to their timing of application. We applied tES protocols before (offline) or during (online) the execution of a visual perceptual learning (PL) task. PL is a form of implicit memory that is characterized by an improvement in sensory discrimination after repeated exposure to a particular type of stimulus and is considered a manifestation of neural plasticity. Our aim was to understand if the timing of tES is critical for the induction of differential neuromodulatory effects in the primary visual cortex (V1). METHODS We applied high-frequency tRNS, anodal tDCS and sham tDCS on V1 before or during the execution of an orientation discrimination task. The experimental design was between subjects and performance was measured in terms of d' values. RESULTS The ideal timing of application varied depending on the stimulation type. tRNS facilitated task performance only when it was applied during task execution, whereas anodal tDCS induced a larger facilitation if it was applied before task execution. CONCLUSION The main result of this study is the finding that the timing of identical tES protocols yields opposite effects on performance. These results provide important guidelines for designing neuromodulation induction protocols and highlight the different optimal timing of the two excitatory techniques.","author":[{"dropping-particle":"","family":"Pirulli","given":"Cornelia","non-dropping-particle":"","parse-names":false,"suffix":""},{"dropping-particle":"","family":"Fertonani","given":"Anna","non-dropping-particle":"","parse-names":false,"suffix":""},{"dropping-particle":"","family":"Miniussi","given":"Carlo","non-dropping-particle":"","parse-names":false,"suffix":""}],"container-title":"Brain Stimulation","id":"ITEM-2","issue":"4","issued":{"date-parts":[["2013","7"]]},"page":"683-689","title":"The Role of Timing in the Induction of Neuromodulation in Perceptual Learning by Transcranial Electric Stimulation","type":"article-journal","volume":"6"},"uris":["http://www.mendeley.com/documents/?uuid=699c48b7-4d38-3a5e-a11c-75d63380fbe4"]},{"id":"ITEM-3","itemData":{"DOI":"10.1523/JNEUROSCI.2002-11.2011","ISSN":"1529-2401","PMID":"22031888","abstract":"Perceptual learning is considered a manifestation of neural plasticity in the human brain. We investigated brain plasticity mechanisms in a learning task using noninvasive transcranial electrical stimulation (tES). We hypothesized that different types of tES would have varying actions on the nervous system, which would result in different efficacies of neural plasticity modulation. Thus, the principal goal of the present study was to verify the possibility of inducing differential plasticity effects using two tES approaches [i.e., direct current stimulation (tDCS) and random noise stimulation (tRNS)] during the execution of a visual perceptual learning task.","author":[{"dropping-particle":"","family":"Fertonani","given":"Anna","non-dropping-particle":"","parse-names":false,"suffix":""},{"dropping-particle":"","family":"Pirulli","given":"Cornelia","non-dropping-particle":"","parse-names":false,"suffix":""},{"dropping-particle":"","family":"Miniussi","given":"Carlo","non-dropping-particle":"","parse-names":false,"suffix":""}],"container-title":"The Journal of neuroscience : the official journal of the Society for Neuroscience","id":"ITEM-3","issue":"43","issued":{"date-parts":[["2011","10","26"]]},"page":"15416-23","title":"Random noise stimulation improves neuroplasticity in perceptual learning.","type":"article-journal","volume":"31"},"uris":["http://www.mendeley.com/documents/?uuid=0154adfc-e0c1-357f-b3e4-127f7ed01234"]}],"mendeley":{"formattedCitation":"[27, 30, 31]","plainTextFormattedCitation":"[27, 30, 31]","previouslyFormattedCitation":"[27, 30, 31]"},"properties":{"noteIndex":0},"schema":"https://github.com/citation-style-language/schema/raw/master/csl-citation.json"}</w:instrText>
      </w:r>
      <w:r w:rsidR="00AA400E" w:rsidRPr="00AA400E">
        <w:rPr>
          <w:sz w:val="22"/>
          <w:szCs w:val="22"/>
        </w:rPr>
        <w:fldChar w:fldCharType="separate"/>
      </w:r>
      <w:r w:rsidR="00EA06E5" w:rsidRPr="00EA06E5">
        <w:rPr>
          <w:noProof/>
          <w:sz w:val="22"/>
          <w:szCs w:val="22"/>
        </w:rPr>
        <w:t>[27, 30, 31]</w:t>
      </w:r>
      <w:r w:rsidR="00AA400E" w:rsidRPr="00AA400E">
        <w:rPr>
          <w:sz w:val="22"/>
          <w:szCs w:val="22"/>
        </w:rPr>
        <w:fldChar w:fldCharType="end"/>
      </w:r>
      <w:r w:rsidR="00AA400E" w:rsidRPr="00AA400E">
        <w:rPr>
          <w:sz w:val="22"/>
          <w:szCs w:val="22"/>
        </w:rPr>
        <w:t xml:space="preserve">. Comparative studies on </w:t>
      </w:r>
      <w:bookmarkStart w:id="10" w:name="_Hlk516591835"/>
      <w:r w:rsidR="00AA400E" w:rsidRPr="00AA400E">
        <w:rPr>
          <w:sz w:val="22"/>
          <w:szCs w:val="22"/>
        </w:rPr>
        <w:t xml:space="preserve">self-perceived stimulation-induced sensations indicate that </w:t>
      </w:r>
      <w:proofErr w:type="spellStart"/>
      <w:r w:rsidR="00AA400E" w:rsidRPr="00AA400E">
        <w:rPr>
          <w:sz w:val="22"/>
          <w:szCs w:val="22"/>
        </w:rPr>
        <w:t>tRNS</w:t>
      </w:r>
      <w:proofErr w:type="spellEnd"/>
      <w:r w:rsidR="00AA400E" w:rsidRPr="00AA400E">
        <w:rPr>
          <w:sz w:val="22"/>
          <w:szCs w:val="22"/>
        </w:rPr>
        <w:t xml:space="preserve"> is indistinguishable from sham stimulation</w:t>
      </w:r>
      <w:bookmarkEnd w:id="10"/>
      <w:r w:rsidR="00AA400E">
        <w:rPr>
          <w:sz w:val="22"/>
          <w:szCs w:val="22"/>
        </w:rPr>
        <w:t xml:space="preserve"> and is </w:t>
      </w:r>
      <w:r w:rsidR="00AA400E" w:rsidRPr="00AA400E">
        <w:rPr>
          <w:sz w:val="22"/>
          <w:szCs w:val="22"/>
        </w:rPr>
        <w:t>imperceptible to most individuals, so blinding is more effective</w:t>
      </w:r>
      <w:r w:rsidR="00AA400E">
        <w:rPr>
          <w:sz w:val="22"/>
          <w:szCs w:val="22"/>
        </w:rPr>
        <w:t xml:space="preserve"> compared to other NIBS approaches</w:t>
      </w:r>
      <w:r w:rsidR="00AA400E" w:rsidRPr="00AA400E">
        <w:rPr>
          <w:sz w:val="22"/>
          <w:szCs w:val="22"/>
        </w:rPr>
        <w:t xml:space="preserve"> </w:t>
      </w:r>
      <w:r w:rsidR="00AA400E" w:rsidRPr="00AA400E">
        <w:rPr>
          <w:sz w:val="22"/>
          <w:szCs w:val="22"/>
        </w:rPr>
        <w:fldChar w:fldCharType="begin" w:fldLock="1"/>
      </w:r>
      <w:r w:rsidR="00EA06E5">
        <w:rPr>
          <w:sz w:val="22"/>
          <w:szCs w:val="22"/>
        </w:rPr>
        <w:instrText>ADDIN CSL_CITATION {"citationItems":[{"id":"ITEM-1","itemData":{"DOI":"10.1523/JNEUROSCI.4248-08.2008","ISSN":"0270-6474","author":[{"dropping-particle":"","family":"Terney","given":"D.","non-dropping-particle":"","parse-names":false,"suffix":""},{"dropping-particle":"","family":"Chaieb","given":"L.","non-dropping-particle":"","parse-names":false,"suffix":""},{"dropping-particle":"","family":"Moliadze","given":"V.","non-dropping-particle":"","parse-names":false,"suffix":""},{"dropping-particle":"","family":"Antal","given":"A.","non-dropping-particle":"","parse-names":false,"suffix":""},{"dropping-particle":"","family":"Paulus","given":"W.","non-dropping-particle":"","parse-names":false,"suffix":""}],"container-title":"Journal of Neuroscience","id":"ITEM-1","issue":"52","issued":{"date-parts":[["2008","12","24"]]},"page":"14147-14155","title":"Increasing Human Brain Excitability by Transcranial High-Frequency Random Noise Stimulation","type":"article-journal","volume":"28"},"uris":["http://www.mendeley.com/documents/?uuid=e7bcdf0d-0d31-3aa9-bd10-3352c8a54ebe"]},{"id":"ITEM-2","itemData":{"DOI":"10.1016/j.brs.2012.12.005","ISSN":"1935861X","PMID":"23369505","abstract":"BACKGROUND Transcranial electric stimulation (tES) protocols are able to induce neuromodulation, offering important insights to focus and constrain theories of the relationship between brain and behavior. Previous studies have shown that different types of tES (i.e., direct current stimulation - tDCS, and random noise stimulation - tRNS) induce different facilitatory behavioral effects. However to date is not clear which is the optimal timing to apply tES in relation to the induction of robust facilitatory effects. OBJECTIVE/HYPOTHESIS The goal of this work was to investigate how different types of tES (tDCS and tRNS) can modulate behavioral performance in the healthy adult brain in relation to their timing of application. We applied tES protocols before (offline) or during (online) the execution of a visual perceptual learning (PL) task. PL is a form of implicit memory that is characterized by an improvement in sensory discrimination after repeated exposure to a particular type of stimulus and is considered a manifestation of neural plasticity. Our aim was to understand if the timing of tES is critical for the induction of differential neuromodulatory effects in the primary visual cortex (V1). METHODS We applied high-frequency tRNS, anodal tDCS and sham tDCS on V1 before or during the execution of an orientation discrimination task. The experimental design was between subjects and performance was measured in terms of d' values. RESULTS The ideal timing of application varied depending on the stimulation type. tRNS facilitated task performance only when it was applied during task execution, whereas anodal tDCS induced a larger facilitation if it was applied before task execution. CONCLUSION The main result of this study is the finding that the timing of identical tES protocols yields opposite effects on performance. These results provide important guidelines for designing neuromodulation induction protocols and highlight the different optimal timing of the two excitatory techniques.","author":[{"dropping-particle":"","family":"Pirulli","given":"Cornelia","non-dropping-particle":"","parse-names":false,"suffix":""},{"dropping-particle":"","family":"Fertonani","given":"Anna","non-dropping-particle":"","parse-names":false,"suffix":""},{"dropping-particle":"","family":"Miniussi","given":"Carlo","non-dropping-particle":"","parse-names":false,"suffix":""}],"container-title":"Brain Stimulation","id":"ITEM-2","issue":"4","issued":{"date-parts":[["2013","7"]]},"page":"683-689","title":"The Role of Timing in the Induction of Neuromodulation in Perceptual Learning by Transcranial Electric Stimulation","type":"article-journal","volume":"6"},"uris":["http://www.mendeley.com/documents/?uuid=699c48b7-4d38-3a5e-a11c-75d63380fbe4"]},{"id":"ITEM-3","itemData":{"DOI":"10.1523/JNEUROSCI.2002-11.2011","ISSN":"1529-2401","PMID":"22031888","abstract":"Perceptual learning is considered a manifestation of neural plasticity in the human brain. We investigated brain plasticity mechanisms in a learning task using noninvasive transcranial electrical stimulation (tES). We hypothesized that different types of tES would have varying actions on the nervous system, which would result in different efficacies of neural plasticity modulation. Thus, the principal goal of the present study was to verify the possibility of inducing differential plasticity effects using two tES approaches [i.e., direct current stimulation (tDCS) and random noise stimulation (tRNS)] during the execution of a visual perceptual learning task.","author":[{"dropping-particle":"","family":"Fertonani","given":"Anna","non-dropping-particle":"","parse-names":false,"suffix":""},{"dropping-particle":"","family":"Pirulli","given":"Cornelia","non-dropping-particle":"","parse-names":false,"suffix":""},{"dropping-particle":"","family":"Miniussi","given":"Carlo","non-dropping-particle":"","parse-names":false,"suffix":""}],"container-title":"The Journal of neuroscience : the official journal of the Society for Neuroscience","id":"ITEM-3","issue":"43","issued":{"date-parts":[["2011","10","26"]]},"page":"15416-23","title":"Random noise stimulation improves neuroplasticity in perceptual learning.","type":"article-journal","volume":"31"},"uris":["http://www.mendeley.com/documents/?uuid=0154adfc-e0c1-357f-b3e4-127f7ed01234"]}],"mendeley":{"formattedCitation":"[27, 30, 31]","plainTextFormattedCitation":"[27, 30, 31]","previouslyFormattedCitation":"[27, 30, 31]"},"properties":{"noteIndex":0},"schema":"https://github.com/citation-style-language/schema/raw/master/csl-citation.json"}</w:instrText>
      </w:r>
      <w:r w:rsidR="00AA400E" w:rsidRPr="00AA400E">
        <w:rPr>
          <w:sz w:val="22"/>
          <w:szCs w:val="22"/>
        </w:rPr>
        <w:fldChar w:fldCharType="separate"/>
      </w:r>
      <w:r w:rsidR="00EA06E5" w:rsidRPr="00EA06E5">
        <w:rPr>
          <w:noProof/>
          <w:sz w:val="22"/>
          <w:szCs w:val="22"/>
        </w:rPr>
        <w:t>[27, 30, 31]</w:t>
      </w:r>
      <w:r w:rsidR="00AA400E" w:rsidRPr="00AA400E">
        <w:rPr>
          <w:sz w:val="22"/>
          <w:szCs w:val="22"/>
        </w:rPr>
        <w:fldChar w:fldCharType="end"/>
      </w:r>
      <w:r w:rsidR="00AA400E" w:rsidRPr="00AA400E">
        <w:rPr>
          <w:sz w:val="22"/>
          <w:szCs w:val="22"/>
        </w:rPr>
        <w:t>.</w:t>
      </w:r>
      <w:r>
        <w:rPr>
          <w:sz w:val="22"/>
          <w:szCs w:val="22"/>
        </w:rPr>
        <w:t xml:space="preserve"> </w:t>
      </w:r>
      <w:r w:rsidR="00572BBC">
        <w:rPr>
          <w:sz w:val="22"/>
          <w:szCs w:val="22"/>
        </w:rPr>
        <w:t xml:space="preserve">TDCS has been shown to have minimal risk </w:t>
      </w:r>
      <w:r w:rsidR="00313203">
        <w:rPr>
          <w:sz w:val="22"/>
          <w:szCs w:val="22"/>
        </w:rPr>
        <w:t xml:space="preserve">and </w:t>
      </w:r>
      <w:r w:rsidR="00572BBC">
        <w:rPr>
          <w:sz w:val="22"/>
          <w:szCs w:val="22"/>
        </w:rPr>
        <w:t xml:space="preserve">has been associated with </w:t>
      </w:r>
      <w:r w:rsidR="00313203">
        <w:rPr>
          <w:sz w:val="22"/>
          <w:szCs w:val="22"/>
        </w:rPr>
        <w:t>temporary itching, tingling, and burning sensations. It has also been associated with skin</w:t>
      </w:r>
      <w:r>
        <w:rPr>
          <w:sz w:val="22"/>
          <w:szCs w:val="22"/>
        </w:rPr>
        <w:t xml:space="preserve"> irritation</w:t>
      </w:r>
      <w:r w:rsidR="00313203">
        <w:rPr>
          <w:sz w:val="22"/>
          <w:szCs w:val="22"/>
        </w:rPr>
        <w:t xml:space="preserve">, and superficial blistering, and occasionally headaches; however, the </w:t>
      </w:r>
      <w:r w:rsidR="00313203">
        <w:rPr>
          <w:sz w:val="22"/>
          <w:szCs w:val="22"/>
        </w:rPr>
        <w:lastRenderedPageBreak/>
        <w:t xml:space="preserve">occurrences of these side effects is </w:t>
      </w:r>
      <w:r w:rsidR="00145850">
        <w:rPr>
          <w:sz w:val="22"/>
          <w:szCs w:val="22"/>
        </w:rPr>
        <w:t>rare.</w:t>
      </w:r>
      <w:r>
        <w:rPr>
          <w:sz w:val="22"/>
          <w:szCs w:val="22"/>
        </w:rPr>
        <w:t xml:space="preserve"> </w:t>
      </w:r>
      <w:r w:rsidR="006C0401" w:rsidRPr="0044227B">
        <w:rPr>
          <w:sz w:val="22"/>
          <w:szCs w:val="22"/>
        </w:rPr>
        <w:t xml:space="preserve">TMS </w:t>
      </w:r>
      <w:r w:rsidR="005C4EBB" w:rsidRPr="0044227B">
        <w:rPr>
          <w:sz w:val="22"/>
          <w:szCs w:val="22"/>
        </w:rPr>
        <w:t>will</w:t>
      </w:r>
      <w:r w:rsidR="00BE25AC">
        <w:rPr>
          <w:sz w:val="22"/>
          <w:szCs w:val="22"/>
        </w:rPr>
        <w:t xml:space="preserve"> </w:t>
      </w:r>
      <w:r w:rsidR="006C0401" w:rsidRPr="0044227B">
        <w:rPr>
          <w:sz w:val="22"/>
          <w:szCs w:val="22"/>
        </w:rPr>
        <w:t xml:space="preserve">be uncomfortable for some </w:t>
      </w:r>
      <w:proofErr w:type="gramStart"/>
      <w:r w:rsidR="006C0401" w:rsidRPr="0044227B">
        <w:rPr>
          <w:sz w:val="22"/>
          <w:szCs w:val="22"/>
        </w:rPr>
        <w:t>individuals,</w:t>
      </w:r>
      <w:r w:rsidR="0057187A">
        <w:rPr>
          <w:sz w:val="22"/>
          <w:szCs w:val="22"/>
        </w:rPr>
        <w:t xml:space="preserve"> </w:t>
      </w:r>
      <w:r w:rsidR="006C0401" w:rsidRPr="0044227B">
        <w:rPr>
          <w:sz w:val="22"/>
          <w:szCs w:val="22"/>
        </w:rPr>
        <w:t>and</w:t>
      </w:r>
      <w:proofErr w:type="gramEnd"/>
      <w:r w:rsidR="006C0401" w:rsidRPr="0044227B">
        <w:rPr>
          <w:sz w:val="22"/>
          <w:szCs w:val="22"/>
        </w:rPr>
        <w:t xml:space="preserve"> does have the potential to cause headaches. In r</w:t>
      </w:r>
      <w:r w:rsidR="00DF6E78" w:rsidRPr="0044227B">
        <w:rPr>
          <w:sz w:val="22"/>
          <w:szCs w:val="22"/>
        </w:rPr>
        <w:t xml:space="preserve">are cases, </w:t>
      </w:r>
      <w:r w:rsidR="00BE638E" w:rsidRPr="0044227B">
        <w:rPr>
          <w:sz w:val="22"/>
          <w:szCs w:val="22"/>
        </w:rPr>
        <w:t xml:space="preserve">repetitive </w:t>
      </w:r>
      <w:r w:rsidR="00DF6E78" w:rsidRPr="0044227B">
        <w:rPr>
          <w:sz w:val="22"/>
          <w:szCs w:val="22"/>
        </w:rPr>
        <w:t xml:space="preserve">TMS </w:t>
      </w:r>
      <w:r w:rsidR="00BE638E" w:rsidRPr="0044227B">
        <w:rPr>
          <w:sz w:val="22"/>
          <w:szCs w:val="22"/>
        </w:rPr>
        <w:t xml:space="preserve">(a form of high frequency TMS that will not be used in this study) </w:t>
      </w:r>
      <w:r w:rsidR="006C0401" w:rsidRPr="0044227B">
        <w:rPr>
          <w:sz w:val="22"/>
          <w:szCs w:val="22"/>
        </w:rPr>
        <w:t>has been associated with seizure and hearing loss.</w:t>
      </w:r>
      <w:r>
        <w:rPr>
          <w:sz w:val="22"/>
          <w:szCs w:val="22"/>
        </w:rPr>
        <w:t xml:space="preserve"> </w:t>
      </w:r>
      <w:r w:rsidR="007B47C9">
        <w:rPr>
          <w:sz w:val="22"/>
          <w:szCs w:val="22"/>
        </w:rPr>
        <w:t>However, these side effects have not been reported with the use of single pulse TMS for diagnostic purposes.</w:t>
      </w:r>
    </w:p>
    <w:p w14:paraId="72B93A18" w14:textId="77777777" w:rsidR="0019124D" w:rsidRPr="0044227B" w:rsidRDefault="0019124D" w:rsidP="00FA4722">
      <w:pPr>
        <w:rPr>
          <w:b/>
          <w:sz w:val="22"/>
          <w:szCs w:val="22"/>
        </w:rPr>
      </w:pPr>
    </w:p>
    <w:p w14:paraId="46F6A1A1" w14:textId="77777777" w:rsidR="004210AC" w:rsidRPr="0044227B" w:rsidRDefault="004210AC" w:rsidP="004210AC">
      <w:pPr>
        <w:numPr>
          <w:ilvl w:val="1"/>
          <w:numId w:val="25"/>
        </w:numPr>
        <w:rPr>
          <w:b/>
          <w:sz w:val="22"/>
          <w:szCs w:val="22"/>
        </w:rPr>
      </w:pPr>
      <w:r w:rsidRPr="0044227B">
        <w:rPr>
          <w:b/>
          <w:sz w:val="22"/>
          <w:szCs w:val="22"/>
        </w:rPr>
        <w:t>Safety</w:t>
      </w:r>
    </w:p>
    <w:p w14:paraId="7EA38184" w14:textId="77777777" w:rsidR="004210AC" w:rsidRPr="0044227B" w:rsidRDefault="004210AC" w:rsidP="004F43E2">
      <w:pPr>
        <w:ind w:left="1440"/>
        <w:jc w:val="both"/>
        <w:rPr>
          <w:sz w:val="22"/>
          <w:szCs w:val="22"/>
        </w:rPr>
      </w:pPr>
      <w:r w:rsidRPr="0044227B">
        <w:rPr>
          <w:sz w:val="22"/>
          <w:szCs w:val="22"/>
        </w:rPr>
        <w:t xml:space="preserve">This study will be conducted in accordance with the principles of Good Clinical Practice as outlined in the </w:t>
      </w:r>
      <w:r w:rsidR="001C2685" w:rsidRPr="0044227B">
        <w:rPr>
          <w:sz w:val="22"/>
          <w:szCs w:val="22"/>
        </w:rPr>
        <w:t xml:space="preserve">Declaration of Helsinki and the International Conference on </w:t>
      </w:r>
      <w:r w:rsidR="0029095F" w:rsidRPr="0044227B">
        <w:rPr>
          <w:sz w:val="22"/>
          <w:szCs w:val="22"/>
        </w:rPr>
        <w:t>Harmonization</w:t>
      </w:r>
      <w:r w:rsidR="001C2685" w:rsidRPr="0044227B">
        <w:rPr>
          <w:sz w:val="22"/>
          <w:szCs w:val="22"/>
        </w:rPr>
        <w:t>.</w:t>
      </w:r>
    </w:p>
    <w:p w14:paraId="61AC9199" w14:textId="77777777" w:rsidR="001C2685" w:rsidRPr="0044227B" w:rsidRDefault="001C2685" w:rsidP="004F43E2">
      <w:pPr>
        <w:ind w:left="1440"/>
        <w:jc w:val="both"/>
        <w:rPr>
          <w:sz w:val="22"/>
          <w:szCs w:val="22"/>
        </w:rPr>
      </w:pPr>
    </w:p>
    <w:p w14:paraId="345A831C" w14:textId="77777777" w:rsidR="00D04E86" w:rsidRPr="0044227B" w:rsidRDefault="004210AC" w:rsidP="004F43E2">
      <w:pPr>
        <w:ind w:left="1440"/>
        <w:jc w:val="both"/>
        <w:rPr>
          <w:sz w:val="22"/>
          <w:szCs w:val="22"/>
        </w:rPr>
      </w:pPr>
      <w:r w:rsidRPr="0044227B">
        <w:rPr>
          <w:sz w:val="22"/>
          <w:szCs w:val="22"/>
        </w:rPr>
        <w:t xml:space="preserve">All efforts will take place to ensure patient safety. Each </w:t>
      </w:r>
      <w:r w:rsidR="00FE4B28" w:rsidRPr="0044227B">
        <w:rPr>
          <w:sz w:val="22"/>
          <w:szCs w:val="22"/>
        </w:rPr>
        <w:t xml:space="preserve">subject </w:t>
      </w:r>
      <w:r w:rsidRPr="0044227B">
        <w:rPr>
          <w:sz w:val="22"/>
          <w:szCs w:val="22"/>
        </w:rPr>
        <w:t>will be monitored for safety throughout the trial utilizing clin</w:t>
      </w:r>
      <w:r w:rsidR="00BA0C80" w:rsidRPr="0044227B">
        <w:rPr>
          <w:sz w:val="22"/>
          <w:szCs w:val="22"/>
        </w:rPr>
        <w:t xml:space="preserve">ical evaluations and laboratory </w:t>
      </w:r>
      <w:r w:rsidRPr="0044227B">
        <w:rPr>
          <w:sz w:val="22"/>
          <w:szCs w:val="22"/>
        </w:rPr>
        <w:t xml:space="preserve">markers.  </w:t>
      </w:r>
    </w:p>
    <w:p w14:paraId="0F648B90" w14:textId="77777777" w:rsidR="00D04E86" w:rsidRPr="0044227B" w:rsidRDefault="00D04E86" w:rsidP="004F43E2">
      <w:pPr>
        <w:ind w:left="1440"/>
        <w:jc w:val="both"/>
        <w:rPr>
          <w:sz w:val="22"/>
          <w:szCs w:val="22"/>
        </w:rPr>
      </w:pPr>
    </w:p>
    <w:p w14:paraId="1F4AC43E" w14:textId="77777777" w:rsidR="00D04E86" w:rsidRPr="0044227B" w:rsidRDefault="004210AC" w:rsidP="00B91B8A">
      <w:pPr>
        <w:ind w:left="1440"/>
        <w:jc w:val="both"/>
        <w:rPr>
          <w:sz w:val="22"/>
          <w:szCs w:val="22"/>
        </w:rPr>
      </w:pPr>
      <w:r w:rsidRPr="0044227B">
        <w:rPr>
          <w:sz w:val="22"/>
          <w:szCs w:val="22"/>
        </w:rPr>
        <w:t xml:space="preserve">Laboratory markers and/or clinical evaluations that are out of normal range will be recorded as adverse events and reviewed with the investigator.  </w:t>
      </w:r>
    </w:p>
    <w:p w14:paraId="12574974" w14:textId="77777777" w:rsidR="00D04E86" w:rsidRPr="0044227B" w:rsidRDefault="00D04E86" w:rsidP="00B91B8A">
      <w:pPr>
        <w:ind w:left="1440"/>
        <w:jc w:val="both"/>
        <w:rPr>
          <w:sz w:val="22"/>
          <w:szCs w:val="22"/>
        </w:rPr>
      </w:pPr>
    </w:p>
    <w:p w14:paraId="39A9B332" w14:textId="77777777" w:rsidR="00D04E86" w:rsidRPr="0044227B" w:rsidRDefault="004210AC" w:rsidP="00B91B8A">
      <w:pPr>
        <w:ind w:left="1440"/>
        <w:jc w:val="both"/>
        <w:rPr>
          <w:sz w:val="22"/>
          <w:szCs w:val="22"/>
        </w:rPr>
      </w:pPr>
      <w:proofErr w:type="gramStart"/>
      <w:r w:rsidRPr="0044227B">
        <w:rPr>
          <w:sz w:val="22"/>
          <w:szCs w:val="22"/>
        </w:rPr>
        <w:t>SAE’s</w:t>
      </w:r>
      <w:proofErr w:type="gramEnd"/>
      <w:r w:rsidRPr="0044227B">
        <w:rPr>
          <w:sz w:val="22"/>
          <w:szCs w:val="22"/>
        </w:rPr>
        <w:t xml:space="preserve"> noted to be </w:t>
      </w:r>
      <w:r w:rsidR="00B91B8A">
        <w:rPr>
          <w:sz w:val="22"/>
          <w:szCs w:val="22"/>
        </w:rPr>
        <w:t>intervention</w:t>
      </w:r>
      <w:r w:rsidRPr="0044227B">
        <w:rPr>
          <w:sz w:val="22"/>
          <w:szCs w:val="22"/>
        </w:rPr>
        <w:t xml:space="preserve"> related will be reported </w:t>
      </w:r>
      <w:r w:rsidR="001C2685" w:rsidRPr="0044227B">
        <w:rPr>
          <w:sz w:val="22"/>
          <w:szCs w:val="22"/>
        </w:rPr>
        <w:t>as appropriate</w:t>
      </w:r>
      <w:r w:rsidR="00083D1F" w:rsidRPr="0044227B">
        <w:rPr>
          <w:sz w:val="22"/>
          <w:szCs w:val="22"/>
        </w:rPr>
        <w:t>,</w:t>
      </w:r>
      <w:r w:rsidR="001C2685" w:rsidRPr="0044227B">
        <w:rPr>
          <w:sz w:val="22"/>
          <w:szCs w:val="22"/>
        </w:rPr>
        <w:t xml:space="preserve"> </w:t>
      </w:r>
      <w:r w:rsidR="004D53F3" w:rsidRPr="0044227B">
        <w:rPr>
          <w:sz w:val="22"/>
          <w:szCs w:val="22"/>
        </w:rPr>
        <w:t>a</w:t>
      </w:r>
      <w:r w:rsidR="009B6F20" w:rsidRPr="0044227B">
        <w:rPr>
          <w:sz w:val="22"/>
          <w:szCs w:val="22"/>
        </w:rPr>
        <w:t>nd</w:t>
      </w:r>
      <w:r w:rsidR="00C3754C" w:rsidRPr="0044227B">
        <w:rPr>
          <w:sz w:val="22"/>
          <w:szCs w:val="22"/>
        </w:rPr>
        <w:t xml:space="preserve"> intervention</w:t>
      </w:r>
      <w:r w:rsidR="009B6F20" w:rsidRPr="0044227B">
        <w:rPr>
          <w:sz w:val="22"/>
          <w:szCs w:val="22"/>
        </w:rPr>
        <w:t>s will</w:t>
      </w:r>
      <w:r w:rsidRPr="0044227B">
        <w:rPr>
          <w:sz w:val="22"/>
          <w:szCs w:val="22"/>
        </w:rPr>
        <w:t xml:space="preserve"> be discontinued</w:t>
      </w:r>
      <w:r w:rsidR="001C2685" w:rsidRPr="0044227B">
        <w:rPr>
          <w:sz w:val="22"/>
          <w:szCs w:val="22"/>
        </w:rPr>
        <w:t xml:space="preserve"> per the decision of the investigator</w:t>
      </w:r>
      <w:r w:rsidRPr="0044227B">
        <w:rPr>
          <w:sz w:val="22"/>
          <w:szCs w:val="22"/>
        </w:rPr>
        <w:t xml:space="preserve">.  </w:t>
      </w:r>
    </w:p>
    <w:p w14:paraId="3E4C46A7" w14:textId="77777777" w:rsidR="00D04E86" w:rsidRPr="0044227B" w:rsidRDefault="00D04E86" w:rsidP="00B91B8A">
      <w:pPr>
        <w:ind w:left="1440"/>
        <w:jc w:val="both"/>
        <w:rPr>
          <w:sz w:val="22"/>
          <w:szCs w:val="22"/>
        </w:rPr>
      </w:pPr>
    </w:p>
    <w:p w14:paraId="0F3F4512" w14:textId="77777777" w:rsidR="004210AC" w:rsidRPr="0044227B" w:rsidRDefault="001C2685" w:rsidP="00B91B8A">
      <w:pPr>
        <w:ind w:left="1440"/>
        <w:jc w:val="both"/>
        <w:rPr>
          <w:sz w:val="22"/>
          <w:szCs w:val="22"/>
        </w:rPr>
      </w:pPr>
      <w:r w:rsidRPr="0044227B">
        <w:rPr>
          <w:sz w:val="22"/>
          <w:szCs w:val="22"/>
        </w:rPr>
        <w:t xml:space="preserve">All </w:t>
      </w:r>
      <w:r w:rsidR="00D04E86" w:rsidRPr="0044227B">
        <w:rPr>
          <w:sz w:val="22"/>
          <w:szCs w:val="22"/>
        </w:rPr>
        <w:t>subjects</w:t>
      </w:r>
      <w:r w:rsidR="004210AC" w:rsidRPr="0044227B">
        <w:rPr>
          <w:sz w:val="22"/>
          <w:szCs w:val="22"/>
        </w:rPr>
        <w:t xml:space="preserve"> will be triaged to the appropriate medical care based on investigators decision</w:t>
      </w:r>
      <w:r w:rsidRPr="0044227B">
        <w:rPr>
          <w:sz w:val="22"/>
          <w:szCs w:val="22"/>
        </w:rPr>
        <w:t xml:space="preserve"> upon review of abnormal events</w:t>
      </w:r>
      <w:r w:rsidR="004210AC" w:rsidRPr="0044227B">
        <w:rPr>
          <w:sz w:val="22"/>
          <w:szCs w:val="22"/>
        </w:rPr>
        <w:t xml:space="preserve">.  </w:t>
      </w:r>
    </w:p>
    <w:p w14:paraId="09497332" w14:textId="77777777" w:rsidR="009D622A" w:rsidRPr="0044227B" w:rsidRDefault="009D622A">
      <w:pPr>
        <w:ind w:left="2160"/>
        <w:rPr>
          <w:sz w:val="22"/>
          <w:szCs w:val="22"/>
        </w:rPr>
      </w:pPr>
      <w:r w:rsidRPr="0044227B">
        <w:rPr>
          <w:sz w:val="22"/>
          <w:szCs w:val="22"/>
        </w:rPr>
        <w:t>.</w:t>
      </w:r>
    </w:p>
    <w:p w14:paraId="61D50CB8" w14:textId="77777777" w:rsidR="009D622A" w:rsidRPr="0044227B" w:rsidRDefault="009D622A">
      <w:pPr>
        <w:pStyle w:val="BodyTextIndent"/>
        <w:ind w:left="0" w:firstLine="720"/>
        <w:rPr>
          <w:sz w:val="22"/>
          <w:szCs w:val="22"/>
        </w:rPr>
      </w:pPr>
      <w:r w:rsidRPr="0044227B">
        <w:rPr>
          <w:b/>
          <w:sz w:val="22"/>
          <w:szCs w:val="22"/>
        </w:rPr>
        <w:t xml:space="preserve">5.0   </w:t>
      </w:r>
      <w:r w:rsidRPr="0044227B">
        <w:rPr>
          <w:b/>
          <w:sz w:val="22"/>
          <w:szCs w:val="22"/>
        </w:rPr>
        <w:tab/>
        <w:t xml:space="preserve">Data Management </w:t>
      </w:r>
    </w:p>
    <w:p w14:paraId="4555DA97" w14:textId="77777777" w:rsidR="009D622A" w:rsidRPr="0044227B" w:rsidRDefault="009D622A" w:rsidP="004F43E2">
      <w:pPr>
        <w:pStyle w:val="BodyTextIndent"/>
        <w:ind w:firstLine="720"/>
        <w:jc w:val="both"/>
        <w:rPr>
          <w:sz w:val="22"/>
          <w:szCs w:val="22"/>
        </w:rPr>
      </w:pPr>
      <w:r w:rsidRPr="0044227B">
        <w:rPr>
          <w:sz w:val="22"/>
          <w:szCs w:val="22"/>
        </w:rPr>
        <w:t xml:space="preserve">Following completion of the consenting process (including informed consent and Authorization for Use/Disclosure of PHI) and </w:t>
      </w:r>
      <w:r w:rsidR="00DC0B5B" w:rsidRPr="0044227B">
        <w:rPr>
          <w:sz w:val="22"/>
          <w:szCs w:val="22"/>
        </w:rPr>
        <w:t>determination</w:t>
      </w:r>
      <w:r w:rsidRPr="0044227B">
        <w:rPr>
          <w:sz w:val="22"/>
          <w:szCs w:val="22"/>
        </w:rPr>
        <w:t xml:space="preserve"> that the </w:t>
      </w:r>
      <w:r w:rsidR="00FE4B28" w:rsidRPr="0044227B">
        <w:rPr>
          <w:sz w:val="22"/>
          <w:szCs w:val="22"/>
        </w:rPr>
        <w:t>subject</w:t>
      </w:r>
      <w:r w:rsidRPr="0044227B">
        <w:rPr>
          <w:sz w:val="22"/>
          <w:szCs w:val="22"/>
        </w:rPr>
        <w:t xml:space="preserve"> meets all of the inclusion and none of the exclusion criteria, enrollment will </w:t>
      </w:r>
      <w:proofErr w:type="gramStart"/>
      <w:r w:rsidRPr="0044227B">
        <w:rPr>
          <w:sz w:val="22"/>
          <w:szCs w:val="22"/>
        </w:rPr>
        <w:t>occur</w:t>
      </w:r>
      <w:proofErr w:type="gramEnd"/>
      <w:r w:rsidRPr="0044227B">
        <w:rPr>
          <w:sz w:val="22"/>
          <w:szCs w:val="22"/>
        </w:rPr>
        <w:t xml:space="preserve"> and data collection will commence.</w:t>
      </w:r>
    </w:p>
    <w:p w14:paraId="09AFB457" w14:textId="77777777" w:rsidR="00177795" w:rsidRDefault="00177795">
      <w:pPr>
        <w:pStyle w:val="BodyTextIndent"/>
        <w:ind w:left="1440"/>
        <w:rPr>
          <w:b/>
          <w:sz w:val="22"/>
          <w:szCs w:val="22"/>
        </w:rPr>
      </w:pPr>
    </w:p>
    <w:p w14:paraId="34A62D25" w14:textId="77777777" w:rsidR="009D622A" w:rsidRPr="0044227B" w:rsidRDefault="009D622A">
      <w:pPr>
        <w:pStyle w:val="BodyTextIndent"/>
        <w:ind w:left="1440"/>
        <w:rPr>
          <w:b/>
          <w:sz w:val="22"/>
          <w:szCs w:val="22"/>
        </w:rPr>
      </w:pPr>
      <w:r w:rsidRPr="0044227B">
        <w:rPr>
          <w:b/>
          <w:sz w:val="22"/>
          <w:szCs w:val="22"/>
        </w:rPr>
        <w:t>5.1</w:t>
      </w:r>
      <w:r w:rsidRPr="0044227B">
        <w:rPr>
          <w:b/>
          <w:sz w:val="22"/>
          <w:szCs w:val="22"/>
        </w:rPr>
        <w:tab/>
        <w:t>Case Report Forms</w:t>
      </w:r>
    </w:p>
    <w:p w14:paraId="661EBF7A" w14:textId="77777777" w:rsidR="00C3754C" w:rsidRPr="0044227B" w:rsidRDefault="006F6C70" w:rsidP="004F43E2">
      <w:pPr>
        <w:ind w:left="1440" w:firstLine="720"/>
        <w:jc w:val="both"/>
        <w:rPr>
          <w:sz w:val="22"/>
          <w:szCs w:val="22"/>
        </w:rPr>
      </w:pPr>
      <w:r w:rsidRPr="0044227B">
        <w:rPr>
          <w:sz w:val="22"/>
          <w:szCs w:val="22"/>
        </w:rPr>
        <w:t>Hospital, office, and research records for any admission or visit (including admission notes, discharge notes, operative reports, test results, and lab reports) are considered source documentation and will be collected and reviewed to confirm clinical events and may be utilized for data analysis. Data will be collected on</w:t>
      </w:r>
      <w:r w:rsidR="008C39C0" w:rsidRPr="0044227B">
        <w:rPr>
          <w:sz w:val="22"/>
          <w:szCs w:val="22"/>
        </w:rPr>
        <w:t xml:space="preserve"> all </w:t>
      </w:r>
      <w:r w:rsidR="00FE4B28" w:rsidRPr="0044227B">
        <w:rPr>
          <w:sz w:val="22"/>
          <w:szCs w:val="22"/>
        </w:rPr>
        <w:t xml:space="preserve">subjects </w:t>
      </w:r>
      <w:r w:rsidR="008C39C0" w:rsidRPr="0044227B">
        <w:rPr>
          <w:sz w:val="22"/>
          <w:szCs w:val="22"/>
        </w:rPr>
        <w:t>via an eCRF</w:t>
      </w:r>
      <w:r w:rsidRPr="0044227B">
        <w:rPr>
          <w:sz w:val="22"/>
          <w:szCs w:val="22"/>
        </w:rPr>
        <w:t xml:space="preserve">.  The </w:t>
      </w:r>
      <w:r w:rsidR="008C39C0" w:rsidRPr="0044227B">
        <w:rPr>
          <w:sz w:val="22"/>
          <w:szCs w:val="22"/>
        </w:rPr>
        <w:t>CRF</w:t>
      </w:r>
      <w:r w:rsidRPr="0044227B">
        <w:rPr>
          <w:sz w:val="22"/>
          <w:szCs w:val="22"/>
        </w:rPr>
        <w:t xml:space="preserve"> will contain no </w:t>
      </w:r>
      <w:r w:rsidR="00FE4B28" w:rsidRPr="0044227B">
        <w:rPr>
          <w:sz w:val="22"/>
          <w:szCs w:val="22"/>
        </w:rPr>
        <w:t xml:space="preserve">subject </w:t>
      </w:r>
      <w:r w:rsidRPr="0044227B">
        <w:rPr>
          <w:sz w:val="22"/>
          <w:szCs w:val="22"/>
        </w:rPr>
        <w:t xml:space="preserve">names.  </w:t>
      </w:r>
      <w:r w:rsidR="009D622A" w:rsidRPr="0044227B">
        <w:rPr>
          <w:sz w:val="22"/>
          <w:szCs w:val="22"/>
        </w:rPr>
        <w:t xml:space="preserve">The </w:t>
      </w:r>
      <w:r w:rsidR="00FE4B28" w:rsidRPr="0044227B">
        <w:rPr>
          <w:sz w:val="22"/>
          <w:szCs w:val="22"/>
        </w:rPr>
        <w:t xml:space="preserve">subject </w:t>
      </w:r>
      <w:r w:rsidR="009D622A" w:rsidRPr="0044227B">
        <w:rPr>
          <w:sz w:val="22"/>
          <w:szCs w:val="22"/>
        </w:rPr>
        <w:t xml:space="preserve">code field will be a patient study number, numbered sequentially as </w:t>
      </w:r>
      <w:proofErr w:type="gramStart"/>
      <w:r w:rsidR="009D622A" w:rsidRPr="0044227B">
        <w:rPr>
          <w:sz w:val="22"/>
          <w:szCs w:val="22"/>
        </w:rPr>
        <w:t>entered</w:t>
      </w:r>
      <w:r w:rsidR="00654BAB">
        <w:rPr>
          <w:sz w:val="22"/>
          <w:szCs w:val="22"/>
        </w:rPr>
        <w:t xml:space="preserve"> into</w:t>
      </w:r>
      <w:proofErr w:type="gramEnd"/>
      <w:r w:rsidR="00654BAB">
        <w:rPr>
          <w:sz w:val="22"/>
          <w:szCs w:val="22"/>
        </w:rPr>
        <w:t xml:space="preserve"> the electronic database. </w:t>
      </w:r>
      <w:r w:rsidR="009D622A" w:rsidRPr="0044227B">
        <w:rPr>
          <w:sz w:val="22"/>
          <w:szCs w:val="22"/>
        </w:rPr>
        <w:t xml:space="preserve">A separate master code list will be constructed by the </w:t>
      </w:r>
      <w:r w:rsidR="00D04E86" w:rsidRPr="0044227B">
        <w:rPr>
          <w:sz w:val="22"/>
          <w:szCs w:val="22"/>
        </w:rPr>
        <w:t>investigator/</w:t>
      </w:r>
      <w:r w:rsidR="009D622A" w:rsidRPr="0044227B">
        <w:rPr>
          <w:sz w:val="22"/>
          <w:szCs w:val="22"/>
        </w:rPr>
        <w:t xml:space="preserve">study coordinator that will list the </w:t>
      </w:r>
      <w:proofErr w:type="gramStart"/>
      <w:r w:rsidR="009D622A" w:rsidRPr="0044227B">
        <w:rPr>
          <w:sz w:val="22"/>
          <w:szCs w:val="22"/>
        </w:rPr>
        <w:t>patient</w:t>
      </w:r>
      <w:proofErr w:type="gramEnd"/>
      <w:r w:rsidR="009D622A" w:rsidRPr="0044227B">
        <w:rPr>
          <w:sz w:val="22"/>
          <w:szCs w:val="22"/>
        </w:rPr>
        <w:t xml:space="preserve"> name with the designated </w:t>
      </w:r>
      <w:r w:rsidR="00FE4B28" w:rsidRPr="0044227B">
        <w:rPr>
          <w:sz w:val="22"/>
          <w:szCs w:val="22"/>
        </w:rPr>
        <w:t xml:space="preserve">subject </w:t>
      </w:r>
      <w:r w:rsidR="00654BAB">
        <w:rPr>
          <w:sz w:val="22"/>
          <w:szCs w:val="22"/>
        </w:rPr>
        <w:t xml:space="preserve">code. </w:t>
      </w:r>
      <w:r w:rsidR="009D622A" w:rsidRPr="0044227B">
        <w:rPr>
          <w:sz w:val="22"/>
          <w:szCs w:val="22"/>
        </w:rPr>
        <w:t>This list will be maintained in</w:t>
      </w:r>
      <w:r w:rsidR="00EF00FC">
        <w:rPr>
          <w:sz w:val="22"/>
          <w:szCs w:val="22"/>
        </w:rPr>
        <w:t xml:space="preserve"> a password </w:t>
      </w:r>
      <w:r w:rsidR="008E7DDA" w:rsidRPr="0044227B">
        <w:rPr>
          <w:sz w:val="22"/>
          <w:szCs w:val="22"/>
        </w:rPr>
        <w:t>protected file to which access is restricted</w:t>
      </w:r>
      <w:r w:rsidR="00A66E7E" w:rsidRPr="0044227B">
        <w:rPr>
          <w:sz w:val="22"/>
          <w:szCs w:val="22"/>
        </w:rPr>
        <w:t>.</w:t>
      </w:r>
    </w:p>
    <w:p w14:paraId="44A49FC2" w14:textId="77777777" w:rsidR="00D04E86" w:rsidRPr="0044227B" w:rsidRDefault="00D04E86" w:rsidP="004F43E2">
      <w:pPr>
        <w:pStyle w:val="BodyTextIndent2"/>
        <w:ind w:left="1440"/>
        <w:rPr>
          <w:sz w:val="22"/>
          <w:szCs w:val="22"/>
        </w:rPr>
      </w:pPr>
    </w:p>
    <w:p w14:paraId="7A91B9A7" w14:textId="77777777" w:rsidR="009D622A" w:rsidRPr="0044227B" w:rsidRDefault="009D622A" w:rsidP="004F43E2">
      <w:pPr>
        <w:pStyle w:val="BodyTextIndent2"/>
        <w:ind w:left="1440"/>
        <w:jc w:val="both"/>
        <w:rPr>
          <w:sz w:val="22"/>
          <w:szCs w:val="22"/>
        </w:rPr>
      </w:pPr>
      <w:r w:rsidRPr="0044227B">
        <w:rPr>
          <w:sz w:val="22"/>
          <w:szCs w:val="22"/>
        </w:rPr>
        <w:t>Upon c</w:t>
      </w:r>
      <w:r w:rsidR="008C39C0" w:rsidRPr="0044227B">
        <w:rPr>
          <w:sz w:val="22"/>
          <w:szCs w:val="22"/>
        </w:rPr>
        <w:t xml:space="preserve">ompletion of data collection, </w:t>
      </w:r>
      <w:r w:rsidR="00763001">
        <w:rPr>
          <w:sz w:val="22"/>
          <w:szCs w:val="22"/>
        </w:rPr>
        <w:t xml:space="preserve">each participant’s </w:t>
      </w:r>
      <w:r w:rsidR="008C39C0" w:rsidRPr="0044227B">
        <w:rPr>
          <w:sz w:val="22"/>
          <w:szCs w:val="22"/>
        </w:rPr>
        <w:t>eCRF</w:t>
      </w:r>
      <w:r w:rsidR="000C60E3">
        <w:rPr>
          <w:sz w:val="22"/>
          <w:szCs w:val="22"/>
        </w:rPr>
        <w:t>s</w:t>
      </w:r>
      <w:r w:rsidRPr="0044227B">
        <w:rPr>
          <w:sz w:val="22"/>
          <w:szCs w:val="22"/>
        </w:rPr>
        <w:t xml:space="preserve"> will be signed by </w:t>
      </w:r>
      <w:r w:rsidR="000C60E3">
        <w:rPr>
          <w:sz w:val="22"/>
          <w:szCs w:val="22"/>
        </w:rPr>
        <w:t>the</w:t>
      </w:r>
      <w:r w:rsidRPr="0044227B">
        <w:rPr>
          <w:sz w:val="22"/>
          <w:szCs w:val="22"/>
        </w:rPr>
        <w:t xml:space="preserve"> Principal Investigator</w:t>
      </w:r>
      <w:r w:rsidR="006F6C70" w:rsidRPr="0044227B">
        <w:rPr>
          <w:sz w:val="22"/>
          <w:szCs w:val="22"/>
        </w:rPr>
        <w:t>.</w:t>
      </w:r>
    </w:p>
    <w:p w14:paraId="438C3640" w14:textId="77777777" w:rsidR="006F6C70" w:rsidRPr="0044227B" w:rsidRDefault="006F6C70">
      <w:pPr>
        <w:pStyle w:val="BodyTextIndent2"/>
        <w:rPr>
          <w:sz w:val="22"/>
          <w:szCs w:val="22"/>
        </w:rPr>
      </w:pPr>
    </w:p>
    <w:p w14:paraId="750A1561" w14:textId="77777777" w:rsidR="009D622A" w:rsidRPr="0044227B" w:rsidRDefault="009D622A">
      <w:pPr>
        <w:tabs>
          <w:tab w:val="left" w:pos="1440"/>
        </w:tabs>
        <w:ind w:left="1440"/>
        <w:rPr>
          <w:b/>
          <w:sz w:val="22"/>
          <w:szCs w:val="22"/>
        </w:rPr>
      </w:pPr>
      <w:proofErr w:type="gramStart"/>
      <w:r w:rsidRPr="0044227B">
        <w:rPr>
          <w:b/>
          <w:sz w:val="22"/>
          <w:szCs w:val="22"/>
        </w:rPr>
        <w:t xml:space="preserve">5.2  </w:t>
      </w:r>
      <w:r w:rsidRPr="0044227B">
        <w:rPr>
          <w:b/>
          <w:sz w:val="22"/>
          <w:szCs w:val="22"/>
        </w:rPr>
        <w:tab/>
      </w:r>
      <w:proofErr w:type="gramEnd"/>
      <w:r w:rsidRPr="0044227B">
        <w:rPr>
          <w:b/>
          <w:sz w:val="22"/>
          <w:szCs w:val="22"/>
        </w:rPr>
        <w:t>Database</w:t>
      </w:r>
    </w:p>
    <w:p w14:paraId="1EE32C2B" w14:textId="77777777" w:rsidR="009D622A" w:rsidRPr="0044227B" w:rsidRDefault="008E7DDA" w:rsidP="004F43E2">
      <w:pPr>
        <w:ind w:left="1440" w:firstLine="720"/>
        <w:jc w:val="both"/>
        <w:rPr>
          <w:sz w:val="22"/>
          <w:szCs w:val="22"/>
        </w:rPr>
      </w:pPr>
      <w:r w:rsidRPr="0044227B">
        <w:rPr>
          <w:sz w:val="22"/>
          <w:szCs w:val="22"/>
        </w:rPr>
        <w:t>The research database will be</w:t>
      </w:r>
      <w:r w:rsidR="009D622A" w:rsidRPr="0044227B">
        <w:rPr>
          <w:sz w:val="22"/>
          <w:szCs w:val="22"/>
        </w:rPr>
        <w:t xml:space="preserve"> maintained in electronic form by</w:t>
      </w:r>
      <w:r w:rsidR="001C77B6" w:rsidRPr="0044227B">
        <w:rPr>
          <w:sz w:val="22"/>
          <w:szCs w:val="22"/>
        </w:rPr>
        <w:t xml:space="preserve"> </w:t>
      </w:r>
      <w:r w:rsidR="009F046C">
        <w:rPr>
          <w:sz w:val="22"/>
          <w:szCs w:val="22"/>
        </w:rPr>
        <w:t xml:space="preserve">Dr. </w:t>
      </w:r>
      <w:r w:rsidR="004F43E2">
        <w:rPr>
          <w:sz w:val="22"/>
          <w:szCs w:val="22"/>
        </w:rPr>
        <w:t xml:space="preserve">Anastasia </w:t>
      </w:r>
      <w:proofErr w:type="spellStart"/>
      <w:r w:rsidR="004F43E2">
        <w:rPr>
          <w:sz w:val="22"/>
          <w:szCs w:val="22"/>
        </w:rPr>
        <w:t>Zarkou</w:t>
      </w:r>
      <w:proofErr w:type="spellEnd"/>
      <w:r w:rsidR="004F43E2">
        <w:rPr>
          <w:sz w:val="22"/>
          <w:szCs w:val="22"/>
        </w:rPr>
        <w:t xml:space="preserve">. </w:t>
      </w:r>
      <w:r w:rsidRPr="0044227B">
        <w:rPr>
          <w:sz w:val="22"/>
          <w:szCs w:val="22"/>
        </w:rPr>
        <w:t>St</w:t>
      </w:r>
      <w:r w:rsidR="009D622A" w:rsidRPr="0044227B">
        <w:rPr>
          <w:sz w:val="22"/>
          <w:szCs w:val="22"/>
        </w:rPr>
        <w:t xml:space="preserve">atistical analyses will be the responsibility </w:t>
      </w:r>
      <w:r w:rsidR="009F046C">
        <w:rPr>
          <w:sz w:val="22"/>
          <w:szCs w:val="22"/>
        </w:rPr>
        <w:t xml:space="preserve">of Dr. </w:t>
      </w:r>
      <w:proofErr w:type="spellStart"/>
      <w:r w:rsidR="004F43E2">
        <w:rPr>
          <w:sz w:val="22"/>
          <w:szCs w:val="22"/>
        </w:rPr>
        <w:t>Zarkou</w:t>
      </w:r>
      <w:proofErr w:type="spellEnd"/>
      <w:r w:rsidR="004F43E2">
        <w:rPr>
          <w:sz w:val="22"/>
          <w:szCs w:val="22"/>
        </w:rPr>
        <w:t>.</w:t>
      </w:r>
      <w:r w:rsidR="00654BAB">
        <w:rPr>
          <w:sz w:val="22"/>
          <w:szCs w:val="22"/>
        </w:rPr>
        <w:t xml:space="preserve"> </w:t>
      </w:r>
      <w:r w:rsidR="00A4494A" w:rsidRPr="0044227B">
        <w:rPr>
          <w:sz w:val="22"/>
          <w:szCs w:val="22"/>
        </w:rPr>
        <w:t>The electronic database will be backed up per institutional guidelines.</w:t>
      </w:r>
    </w:p>
    <w:p w14:paraId="0C221FE7" w14:textId="77777777" w:rsidR="009D622A" w:rsidRPr="0044227B" w:rsidRDefault="009D622A">
      <w:pPr>
        <w:pStyle w:val="BodyTextIndent2"/>
        <w:ind w:left="0"/>
        <w:rPr>
          <w:sz w:val="22"/>
          <w:szCs w:val="22"/>
        </w:rPr>
      </w:pPr>
      <w:r w:rsidRPr="0044227B">
        <w:rPr>
          <w:sz w:val="22"/>
          <w:szCs w:val="22"/>
        </w:rPr>
        <w:t xml:space="preserve"> </w:t>
      </w:r>
    </w:p>
    <w:p w14:paraId="142E8FD3" w14:textId="77777777" w:rsidR="009D622A" w:rsidRPr="0044227B" w:rsidRDefault="009D622A">
      <w:pPr>
        <w:pStyle w:val="BodyTextIndent"/>
        <w:ind w:left="1440"/>
        <w:rPr>
          <w:b/>
          <w:sz w:val="22"/>
          <w:szCs w:val="22"/>
        </w:rPr>
      </w:pPr>
      <w:proofErr w:type="gramStart"/>
      <w:r w:rsidRPr="0044227B">
        <w:rPr>
          <w:b/>
          <w:sz w:val="22"/>
          <w:szCs w:val="22"/>
        </w:rPr>
        <w:t xml:space="preserve">5.3  </w:t>
      </w:r>
      <w:r w:rsidRPr="0044227B">
        <w:rPr>
          <w:b/>
          <w:sz w:val="22"/>
          <w:szCs w:val="22"/>
        </w:rPr>
        <w:tab/>
      </w:r>
      <w:proofErr w:type="gramEnd"/>
      <w:r w:rsidRPr="0044227B">
        <w:rPr>
          <w:b/>
          <w:sz w:val="22"/>
          <w:szCs w:val="22"/>
        </w:rPr>
        <w:t>External Documentation:</w:t>
      </w:r>
    </w:p>
    <w:p w14:paraId="59506040" w14:textId="77777777" w:rsidR="009D622A" w:rsidRPr="0044227B" w:rsidRDefault="009D622A" w:rsidP="004F43E2">
      <w:pPr>
        <w:pStyle w:val="BodyTextIndent"/>
        <w:ind w:left="1440" w:firstLine="720"/>
        <w:jc w:val="both"/>
        <w:rPr>
          <w:sz w:val="22"/>
          <w:szCs w:val="22"/>
        </w:rPr>
      </w:pPr>
      <w:r w:rsidRPr="0044227B">
        <w:rPr>
          <w:sz w:val="22"/>
          <w:szCs w:val="22"/>
        </w:rPr>
        <w:t xml:space="preserve">During administration of the patient questionnaire, if it is identified that a </w:t>
      </w:r>
      <w:r w:rsidR="00FE4B28" w:rsidRPr="0044227B">
        <w:rPr>
          <w:sz w:val="22"/>
          <w:szCs w:val="22"/>
        </w:rPr>
        <w:t>subject sought</w:t>
      </w:r>
      <w:r w:rsidRPr="0044227B">
        <w:rPr>
          <w:sz w:val="22"/>
          <w:szCs w:val="22"/>
        </w:rPr>
        <w:t xml:space="preserve"> treatment from a source outside of </w:t>
      </w:r>
      <w:r w:rsidR="00F45A1A" w:rsidRPr="0044227B">
        <w:rPr>
          <w:sz w:val="22"/>
          <w:szCs w:val="22"/>
        </w:rPr>
        <w:t>the</w:t>
      </w:r>
      <w:r w:rsidRPr="0044227B">
        <w:rPr>
          <w:sz w:val="22"/>
          <w:szCs w:val="22"/>
        </w:rPr>
        <w:t xml:space="preserve"> </w:t>
      </w:r>
      <w:r w:rsidR="00F6286A" w:rsidRPr="0044227B">
        <w:rPr>
          <w:sz w:val="22"/>
          <w:szCs w:val="22"/>
        </w:rPr>
        <w:t xml:space="preserve">Hulse Spinal Cord Injury </w:t>
      </w:r>
      <w:r w:rsidR="00654BAB">
        <w:rPr>
          <w:sz w:val="22"/>
          <w:szCs w:val="22"/>
        </w:rPr>
        <w:t xml:space="preserve">Research </w:t>
      </w:r>
      <w:r w:rsidR="00F6286A" w:rsidRPr="0044227B">
        <w:rPr>
          <w:sz w:val="22"/>
          <w:szCs w:val="22"/>
        </w:rPr>
        <w:lastRenderedPageBreak/>
        <w:t>Laboratory</w:t>
      </w:r>
      <w:r w:rsidRPr="0044227B">
        <w:rPr>
          <w:sz w:val="22"/>
          <w:szCs w:val="22"/>
        </w:rPr>
        <w:t xml:space="preserve"> after enrollment into the protocol, additional data will be obtained from external physician offices or hospitals to document and verify events. All data will be entered onto the follow-up </w:t>
      </w:r>
      <w:r w:rsidR="006B19D1" w:rsidRPr="0044227B">
        <w:rPr>
          <w:sz w:val="22"/>
          <w:szCs w:val="22"/>
        </w:rPr>
        <w:t>eCRF</w:t>
      </w:r>
      <w:r w:rsidRPr="0044227B">
        <w:rPr>
          <w:sz w:val="22"/>
          <w:szCs w:val="22"/>
        </w:rPr>
        <w:t>.</w:t>
      </w:r>
    </w:p>
    <w:p w14:paraId="7B8965D7" w14:textId="77777777" w:rsidR="009D622A" w:rsidRPr="0044227B" w:rsidRDefault="009D622A">
      <w:pPr>
        <w:pStyle w:val="BodyTextIndent2"/>
        <w:ind w:left="0"/>
        <w:rPr>
          <w:sz w:val="22"/>
          <w:szCs w:val="22"/>
        </w:rPr>
      </w:pPr>
    </w:p>
    <w:p w14:paraId="6114ED34" w14:textId="77777777" w:rsidR="009D622A" w:rsidRPr="0044227B" w:rsidRDefault="009D622A">
      <w:pPr>
        <w:pStyle w:val="BodyTextIndent2"/>
        <w:ind w:left="1440"/>
        <w:rPr>
          <w:b/>
          <w:sz w:val="22"/>
          <w:szCs w:val="22"/>
        </w:rPr>
      </w:pPr>
      <w:proofErr w:type="gramStart"/>
      <w:r w:rsidRPr="0044227B">
        <w:rPr>
          <w:b/>
          <w:sz w:val="22"/>
          <w:szCs w:val="22"/>
        </w:rPr>
        <w:t xml:space="preserve">5.4  </w:t>
      </w:r>
      <w:r w:rsidRPr="0044227B">
        <w:rPr>
          <w:b/>
          <w:sz w:val="22"/>
          <w:szCs w:val="22"/>
        </w:rPr>
        <w:tab/>
      </w:r>
      <w:proofErr w:type="gramEnd"/>
      <w:r w:rsidRPr="0044227B">
        <w:rPr>
          <w:b/>
          <w:sz w:val="22"/>
          <w:szCs w:val="22"/>
        </w:rPr>
        <w:t>Quality Control</w:t>
      </w:r>
    </w:p>
    <w:p w14:paraId="7ADCC6B8" w14:textId="77777777" w:rsidR="009D622A" w:rsidRPr="0044227B" w:rsidRDefault="004F43E2" w:rsidP="004F43E2">
      <w:pPr>
        <w:pStyle w:val="BodyTextIndent2"/>
        <w:ind w:left="1440" w:firstLine="720"/>
        <w:jc w:val="both"/>
        <w:rPr>
          <w:sz w:val="22"/>
          <w:szCs w:val="22"/>
        </w:rPr>
      </w:pPr>
      <w:r>
        <w:rPr>
          <w:sz w:val="22"/>
          <w:szCs w:val="22"/>
        </w:rPr>
        <w:t xml:space="preserve">Dr. Anastasia </w:t>
      </w:r>
      <w:proofErr w:type="spellStart"/>
      <w:r>
        <w:rPr>
          <w:sz w:val="22"/>
          <w:szCs w:val="22"/>
        </w:rPr>
        <w:t>Zarkou</w:t>
      </w:r>
      <w:proofErr w:type="spellEnd"/>
      <w:r w:rsidR="0029095F" w:rsidRPr="0044227B">
        <w:rPr>
          <w:sz w:val="22"/>
          <w:szCs w:val="22"/>
        </w:rPr>
        <w:t xml:space="preserve"> </w:t>
      </w:r>
      <w:r w:rsidR="009D622A" w:rsidRPr="0044227B">
        <w:rPr>
          <w:sz w:val="22"/>
          <w:szCs w:val="22"/>
        </w:rPr>
        <w:t xml:space="preserve">will fulfill the responsibilities </w:t>
      </w:r>
      <w:r w:rsidR="008F14E2" w:rsidRPr="0044227B">
        <w:rPr>
          <w:sz w:val="22"/>
          <w:szCs w:val="22"/>
        </w:rPr>
        <w:t xml:space="preserve">of the data manager </w:t>
      </w:r>
      <w:r w:rsidR="009D622A" w:rsidRPr="0044227B">
        <w:rPr>
          <w:sz w:val="22"/>
          <w:szCs w:val="22"/>
        </w:rPr>
        <w:t>includ</w:t>
      </w:r>
      <w:r w:rsidR="008F14E2" w:rsidRPr="0044227B">
        <w:rPr>
          <w:sz w:val="22"/>
          <w:szCs w:val="22"/>
        </w:rPr>
        <w:t>ing</w:t>
      </w:r>
      <w:r w:rsidR="009D622A" w:rsidRPr="0044227B">
        <w:rPr>
          <w:sz w:val="22"/>
          <w:szCs w:val="22"/>
        </w:rPr>
        <w:t xml:space="preserve"> collecting and tracking data forms and instituting quality control measures for data entry verification and study compliance. </w:t>
      </w:r>
      <w:r w:rsidR="009F046C">
        <w:rPr>
          <w:sz w:val="22"/>
          <w:szCs w:val="22"/>
        </w:rPr>
        <w:t>Sh</w:t>
      </w:r>
      <w:r w:rsidR="00664B21" w:rsidRPr="0044227B">
        <w:rPr>
          <w:sz w:val="22"/>
          <w:szCs w:val="22"/>
        </w:rPr>
        <w:t>e</w:t>
      </w:r>
      <w:r w:rsidR="009D622A" w:rsidRPr="0044227B">
        <w:rPr>
          <w:sz w:val="22"/>
          <w:szCs w:val="22"/>
        </w:rPr>
        <w:t xml:space="preserve"> will request further documentation such as physician and/or procedure notes when complications are observed and reported.  </w:t>
      </w:r>
      <w:r>
        <w:rPr>
          <w:sz w:val="22"/>
          <w:szCs w:val="22"/>
        </w:rPr>
        <w:t xml:space="preserve">Dr. </w:t>
      </w:r>
      <w:proofErr w:type="spellStart"/>
      <w:r>
        <w:rPr>
          <w:sz w:val="22"/>
          <w:szCs w:val="22"/>
        </w:rPr>
        <w:t>Zarkou</w:t>
      </w:r>
      <w:proofErr w:type="spellEnd"/>
      <w:r w:rsidR="009D622A" w:rsidRPr="0044227B">
        <w:rPr>
          <w:sz w:val="22"/>
          <w:szCs w:val="22"/>
        </w:rPr>
        <w:t xml:space="preserve"> will </w:t>
      </w:r>
      <w:r w:rsidR="00664B21" w:rsidRPr="0044227B">
        <w:rPr>
          <w:sz w:val="22"/>
          <w:szCs w:val="22"/>
        </w:rPr>
        <w:t xml:space="preserve">also </w:t>
      </w:r>
      <w:r w:rsidR="009D622A" w:rsidRPr="0044227B">
        <w:rPr>
          <w:sz w:val="22"/>
          <w:szCs w:val="22"/>
        </w:rPr>
        <w:t xml:space="preserve">be responsible for auditing the database and confirming the overall integrity of the data. </w:t>
      </w:r>
      <w:r w:rsidR="009F046C">
        <w:rPr>
          <w:sz w:val="22"/>
          <w:szCs w:val="22"/>
        </w:rPr>
        <w:t>Sh</w:t>
      </w:r>
      <w:r w:rsidR="00664B21" w:rsidRPr="0044227B">
        <w:rPr>
          <w:sz w:val="22"/>
          <w:szCs w:val="22"/>
        </w:rPr>
        <w:t xml:space="preserve">e </w:t>
      </w:r>
      <w:r w:rsidR="009D622A" w:rsidRPr="0044227B">
        <w:rPr>
          <w:sz w:val="22"/>
          <w:szCs w:val="22"/>
        </w:rPr>
        <w:t>will ensure that all information pertaining to significant new developments and unanticipated adverse events are provided to the appropria</w:t>
      </w:r>
      <w:r w:rsidR="00B91B8A">
        <w:rPr>
          <w:sz w:val="22"/>
          <w:szCs w:val="22"/>
        </w:rPr>
        <w:t>te regulatory authorities, the i</w:t>
      </w:r>
      <w:r w:rsidR="009D622A" w:rsidRPr="0044227B">
        <w:rPr>
          <w:sz w:val="22"/>
          <w:szCs w:val="22"/>
        </w:rPr>
        <w:t xml:space="preserve">nvestigators, and to the </w:t>
      </w:r>
      <w:r w:rsidR="00F45A1A" w:rsidRPr="0044227B">
        <w:rPr>
          <w:sz w:val="22"/>
          <w:szCs w:val="22"/>
        </w:rPr>
        <w:t>IRB</w:t>
      </w:r>
      <w:r w:rsidR="009D622A" w:rsidRPr="0044227B">
        <w:rPr>
          <w:sz w:val="22"/>
          <w:szCs w:val="22"/>
        </w:rPr>
        <w:t>.</w:t>
      </w:r>
    </w:p>
    <w:p w14:paraId="02C07117" w14:textId="77777777" w:rsidR="008840C5" w:rsidRPr="0044227B" w:rsidRDefault="008840C5" w:rsidP="004F43E2">
      <w:pPr>
        <w:pStyle w:val="BodyTextIndent2"/>
        <w:ind w:left="1440"/>
        <w:rPr>
          <w:sz w:val="22"/>
          <w:szCs w:val="22"/>
        </w:rPr>
      </w:pPr>
    </w:p>
    <w:p w14:paraId="2BBF36BB" w14:textId="77777777" w:rsidR="008840C5" w:rsidRPr="0044227B" w:rsidRDefault="008840C5" w:rsidP="004F43E2">
      <w:pPr>
        <w:pStyle w:val="BodyTextIndent2"/>
        <w:ind w:left="1440" w:firstLine="720"/>
        <w:jc w:val="both"/>
        <w:rPr>
          <w:sz w:val="22"/>
          <w:szCs w:val="22"/>
        </w:rPr>
      </w:pPr>
      <w:r w:rsidRPr="0044227B">
        <w:rPr>
          <w:sz w:val="22"/>
          <w:szCs w:val="22"/>
        </w:rPr>
        <w:t xml:space="preserve">Monitoring of the study will be conducted at regular intervals in order to </w:t>
      </w:r>
      <w:r w:rsidR="003B4D2A" w:rsidRPr="0044227B">
        <w:rPr>
          <w:sz w:val="22"/>
          <w:szCs w:val="22"/>
        </w:rPr>
        <w:t xml:space="preserve">ensure proper </w:t>
      </w:r>
      <w:r w:rsidRPr="0044227B">
        <w:rPr>
          <w:sz w:val="22"/>
          <w:szCs w:val="22"/>
        </w:rPr>
        <w:t xml:space="preserve">study </w:t>
      </w:r>
      <w:r w:rsidR="003B4D2A" w:rsidRPr="0044227B">
        <w:rPr>
          <w:sz w:val="22"/>
          <w:szCs w:val="22"/>
        </w:rPr>
        <w:t xml:space="preserve">operations </w:t>
      </w:r>
      <w:r w:rsidRPr="0044227B">
        <w:rPr>
          <w:sz w:val="22"/>
          <w:szCs w:val="22"/>
        </w:rPr>
        <w:t>and maintain Good Clinical Research Practice. These inspections are conducted in order to verify adherence to the protocol and the completeness and accuracy of the d</w:t>
      </w:r>
      <w:r w:rsidR="006B19D1" w:rsidRPr="0044227B">
        <w:rPr>
          <w:sz w:val="22"/>
          <w:szCs w:val="22"/>
        </w:rPr>
        <w:t>a</w:t>
      </w:r>
      <w:r w:rsidRPr="0044227B">
        <w:rPr>
          <w:sz w:val="22"/>
          <w:szCs w:val="22"/>
        </w:rPr>
        <w:t>ta being entered into the eCRF.</w:t>
      </w:r>
    </w:p>
    <w:p w14:paraId="61A36054" w14:textId="77777777" w:rsidR="009D622A" w:rsidRPr="0044227B" w:rsidRDefault="009D622A" w:rsidP="004F43E2">
      <w:pPr>
        <w:ind w:left="1440"/>
        <w:rPr>
          <w:sz w:val="22"/>
          <w:szCs w:val="22"/>
        </w:rPr>
      </w:pPr>
    </w:p>
    <w:p w14:paraId="53B3506E" w14:textId="77777777" w:rsidR="009D622A" w:rsidRPr="00440A91" w:rsidRDefault="009D622A">
      <w:pPr>
        <w:ind w:left="720"/>
        <w:rPr>
          <w:b/>
          <w:sz w:val="22"/>
          <w:szCs w:val="22"/>
        </w:rPr>
      </w:pPr>
      <w:r w:rsidRPr="00440A91">
        <w:rPr>
          <w:b/>
          <w:sz w:val="22"/>
          <w:szCs w:val="22"/>
        </w:rPr>
        <w:t>6.0</w:t>
      </w:r>
      <w:r w:rsidRPr="00440A91">
        <w:rPr>
          <w:b/>
          <w:sz w:val="22"/>
          <w:szCs w:val="22"/>
        </w:rPr>
        <w:tab/>
        <w:t>Statistical Considerations</w:t>
      </w:r>
    </w:p>
    <w:p w14:paraId="2121649A" w14:textId="77777777" w:rsidR="009D622A" w:rsidRPr="00440A91" w:rsidRDefault="009D622A">
      <w:pPr>
        <w:pStyle w:val="BodyText"/>
        <w:ind w:left="720"/>
        <w:rPr>
          <w:sz w:val="22"/>
          <w:szCs w:val="22"/>
        </w:rPr>
      </w:pPr>
    </w:p>
    <w:p w14:paraId="191D3D37" w14:textId="77777777" w:rsidR="006255A9" w:rsidRPr="00440A91" w:rsidRDefault="009D622A">
      <w:pPr>
        <w:pStyle w:val="BodyText"/>
        <w:ind w:left="1440"/>
        <w:rPr>
          <w:b/>
          <w:sz w:val="22"/>
          <w:szCs w:val="22"/>
        </w:rPr>
      </w:pPr>
      <w:proofErr w:type="gramStart"/>
      <w:r w:rsidRPr="00440A91">
        <w:rPr>
          <w:b/>
          <w:sz w:val="22"/>
          <w:szCs w:val="22"/>
        </w:rPr>
        <w:t xml:space="preserve">6.1  </w:t>
      </w:r>
      <w:r w:rsidRPr="00440A91">
        <w:rPr>
          <w:b/>
          <w:sz w:val="22"/>
          <w:szCs w:val="22"/>
        </w:rPr>
        <w:tab/>
      </w:r>
      <w:proofErr w:type="gramEnd"/>
      <w:r w:rsidRPr="00440A91">
        <w:rPr>
          <w:b/>
          <w:sz w:val="22"/>
          <w:szCs w:val="22"/>
        </w:rPr>
        <w:t>Statistical A</w:t>
      </w:r>
      <w:r w:rsidR="00440A91" w:rsidRPr="00440A91">
        <w:rPr>
          <w:b/>
          <w:sz w:val="22"/>
          <w:szCs w:val="22"/>
        </w:rPr>
        <w:t>nalyses</w:t>
      </w:r>
    </w:p>
    <w:p w14:paraId="11C23595" w14:textId="77777777" w:rsidR="004F43E2" w:rsidRPr="004F43E2" w:rsidRDefault="004F43E2" w:rsidP="004F43E2">
      <w:pPr>
        <w:pStyle w:val="ListParagraph"/>
        <w:tabs>
          <w:tab w:val="left" w:pos="360"/>
        </w:tabs>
        <w:ind w:left="1440"/>
        <w:jc w:val="both"/>
        <w:rPr>
          <w:rFonts w:cs="Arial"/>
          <w:sz w:val="22"/>
          <w:szCs w:val="22"/>
        </w:rPr>
      </w:pPr>
      <w:r>
        <w:rPr>
          <w:rFonts w:cs="Arial"/>
          <w:sz w:val="22"/>
          <w:szCs w:val="22"/>
        </w:rPr>
        <w:tab/>
      </w:r>
      <w:r w:rsidRPr="004F43E2">
        <w:rPr>
          <w:rFonts w:cs="Arial"/>
          <w:sz w:val="22"/>
          <w:szCs w:val="22"/>
        </w:rPr>
        <w:t xml:space="preserve">All data will be analyzed using SPSS (SPSS Inc., Chicago. IL, USA) with the level of significance set at p&lt; 0.05. Pearson correlation coefficient will be computed to examine the relationship between </w:t>
      </w:r>
      <w:proofErr w:type="spellStart"/>
      <w:r w:rsidRPr="004F43E2">
        <w:rPr>
          <w:rFonts w:cs="Arial"/>
          <w:sz w:val="22"/>
          <w:szCs w:val="22"/>
        </w:rPr>
        <w:t>rNSA</w:t>
      </w:r>
      <w:proofErr w:type="spellEnd"/>
      <w:r w:rsidRPr="004F43E2">
        <w:rPr>
          <w:rFonts w:cs="Arial"/>
          <w:sz w:val="22"/>
          <w:szCs w:val="22"/>
        </w:rPr>
        <w:t xml:space="preserve"> and sensation subtests of GRASSP and establish the validity of the </w:t>
      </w:r>
      <w:proofErr w:type="spellStart"/>
      <w:r w:rsidRPr="004F43E2">
        <w:rPr>
          <w:rFonts w:cs="Arial"/>
          <w:sz w:val="22"/>
          <w:szCs w:val="22"/>
        </w:rPr>
        <w:t>rNSA</w:t>
      </w:r>
      <w:proofErr w:type="spellEnd"/>
      <w:r w:rsidRPr="004F43E2">
        <w:rPr>
          <w:rFonts w:cs="Arial"/>
          <w:sz w:val="22"/>
          <w:szCs w:val="22"/>
        </w:rPr>
        <w:t xml:space="preserve"> in individuals with SCI.</w:t>
      </w:r>
    </w:p>
    <w:p w14:paraId="628E5D5C" w14:textId="77777777" w:rsidR="00CC52F1" w:rsidRPr="00806D8F" w:rsidRDefault="004F43E2" w:rsidP="00806D8F">
      <w:pPr>
        <w:pStyle w:val="ListParagraph"/>
        <w:tabs>
          <w:tab w:val="left" w:pos="360"/>
        </w:tabs>
        <w:ind w:left="1440"/>
        <w:jc w:val="both"/>
        <w:rPr>
          <w:rFonts w:cs="Arial"/>
          <w:sz w:val="22"/>
          <w:szCs w:val="22"/>
        </w:rPr>
      </w:pPr>
      <w:r>
        <w:rPr>
          <w:rFonts w:cs="Arial"/>
          <w:sz w:val="22"/>
          <w:szCs w:val="22"/>
        </w:rPr>
        <w:tab/>
      </w:r>
      <w:r w:rsidRPr="004F43E2">
        <w:rPr>
          <w:rFonts w:cs="Arial"/>
          <w:sz w:val="22"/>
          <w:szCs w:val="22"/>
        </w:rPr>
        <w:t xml:space="preserve">To investigate the efficacy of a combined </w:t>
      </w:r>
      <w:r w:rsidR="002603BC">
        <w:rPr>
          <w:rFonts w:cs="Arial"/>
          <w:sz w:val="22"/>
          <w:szCs w:val="22"/>
        </w:rPr>
        <w:t xml:space="preserve">NIBS and </w:t>
      </w:r>
      <w:r w:rsidRPr="004F43E2">
        <w:rPr>
          <w:rFonts w:cs="Arial"/>
          <w:sz w:val="22"/>
          <w:szCs w:val="22"/>
        </w:rPr>
        <w:t xml:space="preserve">FMT protocol compared to </w:t>
      </w:r>
      <w:proofErr w:type="spellStart"/>
      <w:r w:rsidRPr="004F43E2">
        <w:rPr>
          <w:rFonts w:cs="Arial"/>
          <w:sz w:val="22"/>
          <w:szCs w:val="22"/>
        </w:rPr>
        <w:t>sham-t</w:t>
      </w:r>
      <w:r w:rsidR="002603BC">
        <w:rPr>
          <w:rFonts w:cs="Arial"/>
          <w:sz w:val="22"/>
          <w:szCs w:val="22"/>
        </w:rPr>
        <w:t>DCS</w:t>
      </w:r>
      <w:r w:rsidRPr="004F43E2">
        <w:rPr>
          <w:rFonts w:cs="Arial"/>
          <w:sz w:val="22"/>
          <w:szCs w:val="22"/>
        </w:rPr>
        <w:t>+FMT</w:t>
      </w:r>
      <w:proofErr w:type="spellEnd"/>
      <w:r w:rsidRPr="004F43E2">
        <w:rPr>
          <w:rFonts w:cs="Arial"/>
          <w:sz w:val="22"/>
          <w:szCs w:val="22"/>
        </w:rPr>
        <w:t xml:space="preserve"> protocol on cortical excitability, motor and sensory function, all the outcome measures of interest will be examined separately by a two-way repeated measures ANOVA with 2 within factors (time: baseline testing, post testing week 1, post testing week 2; intervention: </w:t>
      </w:r>
      <w:proofErr w:type="spellStart"/>
      <w:r w:rsidRPr="004F43E2">
        <w:rPr>
          <w:rFonts w:cs="Arial"/>
          <w:sz w:val="22"/>
          <w:szCs w:val="22"/>
        </w:rPr>
        <w:t>tRNS+FMT</w:t>
      </w:r>
      <w:proofErr w:type="spellEnd"/>
      <w:r w:rsidR="002603BC">
        <w:rPr>
          <w:rFonts w:cs="Arial"/>
          <w:sz w:val="22"/>
          <w:szCs w:val="22"/>
        </w:rPr>
        <w:t xml:space="preserve"> </w:t>
      </w:r>
      <w:r w:rsidR="002603BC" w:rsidRPr="00B71045">
        <w:rPr>
          <w:rFonts w:cs="Arial"/>
          <w:sz w:val="22"/>
          <w:szCs w:val="22"/>
          <w:u w:val="single"/>
        </w:rPr>
        <w:t>or</w:t>
      </w:r>
      <w:r w:rsidR="002603BC">
        <w:rPr>
          <w:rFonts w:cs="Arial"/>
          <w:sz w:val="22"/>
          <w:szCs w:val="22"/>
        </w:rPr>
        <w:t xml:space="preserve"> </w:t>
      </w:r>
      <w:proofErr w:type="spellStart"/>
      <w:r w:rsidR="002603BC">
        <w:rPr>
          <w:rFonts w:cs="Arial"/>
          <w:sz w:val="22"/>
          <w:szCs w:val="22"/>
        </w:rPr>
        <w:t>tDCS+FMT</w:t>
      </w:r>
      <w:proofErr w:type="spellEnd"/>
      <w:r w:rsidR="002603BC">
        <w:rPr>
          <w:rFonts w:cs="Arial"/>
          <w:sz w:val="22"/>
          <w:szCs w:val="22"/>
        </w:rPr>
        <w:t>,</w:t>
      </w:r>
      <w:r w:rsidRPr="004F43E2">
        <w:rPr>
          <w:rFonts w:cs="Arial"/>
          <w:sz w:val="22"/>
          <w:szCs w:val="22"/>
        </w:rPr>
        <w:t xml:space="preserve"> </w:t>
      </w:r>
      <w:r w:rsidR="002603BC" w:rsidRPr="00B71045">
        <w:rPr>
          <w:rFonts w:cs="Arial"/>
          <w:sz w:val="22"/>
          <w:szCs w:val="22"/>
          <w:u w:val="single"/>
        </w:rPr>
        <w:t>and</w:t>
      </w:r>
      <w:r w:rsidR="002603BC">
        <w:rPr>
          <w:rFonts w:cs="Arial"/>
          <w:sz w:val="22"/>
          <w:szCs w:val="22"/>
        </w:rPr>
        <w:t xml:space="preserve"> </w:t>
      </w:r>
      <w:proofErr w:type="spellStart"/>
      <w:r w:rsidRPr="004F43E2">
        <w:rPr>
          <w:rFonts w:cs="Arial"/>
          <w:sz w:val="22"/>
          <w:szCs w:val="22"/>
        </w:rPr>
        <w:t>sham-t</w:t>
      </w:r>
      <w:r w:rsidR="002603BC">
        <w:rPr>
          <w:rFonts w:cs="Arial"/>
          <w:sz w:val="22"/>
          <w:szCs w:val="22"/>
        </w:rPr>
        <w:t>DCS</w:t>
      </w:r>
      <w:r w:rsidRPr="004F43E2">
        <w:rPr>
          <w:rFonts w:cs="Arial"/>
          <w:sz w:val="22"/>
          <w:szCs w:val="22"/>
        </w:rPr>
        <w:t>+FMT</w:t>
      </w:r>
      <w:proofErr w:type="spellEnd"/>
      <w:r w:rsidRPr="004F43E2">
        <w:rPr>
          <w:rFonts w:cs="Arial"/>
          <w:sz w:val="22"/>
          <w:szCs w:val="22"/>
        </w:rPr>
        <w:t>). Post-hoc analysis will include paired t-tests corrected for multiple comparisons.</w:t>
      </w:r>
      <w:r w:rsidR="002603BC">
        <w:rPr>
          <w:rFonts w:cs="Arial"/>
          <w:sz w:val="22"/>
          <w:szCs w:val="22"/>
        </w:rPr>
        <w:t xml:space="preserve"> To investigate if </w:t>
      </w:r>
      <w:proofErr w:type="spellStart"/>
      <w:r w:rsidR="002603BC">
        <w:rPr>
          <w:rFonts w:cs="Arial"/>
          <w:sz w:val="22"/>
          <w:szCs w:val="22"/>
        </w:rPr>
        <w:t>tRNS</w:t>
      </w:r>
      <w:proofErr w:type="spellEnd"/>
      <w:r w:rsidR="002603BC">
        <w:rPr>
          <w:rFonts w:cs="Arial"/>
          <w:sz w:val="22"/>
          <w:szCs w:val="22"/>
        </w:rPr>
        <w:t xml:space="preserve"> </w:t>
      </w:r>
      <w:r w:rsidR="00111184">
        <w:rPr>
          <w:rFonts w:cs="Arial"/>
          <w:sz w:val="22"/>
          <w:szCs w:val="22"/>
        </w:rPr>
        <w:t xml:space="preserve">results in greater improvements compared to </w:t>
      </w:r>
      <w:proofErr w:type="spellStart"/>
      <w:r w:rsidR="00111184">
        <w:rPr>
          <w:rFonts w:cs="Arial"/>
          <w:sz w:val="22"/>
          <w:szCs w:val="22"/>
        </w:rPr>
        <w:t>tDCS</w:t>
      </w:r>
      <w:proofErr w:type="spellEnd"/>
      <w:r w:rsidR="00111184">
        <w:rPr>
          <w:rFonts w:cs="Arial"/>
          <w:sz w:val="22"/>
          <w:szCs w:val="22"/>
        </w:rPr>
        <w:t xml:space="preserve"> when combined with FMT</w:t>
      </w:r>
      <w:r w:rsidRPr="004F43E2">
        <w:rPr>
          <w:rFonts w:cs="Arial"/>
          <w:sz w:val="22"/>
          <w:szCs w:val="22"/>
        </w:rPr>
        <w:t>, separate 2 x 2 mixed model repeated measures ANOVA with time (baseline testing, post testing week 1, post testing week 2) as the within-subjects factor and group (</w:t>
      </w:r>
      <w:proofErr w:type="spellStart"/>
      <w:r w:rsidRPr="004F43E2">
        <w:rPr>
          <w:rFonts w:cs="Arial"/>
          <w:sz w:val="22"/>
          <w:szCs w:val="22"/>
        </w:rPr>
        <w:t>tRNS</w:t>
      </w:r>
      <w:r w:rsidR="002603BC">
        <w:rPr>
          <w:rFonts w:cs="Arial"/>
          <w:sz w:val="22"/>
          <w:szCs w:val="22"/>
        </w:rPr>
        <w:t>+FMT</w:t>
      </w:r>
      <w:proofErr w:type="spellEnd"/>
      <w:r w:rsidR="002603BC">
        <w:rPr>
          <w:rFonts w:cs="Arial"/>
          <w:sz w:val="22"/>
          <w:szCs w:val="22"/>
        </w:rPr>
        <w:t xml:space="preserve">, </w:t>
      </w:r>
      <w:proofErr w:type="spellStart"/>
      <w:r w:rsidR="002603BC">
        <w:rPr>
          <w:rFonts w:cs="Arial"/>
          <w:sz w:val="22"/>
          <w:szCs w:val="22"/>
        </w:rPr>
        <w:t>tDCS+FMT</w:t>
      </w:r>
      <w:proofErr w:type="spellEnd"/>
      <w:r w:rsidR="00111184">
        <w:rPr>
          <w:rFonts w:cs="Arial"/>
          <w:sz w:val="22"/>
          <w:szCs w:val="22"/>
        </w:rPr>
        <w:t>)</w:t>
      </w:r>
      <w:r w:rsidRPr="004F43E2">
        <w:rPr>
          <w:rFonts w:cs="Arial"/>
          <w:sz w:val="22"/>
          <w:szCs w:val="22"/>
        </w:rPr>
        <w:t xml:space="preserve"> as the between-subjects factor will be performed for the outcome measures of interest. Paired and unpaired t-tests will be performed for post-hoc analysis. We will also report effect size</w:t>
      </w:r>
      <w:r>
        <w:rPr>
          <w:rFonts w:cs="Arial"/>
          <w:sz w:val="22"/>
          <w:szCs w:val="22"/>
        </w:rPr>
        <w:t>s for all outcome measures.</w:t>
      </w:r>
    </w:p>
    <w:p w14:paraId="0AA07029" w14:textId="77777777" w:rsidR="00045949" w:rsidRPr="001B7585" w:rsidRDefault="00045949" w:rsidP="00045949">
      <w:pPr>
        <w:pStyle w:val="ListParagraph"/>
        <w:tabs>
          <w:tab w:val="left" w:pos="360"/>
          <w:tab w:val="left" w:pos="2088"/>
        </w:tabs>
        <w:ind w:left="2088"/>
        <w:rPr>
          <w:rFonts w:cs="Arial"/>
          <w:sz w:val="22"/>
          <w:szCs w:val="22"/>
        </w:rPr>
      </w:pPr>
    </w:p>
    <w:p w14:paraId="47FB9149" w14:textId="77777777" w:rsidR="006204E2" w:rsidRPr="00481C73" w:rsidRDefault="009D622A">
      <w:pPr>
        <w:ind w:left="1440"/>
        <w:rPr>
          <w:b/>
          <w:sz w:val="22"/>
          <w:szCs w:val="22"/>
        </w:rPr>
      </w:pPr>
      <w:r w:rsidRPr="00481C73">
        <w:rPr>
          <w:b/>
          <w:sz w:val="22"/>
          <w:szCs w:val="22"/>
        </w:rPr>
        <w:t>6.2</w:t>
      </w:r>
      <w:r w:rsidRPr="00481C73">
        <w:rPr>
          <w:b/>
          <w:sz w:val="22"/>
          <w:szCs w:val="22"/>
        </w:rPr>
        <w:tab/>
        <w:t>Sample Size</w:t>
      </w:r>
    </w:p>
    <w:p w14:paraId="190186CC" w14:textId="77777777" w:rsidR="004F43E2" w:rsidRPr="004F43E2" w:rsidRDefault="004F43E2" w:rsidP="004F43E2">
      <w:pPr>
        <w:autoSpaceDE w:val="0"/>
        <w:autoSpaceDN w:val="0"/>
        <w:adjustRightInd w:val="0"/>
        <w:ind w:left="1440" w:firstLine="720"/>
        <w:jc w:val="both"/>
        <w:rPr>
          <w:sz w:val="22"/>
        </w:rPr>
      </w:pPr>
      <w:r w:rsidRPr="004F43E2">
        <w:rPr>
          <w:bCs/>
          <w:sz w:val="22"/>
        </w:rPr>
        <w:t xml:space="preserve">Published recommendations in rehabilitation research suggest that a well-designed pilot study is important to produce preliminary data and provide an estimate of the variance that can be used in a formal sample size calculation when planning for a subsequent larger study </w:t>
      </w:r>
      <w:r w:rsidRPr="004F43E2">
        <w:rPr>
          <w:bCs/>
          <w:sz w:val="22"/>
        </w:rPr>
        <w:fldChar w:fldCharType="begin" w:fldLock="1"/>
      </w:r>
      <w:r w:rsidR="00EA06E5">
        <w:rPr>
          <w:bCs/>
          <w:sz w:val="22"/>
        </w:rPr>
        <w:instrText>ADDIN CSL_CITATION {"citationItems":[{"id":"ITEM-1","itemData":{"DOI":"10.1111/j.1752-8062.2011.00347.x","ISSN":"1752-8062","PMID":"22029804","abstract":"Advances in clinical and translation science are facilitated by building on prior knowledge gained through experimentation and observation. In the context of drug development, preclinical studies are followed by a progression of phase I through phase IV clinical trials. At each step, the study design and statistical strategies are framed around research questions that are prerequisites for the next phase. In other types of biomedical research, pilot studies are used for gathering preliminary support for the next research step. However, the phrase \"pilot study\" is liberally applied to projects with little or no funding, characteristic of studies with poorly developed research proposals, and usually conducted with no detailed thought of the subsequent study. In this article, we present a rigorous definition of a pilot study, offer recommendations for the design, analysis and sample size justification of pilot studies in clinical and translational research, and emphasize the important role that well-designed pilot studies play in the advancement of science and scientific careers.","author":[{"dropping-particle":"","family":"Moore","given":"Charity G","non-dropping-particle":"","parse-names":false,"suffix":""},{"dropping-particle":"","family":"Carter","given":"Rickey E","non-dropping-particle":"","parse-names":false,"suffix":""},{"dropping-particle":"","family":"Nietert","given":"Paul J","non-dropping-particle":"","parse-names":false,"suffix":""},{"dropping-particle":"","family":"Stewart","given":"Paul W","non-dropping-particle":"","parse-names":false,"suffix":""}],"container-title":"Clinical and translational science","id":"ITEM-1","issue":"5","issued":{"date-parts":[["2011","10"]]},"page":"332-7","title":"Recommendations for planning pilot studies in clinical and translational research.","type":"article-journal","volume":"4"},"uris":["http://www.mendeley.com/documents/?uuid=5fdc948e-58d2-300a-92c8-f179ab947dd2"]},{"id":"ITEM-2","itemData":{"DOI":"10.1002/pst.185","ISSN":"1539-1604","author":[{"dropping-particle":"","family":"Julious","given":"Steven A.","non-dropping-particle":"","parse-names":false,"suffix":""}],"container-title":"Pharmaceutical Statistics","id":"ITEM-2","issue":"4","issued":{"date-parts":[["2005","10"]]},"page":"287-291","publisher":"Wiley-Blackwell","title":"Sample size of 12 per group rule of thumb for a pilot study","type":"article-journal","volume":"4"},"uris":["http://www.mendeley.com/documents/?uuid=7727ebcf-7ba3-3e29-89e1-faf79b9377a8"]},{"id":"ITEM-3","itemData":{"DOI":"10.1177/1545968309331863","ISSN":"1545-9683","PMID":"19240197","abstract":"Based on the suboptimal research pathways that finally led to multicenter randomized clinical trials (MRCTs) of treadmill training with partial body weight support and of robotic assistive devices, strategically planned successive stages are proposed for pilot studies of novel rehabilitation interventions. Stage 1, consideration-of-concept studies, drawn from animal experiments, theories, and observations, delineate the experimental intervention in a small convenience sample of participants, so the results must be interpreted with caution. Stage 2, development-of-concept pilots, should optimize the components of the intervention, settle on most appropriate outcome measures, and examine dose-response effects. A well-designed study that reveals no efficacy should be published to counterweight the confirmation bias of positive trials. Stage 3, demonstration-of-concept pilots, can build out from what has been learned to test at least 15 participants in each arm, using random assignment and blinded outcome measures. A control group should receive an active practice intervention aimed at the same primary outcome. A third arm could receive a substantially larger dose of the experimental therapy or a combinational intervention. If only 1 site performed this trial, a different investigative group should aim to reproduce positive outcomes based on the optimal dose of motor training. Stage 3 studies ought to suggest an effect size of 0.4 or higher, so that approximately 50 participants in each arm will be the number required to test for efficacy in a stage 4, proof-of-concept MRCT. By developing a consensus around acceptable and necessary practices for each stage, similar to CONSORT recommendations for the publication of phase III clinical trials, better quality pilot studies may move quickly into better designed and more successful MRCTs of experimental interventions.","author":[{"dropping-particle":"","family":"Dobkin","given":"Bruce H","non-dropping-particle":"","parse-names":false,"suffix":""}],"container-title":"Neurorehabilitation and neural repair","id":"ITEM-3","issue":"3","issued":{"date-parts":[["2009","3","30"]]},"page":"197-206","title":"Progressive Staging of Pilot Studies to Improve Phase III Trials for Motor Interventions.","type":"article-journal","volume":"23"},"uris":["http://www.mendeley.com/documents/?uuid=fd6ce53c-27ff-3053-aef3-bf0263137890"]}],"mendeley":{"formattedCitation":"[32–34]","plainTextFormattedCitation":"[32–34]","previouslyFormattedCitation":"[32–34]"},"properties":{"noteIndex":0},"schema":"https://github.com/citation-style-language/schema/raw/master/csl-citation.json"}</w:instrText>
      </w:r>
      <w:r w:rsidRPr="004F43E2">
        <w:rPr>
          <w:bCs/>
          <w:sz w:val="22"/>
        </w:rPr>
        <w:fldChar w:fldCharType="separate"/>
      </w:r>
      <w:r w:rsidR="00EA06E5" w:rsidRPr="00EA06E5">
        <w:rPr>
          <w:bCs/>
          <w:noProof/>
          <w:sz w:val="22"/>
        </w:rPr>
        <w:t>[32–34]</w:t>
      </w:r>
      <w:r w:rsidRPr="004F43E2">
        <w:rPr>
          <w:sz w:val="22"/>
        </w:rPr>
        <w:fldChar w:fldCharType="end"/>
      </w:r>
      <w:r w:rsidRPr="004F43E2">
        <w:rPr>
          <w:bCs/>
          <w:sz w:val="22"/>
        </w:rPr>
        <w:t>.</w:t>
      </w:r>
      <w:r w:rsidRPr="004F43E2">
        <w:rPr>
          <w:b/>
          <w:bCs/>
          <w:sz w:val="22"/>
        </w:rPr>
        <w:t xml:space="preserve"> </w:t>
      </w:r>
      <w:r w:rsidRPr="004F43E2">
        <w:rPr>
          <w:sz w:val="22"/>
        </w:rPr>
        <w:t xml:space="preserve">The literature suggests that a sample size of 12 individuals per group is appropriate since it allows for precise estimation of mean values and variability. Further increase in N does not make any profound difference in sample estimations while any precision gains are outweighed by practicalities regarding recruitment and funding limitations </w:t>
      </w:r>
      <w:r w:rsidRPr="004F43E2">
        <w:rPr>
          <w:sz w:val="22"/>
        </w:rPr>
        <w:fldChar w:fldCharType="begin" w:fldLock="1"/>
      </w:r>
      <w:r w:rsidR="00EA06E5">
        <w:rPr>
          <w:sz w:val="22"/>
        </w:rPr>
        <w:instrText>ADDIN CSL_CITATION {"citationItems":[{"id":"ITEM-1","itemData":{"DOI":"10.1111/j.1752-8062.2011.00347.x","ISSN":"1752-8062","PMID":"22029804","abstract":"Advances in clinical and translation science are facilitated by building on prior knowledge gained through experimentation and observation. In the context of drug development, preclinical studies are followed by a progression of phase I through phase IV clinical trials. At each step, the study design and statistical strategies are framed around research questions that are prerequisites for the next phase. In other types of biomedical research, pilot studies are used for gathering preliminary support for the next research step. However, the phrase \"pilot study\" is liberally applied to projects with little or no funding, characteristic of studies with poorly developed research proposals, and usually conducted with no detailed thought of the subsequent study. In this article, we present a rigorous definition of a pilot study, offer recommendations for the design, analysis and sample size justification of pilot studies in clinical and translational research, and emphasize the important role that well-designed pilot studies play in the advancement of science and scientific careers.","author":[{"dropping-particle":"","family":"Moore","given":"Charity G","non-dropping-particle":"","parse-names":false,"suffix":""},{"dropping-particle":"","family":"Carter","given":"Rickey E","non-dropping-particle":"","parse-names":false,"suffix":""},{"dropping-particle":"","family":"Nietert","given":"Paul J","non-dropping-particle":"","parse-names":false,"suffix":""},{"dropping-particle":"","family":"Stewart","given":"Paul W","non-dropping-particle":"","parse-names":false,"suffix":""}],"container-title":"Clinical and translational science","id":"ITEM-1","issue":"5","issued":{"date-parts":[["2011","10"]]},"page":"332-7","title":"Recommendations for planning pilot studies in clinical and translational research.","type":"article-journal","volume":"4"},"uris":["http://www.mendeley.com/documents/?uuid=5fdc948e-58d2-300a-92c8-f179ab947dd2"]}],"mendeley":{"formattedCitation":"[32]","plainTextFormattedCitation":"[32]","previouslyFormattedCitation":"[32]"},"properties":{"noteIndex":0},"schema":"https://github.com/citation-style-language/schema/raw/master/csl-citation.json"}</w:instrText>
      </w:r>
      <w:r w:rsidRPr="004F43E2">
        <w:rPr>
          <w:sz w:val="22"/>
        </w:rPr>
        <w:fldChar w:fldCharType="separate"/>
      </w:r>
      <w:r w:rsidR="00EA06E5" w:rsidRPr="00EA06E5">
        <w:rPr>
          <w:noProof/>
          <w:sz w:val="22"/>
        </w:rPr>
        <w:t>[32]</w:t>
      </w:r>
      <w:r w:rsidRPr="004F43E2">
        <w:rPr>
          <w:sz w:val="22"/>
        </w:rPr>
        <w:fldChar w:fldCharType="end"/>
      </w:r>
      <w:r w:rsidRPr="004F43E2">
        <w:rPr>
          <w:sz w:val="22"/>
        </w:rPr>
        <w:t xml:space="preserve">. Therefore, in the proposed pilot study we plan to enroll a total of 24 individuals with tetraplegia (12 per stimulation group) </w:t>
      </w:r>
      <w:r w:rsidRPr="004F43E2">
        <w:rPr>
          <w:bCs/>
          <w:sz w:val="22"/>
        </w:rPr>
        <w:t xml:space="preserve">to investigate the efficacious effect of a combined </w:t>
      </w:r>
      <w:proofErr w:type="spellStart"/>
      <w:r w:rsidRPr="004F43E2">
        <w:rPr>
          <w:bCs/>
          <w:sz w:val="22"/>
        </w:rPr>
        <w:t>tRNS</w:t>
      </w:r>
      <w:proofErr w:type="spellEnd"/>
      <w:r w:rsidRPr="004F43E2">
        <w:rPr>
          <w:bCs/>
          <w:sz w:val="22"/>
        </w:rPr>
        <w:t xml:space="preserve">+ FMT protocol on UE function. </w:t>
      </w:r>
      <w:r w:rsidRPr="004F43E2">
        <w:rPr>
          <w:sz w:val="22"/>
        </w:rPr>
        <w:t xml:space="preserve">Using a sample size of 24, an alpha of 0.05 and a power of 0.80, we anticipate an effect size of </w:t>
      </w:r>
      <w:r w:rsidRPr="004F43E2">
        <w:rPr>
          <w:sz w:val="22"/>
        </w:rPr>
        <w:lastRenderedPageBreak/>
        <w:t xml:space="preserve">0.59. This effect size is higher than 0.4 that has been recommended to be meaningful in clinical trials </w:t>
      </w:r>
      <w:r w:rsidRPr="004F43E2">
        <w:rPr>
          <w:sz w:val="22"/>
        </w:rPr>
        <w:fldChar w:fldCharType="begin" w:fldLock="1"/>
      </w:r>
      <w:r w:rsidR="00EA06E5">
        <w:rPr>
          <w:sz w:val="22"/>
        </w:rPr>
        <w:instrText>ADDIN CSL_CITATION {"citationItems":[{"id":"ITEM-1","itemData":{"DOI":"10.1177/1545968309331863","ISSN":"1545-9683","PMID":"19240197","abstract":"Based on the suboptimal research pathways that finally led to multicenter randomized clinical trials (MRCTs) of treadmill training with partial body weight support and of robotic assistive devices, strategically planned successive stages are proposed for pilot studies of novel rehabilitation interventions. Stage 1, consideration-of-concept studies, drawn from animal experiments, theories, and observations, delineate the experimental intervention in a small convenience sample of participants, so the results must be interpreted with caution. Stage 2, development-of-concept pilots, should optimize the components of the intervention, settle on most appropriate outcome measures, and examine dose-response effects. A well-designed study that reveals no efficacy should be published to counterweight the confirmation bias of positive trials. Stage 3, demonstration-of-concept pilots, can build out from what has been learned to test at least 15 participants in each arm, using random assignment and blinded outcome measures. A control group should receive an active practice intervention aimed at the same primary outcome. A third arm could receive a substantially larger dose of the experimental therapy or a combinational intervention. If only 1 site performed this trial, a different investigative group should aim to reproduce positive outcomes based on the optimal dose of motor training. Stage 3 studies ought to suggest an effect size of 0.4 or higher, so that approximately 50 participants in each arm will be the number required to test for efficacy in a stage 4, proof-of-concept MRCT. By developing a consensus around acceptable and necessary practices for each stage, similar to CONSORT recommendations for the publication of phase III clinical trials, better quality pilot studies may move quickly into better designed and more successful MRCTs of experimental interventions.","author":[{"dropping-particle":"","family":"Dobkin","given":"Bruce H","non-dropping-particle":"","parse-names":false,"suffix":""}],"container-title":"Neurorehabilitation and neural repair","id":"ITEM-1","issue":"3","issued":{"date-parts":[["2009","3","30"]]},"page":"197-206","title":"Progressive Staging of Pilot Studies to Improve Phase III Trials for Motor Interventions.","type":"article-journal","volume":"23"},"uris":["http://www.mendeley.com/documents/?uuid=fd6ce53c-27ff-3053-aef3-bf0263137890"]}],"mendeley":{"formattedCitation":"[34]","plainTextFormattedCitation":"[34]","previouslyFormattedCitation":"[34]"},"properties":{"noteIndex":0},"schema":"https://github.com/citation-style-language/schema/raw/master/csl-citation.json"}</w:instrText>
      </w:r>
      <w:r w:rsidRPr="004F43E2">
        <w:rPr>
          <w:sz w:val="22"/>
        </w:rPr>
        <w:fldChar w:fldCharType="separate"/>
      </w:r>
      <w:r w:rsidR="00EA06E5" w:rsidRPr="00EA06E5">
        <w:rPr>
          <w:noProof/>
          <w:sz w:val="22"/>
        </w:rPr>
        <w:t>[34]</w:t>
      </w:r>
      <w:r w:rsidRPr="004F43E2">
        <w:rPr>
          <w:sz w:val="22"/>
        </w:rPr>
        <w:fldChar w:fldCharType="end"/>
      </w:r>
      <w:r w:rsidRPr="004F43E2">
        <w:rPr>
          <w:sz w:val="22"/>
        </w:rPr>
        <w:t xml:space="preserve">. </w:t>
      </w:r>
      <w:r w:rsidRPr="004F43E2">
        <w:rPr>
          <w:bCs/>
          <w:sz w:val="22"/>
        </w:rPr>
        <w:t xml:space="preserve">Finally, to account for 15% attrition </w:t>
      </w:r>
      <w:r w:rsidRPr="004F43E2">
        <w:rPr>
          <w:sz w:val="22"/>
        </w:rPr>
        <w:t xml:space="preserve">we will recruit 28 subjects over 2 years to meet the target sample size. </w:t>
      </w:r>
    </w:p>
    <w:p w14:paraId="6A9CFB73" w14:textId="77777777" w:rsidR="001432E9" w:rsidRPr="0044227B" w:rsidRDefault="001432E9" w:rsidP="004F43E2">
      <w:pPr>
        <w:autoSpaceDE w:val="0"/>
        <w:autoSpaceDN w:val="0"/>
        <w:adjustRightInd w:val="0"/>
        <w:ind w:left="2160"/>
        <w:rPr>
          <w:b/>
          <w:sz w:val="22"/>
          <w:szCs w:val="22"/>
        </w:rPr>
      </w:pPr>
    </w:p>
    <w:p w14:paraId="23676596" w14:textId="77777777" w:rsidR="009D622A" w:rsidRPr="005A167C" w:rsidRDefault="00EF00FC" w:rsidP="00206BE3">
      <w:pPr>
        <w:ind w:left="1440"/>
        <w:rPr>
          <w:sz w:val="22"/>
          <w:szCs w:val="22"/>
        </w:rPr>
      </w:pPr>
      <w:r>
        <w:rPr>
          <w:b/>
          <w:sz w:val="22"/>
          <w:szCs w:val="22"/>
        </w:rPr>
        <w:t>6.3</w:t>
      </w:r>
      <w:r w:rsidR="00206BE3" w:rsidRPr="005A167C">
        <w:rPr>
          <w:b/>
          <w:sz w:val="22"/>
          <w:szCs w:val="22"/>
        </w:rPr>
        <w:tab/>
      </w:r>
      <w:r w:rsidR="009D622A" w:rsidRPr="005A167C">
        <w:rPr>
          <w:b/>
          <w:sz w:val="22"/>
          <w:szCs w:val="22"/>
        </w:rPr>
        <w:t>Estimated Duration of the Study</w:t>
      </w:r>
    </w:p>
    <w:p w14:paraId="50B0FA2B" w14:textId="0ED94CB2" w:rsidR="00F37AEC" w:rsidRPr="00F0577F" w:rsidRDefault="00806D8F" w:rsidP="00806D8F">
      <w:pPr>
        <w:pStyle w:val="BodyTextIndent2"/>
        <w:ind w:left="1440" w:firstLine="720"/>
        <w:jc w:val="both"/>
        <w:rPr>
          <w:b/>
          <w:sz w:val="22"/>
          <w:szCs w:val="22"/>
        </w:rPr>
      </w:pPr>
      <w:r w:rsidRPr="00806D8F">
        <w:rPr>
          <w:sz w:val="22"/>
          <w:szCs w:val="22"/>
        </w:rPr>
        <w:t xml:space="preserve">This study will be completed during a </w:t>
      </w:r>
      <w:r w:rsidR="00DA5946">
        <w:rPr>
          <w:sz w:val="22"/>
          <w:szCs w:val="22"/>
        </w:rPr>
        <w:t>2</w:t>
      </w:r>
      <w:r w:rsidRPr="00806D8F">
        <w:rPr>
          <w:sz w:val="22"/>
          <w:szCs w:val="22"/>
        </w:rPr>
        <w:t>-year period</w:t>
      </w:r>
      <w:r w:rsidR="00DA5946">
        <w:rPr>
          <w:sz w:val="22"/>
          <w:szCs w:val="22"/>
        </w:rPr>
        <w:t xml:space="preserve"> from the time of first </w:t>
      </w:r>
      <w:r w:rsidR="00B62B1E">
        <w:rPr>
          <w:sz w:val="22"/>
          <w:szCs w:val="22"/>
        </w:rPr>
        <w:t>enrollment</w:t>
      </w:r>
      <w:r w:rsidRPr="00806D8F">
        <w:rPr>
          <w:sz w:val="22"/>
          <w:szCs w:val="22"/>
        </w:rPr>
        <w:t xml:space="preserve">. For all aims, subject recruitment, data collection and reduction will occur continuously during Years </w:t>
      </w:r>
      <w:r w:rsidR="00B62B1E">
        <w:rPr>
          <w:sz w:val="22"/>
          <w:szCs w:val="22"/>
        </w:rPr>
        <w:t>1</w:t>
      </w:r>
      <w:r w:rsidR="00B62B1E" w:rsidRPr="00806D8F">
        <w:rPr>
          <w:sz w:val="22"/>
          <w:szCs w:val="22"/>
        </w:rPr>
        <w:t xml:space="preserve"> </w:t>
      </w:r>
      <w:r w:rsidRPr="00806D8F">
        <w:rPr>
          <w:sz w:val="22"/>
          <w:szCs w:val="22"/>
        </w:rPr>
        <w:t xml:space="preserve">&amp; </w:t>
      </w:r>
      <w:r w:rsidR="00B62B1E">
        <w:rPr>
          <w:sz w:val="22"/>
          <w:szCs w:val="22"/>
        </w:rPr>
        <w:t>2</w:t>
      </w:r>
      <w:r w:rsidRPr="00806D8F">
        <w:rPr>
          <w:sz w:val="22"/>
          <w:szCs w:val="22"/>
        </w:rPr>
        <w:t>. Data an</w:t>
      </w:r>
      <w:r>
        <w:rPr>
          <w:sz w:val="22"/>
          <w:szCs w:val="22"/>
        </w:rPr>
        <w:t xml:space="preserve">alysis and manuscript </w:t>
      </w:r>
      <w:r w:rsidRPr="00806D8F">
        <w:rPr>
          <w:sz w:val="22"/>
          <w:szCs w:val="22"/>
        </w:rPr>
        <w:t xml:space="preserve">preparation/submission will take place in Year </w:t>
      </w:r>
      <w:r w:rsidR="00B62B1E">
        <w:rPr>
          <w:sz w:val="22"/>
          <w:szCs w:val="22"/>
        </w:rPr>
        <w:t>2</w:t>
      </w:r>
      <w:r w:rsidRPr="00806D8F">
        <w:rPr>
          <w:sz w:val="22"/>
          <w:szCs w:val="22"/>
        </w:rPr>
        <w:t>. To monitor data quality, quality assurance checks will be performed throughout the duration of the study.</w:t>
      </w:r>
    </w:p>
    <w:p w14:paraId="307A12D2" w14:textId="77777777" w:rsidR="004C5326" w:rsidRDefault="004C5326" w:rsidP="00B71045">
      <w:pPr>
        <w:pStyle w:val="BodyTextIndent2"/>
        <w:ind w:left="1440" w:firstLine="720"/>
        <w:jc w:val="both"/>
        <w:rPr>
          <w:b/>
          <w:sz w:val="22"/>
          <w:szCs w:val="22"/>
        </w:rPr>
      </w:pPr>
    </w:p>
    <w:p w14:paraId="5630DBE7" w14:textId="2FE8DD43" w:rsidR="00380140" w:rsidRDefault="00F37AEC" w:rsidP="004C5326">
      <w:pPr>
        <w:pStyle w:val="BodyTextIndent2"/>
        <w:spacing w:after="120"/>
        <w:ind w:left="0"/>
        <w:rPr>
          <w:b/>
          <w:sz w:val="22"/>
          <w:szCs w:val="22"/>
        </w:rPr>
      </w:pPr>
      <w:r>
        <w:rPr>
          <w:b/>
          <w:sz w:val="22"/>
          <w:szCs w:val="22"/>
        </w:rPr>
        <w:t xml:space="preserve">               </w:t>
      </w:r>
    </w:p>
    <w:p w14:paraId="2B71100D" w14:textId="137D1129" w:rsidR="004C5326" w:rsidRPr="00B03967" w:rsidRDefault="004C5326" w:rsidP="00B03967">
      <w:pPr>
        <w:pStyle w:val="BodyTextIndent2"/>
        <w:spacing w:after="120"/>
        <w:ind w:left="810"/>
        <w:rPr>
          <w:b/>
          <w:sz w:val="22"/>
          <w:szCs w:val="22"/>
        </w:rPr>
      </w:pPr>
    </w:p>
    <w:p w14:paraId="2B81821D" w14:textId="77777777" w:rsidR="004C5326" w:rsidRPr="0044227B" w:rsidRDefault="004C5326" w:rsidP="009F046C">
      <w:pPr>
        <w:pStyle w:val="ponsorsmonitorhasreviewedtheforms"/>
        <w:jc w:val="left"/>
        <w:rPr>
          <w:sz w:val="22"/>
          <w:szCs w:val="22"/>
        </w:rPr>
      </w:pPr>
    </w:p>
    <w:p w14:paraId="22695FA3" w14:textId="77777777" w:rsidR="009D622A" w:rsidRPr="0044227B" w:rsidRDefault="009D622A">
      <w:pPr>
        <w:ind w:left="720"/>
        <w:rPr>
          <w:sz w:val="22"/>
          <w:szCs w:val="22"/>
        </w:rPr>
      </w:pPr>
      <w:r w:rsidRPr="0044227B">
        <w:rPr>
          <w:b/>
          <w:sz w:val="22"/>
          <w:szCs w:val="22"/>
        </w:rPr>
        <w:t>7.0</w:t>
      </w:r>
      <w:r w:rsidRPr="0044227B">
        <w:rPr>
          <w:b/>
          <w:sz w:val="22"/>
          <w:szCs w:val="22"/>
        </w:rPr>
        <w:tab/>
        <w:t>Ethical, Regulatory, and Administrative Considerations</w:t>
      </w:r>
    </w:p>
    <w:p w14:paraId="3F86C688" w14:textId="77777777" w:rsidR="009D622A" w:rsidRPr="0044227B" w:rsidRDefault="009D622A">
      <w:pPr>
        <w:rPr>
          <w:sz w:val="22"/>
          <w:szCs w:val="22"/>
        </w:rPr>
      </w:pPr>
    </w:p>
    <w:p w14:paraId="307B32D6" w14:textId="77777777" w:rsidR="009D622A" w:rsidRPr="0044227B" w:rsidRDefault="009D622A">
      <w:pPr>
        <w:ind w:left="1440"/>
        <w:rPr>
          <w:b/>
          <w:sz w:val="22"/>
          <w:szCs w:val="22"/>
        </w:rPr>
      </w:pPr>
      <w:r w:rsidRPr="0044227B">
        <w:rPr>
          <w:b/>
          <w:sz w:val="22"/>
          <w:szCs w:val="22"/>
        </w:rPr>
        <w:t>7.1</w:t>
      </w:r>
      <w:r w:rsidRPr="0044227B">
        <w:rPr>
          <w:b/>
          <w:sz w:val="22"/>
          <w:szCs w:val="22"/>
        </w:rPr>
        <w:tab/>
        <w:t>Informed Consent</w:t>
      </w:r>
    </w:p>
    <w:p w14:paraId="015A1702" w14:textId="77777777" w:rsidR="009D622A" w:rsidRPr="0044227B" w:rsidRDefault="009D622A" w:rsidP="00B91B8A">
      <w:pPr>
        <w:pStyle w:val="BodyTextIndent3"/>
        <w:ind w:firstLine="720"/>
        <w:jc w:val="both"/>
        <w:rPr>
          <w:sz w:val="22"/>
          <w:szCs w:val="22"/>
        </w:rPr>
      </w:pPr>
      <w:r w:rsidRPr="0044227B">
        <w:rPr>
          <w:sz w:val="22"/>
          <w:szCs w:val="22"/>
        </w:rPr>
        <w:t xml:space="preserve">The principles of informed consent are described in the Code of Federal Regulations 21 CFR, part 50 and 45 CFR, part 46.  Once the Investigator has determined the patient’s eligibility for the study, the background of the proposed study and the benefits and risks of the procedures and study must be explained to the </w:t>
      </w:r>
      <w:r w:rsidR="00FE4B28" w:rsidRPr="0044227B">
        <w:rPr>
          <w:sz w:val="22"/>
          <w:szCs w:val="22"/>
        </w:rPr>
        <w:t>subject</w:t>
      </w:r>
      <w:r w:rsidR="00B91B8A">
        <w:rPr>
          <w:sz w:val="22"/>
          <w:szCs w:val="22"/>
        </w:rPr>
        <w:t xml:space="preserve">. </w:t>
      </w:r>
      <w:r w:rsidRPr="0044227B">
        <w:rPr>
          <w:sz w:val="22"/>
          <w:szCs w:val="22"/>
        </w:rPr>
        <w:t xml:space="preserve">The </w:t>
      </w:r>
      <w:r w:rsidR="00FE4B28" w:rsidRPr="0044227B">
        <w:rPr>
          <w:sz w:val="22"/>
          <w:szCs w:val="22"/>
        </w:rPr>
        <w:t xml:space="preserve">subject </w:t>
      </w:r>
      <w:r w:rsidRPr="0044227B">
        <w:rPr>
          <w:sz w:val="22"/>
          <w:szCs w:val="22"/>
        </w:rPr>
        <w:t xml:space="preserve">must be able to comprehend the informed consent form and must sign it prior to performing any study specific procedures or prior to receiving medication.  The </w:t>
      </w:r>
      <w:r w:rsidR="00FE4B28" w:rsidRPr="0044227B">
        <w:rPr>
          <w:sz w:val="22"/>
          <w:szCs w:val="22"/>
        </w:rPr>
        <w:t xml:space="preserve">subject </w:t>
      </w:r>
      <w:r w:rsidRPr="0044227B">
        <w:rPr>
          <w:sz w:val="22"/>
          <w:szCs w:val="22"/>
        </w:rPr>
        <w:t>will receive a</w:t>
      </w:r>
      <w:r w:rsidR="00B91B8A">
        <w:rPr>
          <w:sz w:val="22"/>
          <w:szCs w:val="22"/>
        </w:rPr>
        <w:t xml:space="preserve"> copy of the informed consent. </w:t>
      </w:r>
      <w:r w:rsidRPr="0044227B">
        <w:rPr>
          <w:sz w:val="22"/>
          <w:szCs w:val="22"/>
        </w:rPr>
        <w:t xml:space="preserve">The original signed informed consent and Authorization for Use/Disclosure of PHI will be maintained in the </w:t>
      </w:r>
      <w:r w:rsidR="00FE4B28" w:rsidRPr="0044227B">
        <w:rPr>
          <w:sz w:val="22"/>
          <w:szCs w:val="22"/>
        </w:rPr>
        <w:t>subject</w:t>
      </w:r>
      <w:r w:rsidR="00B91B8A">
        <w:rPr>
          <w:sz w:val="22"/>
          <w:szCs w:val="22"/>
        </w:rPr>
        <w:t xml:space="preserve">’s research chart. </w:t>
      </w:r>
      <w:r w:rsidRPr="0044227B">
        <w:rPr>
          <w:sz w:val="22"/>
          <w:szCs w:val="22"/>
        </w:rPr>
        <w:t xml:space="preserve">Only </w:t>
      </w:r>
      <w:r w:rsidR="0057187A" w:rsidRPr="0044227B">
        <w:rPr>
          <w:sz w:val="22"/>
          <w:szCs w:val="22"/>
        </w:rPr>
        <w:t>those subjects</w:t>
      </w:r>
      <w:r w:rsidR="00FE4B28" w:rsidRPr="0044227B">
        <w:rPr>
          <w:sz w:val="22"/>
          <w:szCs w:val="22"/>
        </w:rPr>
        <w:t xml:space="preserve"> </w:t>
      </w:r>
      <w:r w:rsidRPr="0044227B">
        <w:rPr>
          <w:sz w:val="22"/>
          <w:szCs w:val="22"/>
        </w:rPr>
        <w:t xml:space="preserve">who sign the </w:t>
      </w:r>
      <w:r w:rsidR="00F45A1A" w:rsidRPr="0044227B">
        <w:rPr>
          <w:sz w:val="22"/>
          <w:szCs w:val="22"/>
        </w:rPr>
        <w:t>IRB</w:t>
      </w:r>
      <w:r w:rsidRPr="0044227B">
        <w:rPr>
          <w:sz w:val="22"/>
          <w:szCs w:val="22"/>
        </w:rPr>
        <w:t xml:space="preserve"> approved informed consent prior to participation are eligible to be in the study.  Failure to provide written informed consent renders the patient ineligible for the study.</w:t>
      </w:r>
    </w:p>
    <w:p w14:paraId="78316457" w14:textId="77777777" w:rsidR="009D622A" w:rsidRPr="0044227B" w:rsidRDefault="009D622A">
      <w:pPr>
        <w:pStyle w:val="BodyTextIndent3"/>
        <w:rPr>
          <w:sz w:val="22"/>
          <w:szCs w:val="22"/>
        </w:rPr>
      </w:pPr>
    </w:p>
    <w:p w14:paraId="19E35BCA" w14:textId="77777777" w:rsidR="009D622A" w:rsidRPr="0044227B" w:rsidRDefault="009D622A">
      <w:pPr>
        <w:ind w:left="1440"/>
        <w:rPr>
          <w:b/>
          <w:sz w:val="22"/>
          <w:szCs w:val="22"/>
        </w:rPr>
      </w:pPr>
      <w:r w:rsidRPr="0044227B">
        <w:rPr>
          <w:b/>
          <w:sz w:val="22"/>
          <w:szCs w:val="22"/>
        </w:rPr>
        <w:t>7.2</w:t>
      </w:r>
      <w:r w:rsidRPr="0044227B">
        <w:rPr>
          <w:b/>
          <w:sz w:val="22"/>
          <w:szCs w:val="22"/>
        </w:rPr>
        <w:tab/>
        <w:t>Confidentiality</w:t>
      </w:r>
    </w:p>
    <w:p w14:paraId="42450EE7" w14:textId="77777777" w:rsidR="009D622A" w:rsidRPr="0044227B" w:rsidRDefault="009D622A" w:rsidP="005B1AB5">
      <w:pPr>
        <w:pStyle w:val="BodyTextIndent3"/>
        <w:ind w:firstLine="720"/>
        <w:jc w:val="both"/>
        <w:rPr>
          <w:sz w:val="22"/>
          <w:szCs w:val="22"/>
        </w:rPr>
      </w:pPr>
      <w:r w:rsidRPr="0044227B">
        <w:rPr>
          <w:sz w:val="22"/>
          <w:szCs w:val="22"/>
        </w:rPr>
        <w:t xml:space="preserve">All information and data collected and/or sent to </w:t>
      </w:r>
      <w:r w:rsidR="001B3F1F" w:rsidRPr="0044227B">
        <w:rPr>
          <w:sz w:val="22"/>
          <w:szCs w:val="22"/>
        </w:rPr>
        <w:t>study personnel</w:t>
      </w:r>
      <w:r w:rsidRPr="0044227B">
        <w:rPr>
          <w:sz w:val="22"/>
          <w:szCs w:val="22"/>
        </w:rPr>
        <w:t xml:space="preserve"> concerning </w:t>
      </w:r>
      <w:r w:rsidR="00FE4B28" w:rsidRPr="0044227B">
        <w:rPr>
          <w:sz w:val="22"/>
          <w:szCs w:val="22"/>
        </w:rPr>
        <w:t>subject</w:t>
      </w:r>
      <w:r w:rsidR="001B3F1F" w:rsidRPr="0044227B">
        <w:rPr>
          <w:sz w:val="22"/>
          <w:szCs w:val="22"/>
        </w:rPr>
        <w:t>s</w:t>
      </w:r>
      <w:r w:rsidR="00FE4B28" w:rsidRPr="0044227B">
        <w:rPr>
          <w:sz w:val="22"/>
          <w:szCs w:val="22"/>
        </w:rPr>
        <w:t xml:space="preserve"> </w:t>
      </w:r>
      <w:r w:rsidRPr="0044227B">
        <w:rPr>
          <w:sz w:val="22"/>
          <w:szCs w:val="22"/>
        </w:rPr>
        <w:t>or their participation in this study will be considered confidential.  Only authorized personnel will have acces</w:t>
      </w:r>
      <w:r w:rsidR="00E23BB3">
        <w:rPr>
          <w:sz w:val="22"/>
          <w:szCs w:val="22"/>
        </w:rPr>
        <w:t xml:space="preserve">s to these confidential files. </w:t>
      </w:r>
      <w:r w:rsidRPr="0044227B">
        <w:rPr>
          <w:sz w:val="22"/>
          <w:szCs w:val="22"/>
        </w:rPr>
        <w:t>Authorized FDA personnel have the right to inspect and copy all records pertinent to this trial.  All data used in the analysis and reporting of this evaluation will be without identifiable reference to any patient.</w:t>
      </w:r>
    </w:p>
    <w:p w14:paraId="6E59886F" w14:textId="77777777" w:rsidR="009D622A" w:rsidRPr="0044227B" w:rsidRDefault="009D622A" w:rsidP="005B1AB5">
      <w:pPr>
        <w:jc w:val="both"/>
        <w:rPr>
          <w:sz w:val="22"/>
          <w:szCs w:val="22"/>
        </w:rPr>
      </w:pPr>
    </w:p>
    <w:p w14:paraId="7BD40654" w14:textId="77777777" w:rsidR="009D622A" w:rsidRPr="0044227B" w:rsidRDefault="009D622A" w:rsidP="005B1AB5">
      <w:pPr>
        <w:ind w:left="1440"/>
        <w:jc w:val="both"/>
        <w:rPr>
          <w:b/>
          <w:sz w:val="22"/>
          <w:szCs w:val="22"/>
        </w:rPr>
      </w:pPr>
      <w:r w:rsidRPr="0044227B">
        <w:rPr>
          <w:b/>
          <w:sz w:val="22"/>
          <w:szCs w:val="22"/>
        </w:rPr>
        <w:t>7.3</w:t>
      </w:r>
      <w:r w:rsidRPr="0044227B">
        <w:rPr>
          <w:b/>
          <w:sz w:val="22"/>
          <w:szCs w:val="22"/>
        </w:rPr>
        <w:tab/>
        <w:t>Institutional Review</w:t>
      </w:r>
    </w:p>
    <w:p w14:paraId="1003B609" w14:textId="77777777" w:rsidR="009D622A" w:rsidRPr="0044227B" w:rsidRDefault="009D622A" w:rsidP="005B1AB5">
      <w:pPr>
        <w:pStyle w:val="BodyTextIndent3"/>
        <w:ind w:firstLine="720"/>
        <w:jc w:val="both"/>
        <w:rPr>
          <w:sz w:val="22"/>
          <w:szCs w:val="22"/>
        </w:rPr>
      </w:pPr>
      <w:r w:rsidRPr="0044227B">
        <w:rPr>
          <w:sz w:val="22"/>
          <w:szCs w:val="22"/>
        </w:rPr>
        <w:t>The Principal Investigator will obtain approval for t</w:t>
      </w:r>
      <w:r w:rsidR="00A46D9F" w:rsidRPr="0044227B">
        <w:rPr>
          <w:sz w:val="22"/>
          <w:szCs w:val="22"/>
        </w:rPr>
        <w:t xml:space="preserve">he study from </w:t>
      </w:r>
      <w:r w:rsidR="00F45A1A" w:rsidRPr="0044227B">
        <w:rPr>
          <w:sz w:val="22"/>
          <w:szCs w:val="22"/>
        </w:rPr>
        <w:t>I</w:t>
      </w:r>
      <w:r w:rsidR="00A46D9F" w:rsidRPr="0044227B">
        <w:rPr>
          <w:sz w:val="22"/>
          <w:szCs w:val="22"/>
        </w:rPr>
        <w:t>RB</w:t>
      </w:r>
      <w:r w:rsidRPr="0044227B">
        <w:rPr>
          <w:sz w:val="22"/>
          <w:szCs w:val="22"/>
        </w:rPr>
        <w:t xml:space="preserve">. All changes to the protocol must be reviewed and approved prior to implementation. The Principal Investigator will be responsible for obtaining annual </w:t>
      </w:r>
      <w:r w:rsidR="00F45A1A" w:rsidRPr="0044227B">
        <w:rPr>
          <w:sz w:val="22"/>
          <w:szCs w:val="22"/>
        </w:rPr>
        <w:t>I</w:t>
      </w:r>
      <w:r w:rsidRPr="0044227B">
        <w:rPr>
          <w:sz w:val="22"/>
          <w:szCs w:val="22"/>
        </w:rPr>
        <w:t xml:space="preserve">RB renewal through the duration of the study, or more frequently if required by the </w:t>
      </w:r>
      <w:r w:rsidR="00F45A1A" w:rsidRPr="0044227B">
        <w:rPr>
          <w:sz w:val="22"/>
          <w:szCs w:val="22"/>
        </w:rPr>
        <w:t>I</w:t>
      </w:r>
      <w:r w:rsidRPr="0044227B">
        <w:rPr>
          <w:sz w:val="22"/>
          <w:szCs w:val="22"/>
        </w:rPr>
        <w:t xml:space="preserve">RB. </w:t>
      </w:r>
      <w:r w:rsidR="00CC52F1">
        <w:rPr>
          <w:sz w:val="22"/>
          <w:szCs w:val="22"/>
        </w:rPr>
        <w:t>As S</w:t>
      </w:r>
      <w:r w:rsidR="00DC640B" w:rsidRPr="0044227B">
        <w:rPr>
          <w:sz w:val="22"/>
          <w:szCs w:val="22"/>
        </w:rPr>
        <w:t xml:space="preserve">tudy Coordinator </w:t>
      </w:r>
      <w:r w:rsidR="00CC52F1">
        <w:rPr>
          <w:sz w:val="22"/>
          <w:szCs w:val="22"/>
        </w:rPr>
        <w:t xml:space="preserve">and Principal Investigator, Dr. </w:t>
      </w:r>
      <w:r w:rsidR="005B1AB5">
        <w:rPr>
          <w:sz w:val="22"/>
          <w:szCs w:val="22"/>
        </w:rPr>
        <w:t xml:space="preserve">Anastasia </w:t>
      </w:r>
      <w:proofErr w:type="spellStart"/>
      <w:r w:rsidR="005B1AB5">
        <w:rPr>
          <w:sz w:val="22"/>
          <w:szCs w:val="22"/>
        </w:rPr>
        <w:t>Zarkou</w:t>
      </w:r>
      <w:proofErr w:type="spellEnd"/>
      <w:r w:rsidR="005B1AB5">
        <w:rPr>
          <w:sz w:val="22"/>
          <w:szCs w:val="22"/>
        </w:rPr>
        <w:t xml:space="preserve"> </w:t>
      </w:r>
      <w:r w:rsidRPr="0044227B">
        <w:rPr>
          <w:sz w:val="22"/>
          <w:szCs w:val="22"/>
        </w:rPr>
        <w:t>will maintain all regulatory documents.</w:t>
      </w:r>
    </w:p>
    <w:p w14:paraId="796B31EF" w14:textId="77777777" w:rsidR="009D622A" w:rsidRPr="0044227B" w:rsidRDefault="009D622A">
      <w:pPr>
        <w:rPr>
          <w:sz w:val="22"/>
          <w:szCs w:val="22"/>
        </w:rPr>
      </w:pPr>
    </w:p>
    <w:p w14:paraId="2067A6A5" w14:textId="77777777" w:rsidR="009D622A" w:rsidRPr="0044227B" w:rsidRDefault="009D622A">
      <w:pPr>
        <w:ind w:left="1440"/>
        <w:rPr>
          <w:b/>
          <w:sz w:val="22"/>
          <w:szCs w:val="22"/>
        </w:rPr>
      </w:pPr>
      <w:r w:rsidRPr="0044227B">
        <w:rPr>
          <w:b/>
          <w:sz w:val="22"/>
          <w:szCs w:val="22"/>
        </w:rPr>
        <w:t>7.4</w:t>
      </w:r>
      <w:r w:rsidRPr="0044227B">
        <w:rPr>
          <w:b/>
          <w:sz w:val="22"/>
          <w:szCs w:val="22"/>
        </w:rPr>
        <w:tab/>
        <w:t>Protocol Interpretation and Compliance</w:t>
      </w:r>
    </w:p>
    <w:p w14:paraId="4370D57E" w14:textId="77777777" w:rsidR="009D622A" w:rsidRPr="0044227B" w:rsidRDefault="009D622A" w:rsidP="005B1AB5">
      <w:pPr>
        <w:pStyle w:val="BodyTextIndent3"/>
        <w:ind w:firstLine="720"/>
        <w:jc w:val="both"/>
        <w:rPr>
          <w:sz w:val="22"/>
          <w:szCs w:val="22"/>
        </w:rPr>
      </w:pPr>
      <w:r w:rsidRPr="0044227B">
        <w:rPr>
          <w:sz w:val="22"/>
          <w:szCs w:val="22"/>
        </w:rPr>
        <w:t>The procedures defined in the protocol will be carefully reviewed by the Investigator and research staff prior to the time of study initiation to ensure appropriate interpretation and implementation. Any changes to the protocol in the form of an amendment must be submitted to the IRB.</w:t>
      </w:r>
    </w:p>
    <w:p w14:paraId="5ABB1C89" w14:textId="77777777" w:rsidR="009D622A" w:rsidRPr="0044227B" w:rsidRDefault="009D622A">
      <w:pPr>
        <w:rPr>
          <w:sz w:val="22"/>
          <w:szCs w:val="22"/>
        </w:rPr>
      </w:pPr>
    </w:p>
    <w:p w14:paraId="5742A4D6" w14:textId="77777777" w:rsidR="009D622A" w:rsidRPr="0044227B" w:rsidRDefault="009D622A">
      <w:pPr>
        <w:ind w:left="1440"/>
        <w:rPr>
          <w:b/>
          <w:sz w:val="22"/>
          <w:szCs w:val="22"/>
        </w:rPr>
      </w:pPr>
      <w:r w:rsidRPr="0044227B">
        <w:rPr>
          <w:b/>
          <w:sz w:val="22"/>
          <w:szCs w:val="22"/>
        </w:rPr>
        <w:lastRenderedPageBreak/>
        <w:t>7.5</w:t>
      </w:r>
      <w:r w:rsidRPr="0044227B">
        <w:rPr>
          <w:b/>
          <w:sz w:val="22"/>
          <w:szCs w:val="22"/>
        </w:rPr>
        <w:tab/>
        <w:t>Completion of Case Report Forms</w:t>
      </w:r>
    </w:p>
    <w:p w14:paraId="32BA8341" w14:textId="77777777" w:rsidR="00331331" w:rsidRPr="0044227B" w:rsidRDefault="009D622A" w:rsidP="005B1AB5">
      <w:pPr>
        <w:pStyle w:val="BodyTextIndent3"/>
        <w:ind w:firstLine="720"/>
        <w:jc w:val="both"/>
        <w:rPr>
          <w:sz w:val="22"/>
          <w:szCs w:val="22"/>
        </w:rPr>
      </w:pPr>
      <w:r w:rsidRPr="0044227B">
        <w:rPr>
          <w:sz w:val="22"/>
          <w:szCs w:val="22"/>
        </w:rPr>
        <w:t>The Principal Investigator or h</w:t>
      </w:r>
      <w:r w:rsidR="000C60E3">
        <w:rPr>
          <w:sz w:val="22"/>
          <w:szCs w:val="22"/>
        </w:rPr>
        <w:t>er</w:t>
      </w:r>
      <w:r w:rsidRPr="0044227B">
        <w:rPr>
          <w:sz w:val="22"/>
          <w:szCs w:val="22"/>
        </w:rPr>
        <w:t xml:space="preserve"> designee will be responsible for completing, in a timely manner, a</w:t>
      </w:r>
      <w:r w:rsidR="008C39C0" w:rsidRPr="0044227B">
        <w:rPr>
          <w:sz w:val="22"/>
          <w:szCs w:val="22"/>
        </w:rPr>
        <w:t>n eCRF</w:t>
      </w:r>
      <w:r w:rsidRPr="0044227B">
        <w:rPr>
          <w:sz w:val="22"/>
          <w:szCs w:val="22"/>
        </w:rPr>
        <w:t xml:space="preserve"> for each patient who is registered to participate in this study.  The Principal Investigator</w:t>
      </w:r>
      <w:r w:rsidR="000C60E3">
        <w:rPr>
          <w:sz w:val="22"/>
          <w:szCs w:val="22"/>
        </w:rPr>
        <w:t xml:space="preserve"> </w:t>
      </w:r>
      <w:r w:rsidRPr="0044227B">
        <w:rPr>
          <w:sz w:val="22"/>
          <w:szCs w:val="22"/>
        </w:rPr>
        <w:t xml:space="preserve">will sign and date the indicated places on the </w:t>
      </w:r>
      <w:r w:rsidR="00380140" w:rsidRPr="0044227B">
        <w:rPr>
          <w:sz w:val="22"/>
          <w:szCs w:val="22"/>
        </w:rPr>
        <w:t>e</w:t>
      </w:r>
      <w:r w:rsidRPr="0044227B">
        <w:rPr>
          <w:sz w:val="22"/>
          <w:szCs w:val="22"/>
        </w:rPr>
        <w:t>CRF.  This signature will indicate that a thorough inspection of the data therein has been made and will thereby certify the contents of the form.</w:t>
      </w:r>
    </w:p>
    <w:p w14:paraId="384A2277" w14:textId="77777777" w:rsidR="009D622A" w:rsidRPr="0044227B" w:rsidRDefault="009D622A">
      <w:pPr>
        <w:rPr>
          <w:sz w:val="22"/>
          <w:szCs w:val="22"/>
        </w:rPr>
      </w:pPr>
    </w:p>
    <w:p w14:paraId="0F18FE82" w14:textId="77777777" w:rsidR="009D622A" w:rsidRPr="0044227B" w:rsidRDefault="009D622A">
      <w:pPr>
        <w:ind w:left="1440"/>
        <w:rPr>
          <w:b/>
          <w:sz w:val="22"/>
          <w:szCs w:val="22"/>
        </w:rPr>
      </w:pPr>
      <w:r w:rsidRPr="0044227B">
        <w:rPr>
          <w:b/>
          <w:sz w:val="22"/>
          <w:szCs w:val="22"/>
        </w:rPr>
        <w:t>7.6</w:t>
      </w:r>
      <w:r w:rsidRPr="0044227B">
        <w:rPr>
          <w:b/>
          <w:sz w:val="22"/>
          <w:szCs w:val="22"/>
        </w:rPr>
        <w:tab/>
        <w:t>Maintenance of Study Documentation</w:t>
      </w:r>
    </w:p>
    <w:p w14:paraId="4CE87B72" w14:textId="77777777" w:rsidR="009D622A" w:rsidRPr="0044227B" w:rsidRDefault="00E23BB3" w:rsidP="005B1AB5">
      <w:pPr>
        <w:pStyle w:val="BodyTextIndent3"/>
        <w:ind w:firstLine="450"/>
        <w:jc w:val="both"/>
        <w:rPr>
          <w:sz w:val="22"/>
          <w:szCs w:val="22"/>
        </w:rPr>
      </w:pPr>
      <w:r>
        <w:rPr>
          <w:sz w:val="22"/>
          <w:szCs w:val="22"/>
        </w:rPr>
        <w:t xml:space="preserve">     </w:t>
      </w:r>
      <w:r w:rsidR="009D622A" w:rsidRPr="0044227B">
        <w:rPr>
          <w:sz w:val="22"/>
          <w:szCs w:val="22"/>
        </w:rPr>
        <w:t>It is the responsibility of the Principal Investigator</w:t>
      </w:r>
      <w:r w:rsidR="009F046C">
        <w:rPr>
          <w:sz w:val="22"/>
          <w:szCs w:val="22"/>
        </w:rPr>
        <w:t xml:space="preserve"> </w:t>
      </w:r>
      <w:r w:rsidR="009D622A" w:rsidRPr="0044227B">
        <w:rPr>
          <w:sz w:val="22"/>
          <w:szCs w:val="22"/>
        </w:rPr>
        <w:t>to maintain a comprehensive and centralized filing system of all study-related documentation, which is suitable for inspection at any time by the FDA.  Elements should include:</w:t>
      </w:r>
    </w:p>
    <w:p w14:paraId="0DD4A36D" w14:textId="77777777" w:rsidR="009D622A" w:rsidRPr="0044227B" w:rsidRDefault="009D622A" w:rsidP="005B1AB5">
      <w:pPr>
        <w:numPr>
          <w:ilvl w:val="0"/>
          <w:numId w:val="2"/>
        </w:numPr>
        <w:tabs>
          <w:tab w:val="clear" w:pos="360"/>
          <w:tab w:val="num" w:pos="1800"/>
        </w:tabs>
        <w:ind w:left="2070" w:hanging="180"/>
        <w:jc w:val="both"/>
        <w:rPr>
          <w:sz w:val="22"/>
          <w:szCs w:val="22"/>
        </w:rPr>
      </w:pPr>
      <w:r w:rsidRPr="0044227B">
        <w:rPr>
          <w:sz w:val="22"/>
          <w:szCs w:val="22"/>
        </w:rPr>
        <w:t xml:space="preserve">Subject files – containing the completed </w:t>
      </w:r>
      <w:r w:rsidR="008C39C0" w:rsidRPr="0044227B">
        <w:rPr>
          <w:sz w:val="22"/>
          <w:szCs w:val="22"/>
        </w:rPr>
        <w:t>CRFs</w:t>
      </w:r>
      <w:r w:rsidRPr="0044227B">
        <w:rPr>
          <w:sz w:val="22"/>
          <w:szCs w:val="22"/>
        </w:rPr>
        <w:t>, supporting source documentation, and the Informed Consent.</w:t>
      </w:r>
    </w:p>
    <w:p w14:paraId="318E4C5D" w14:textId="77777777" w:rsidR="009D622A" w:rsidRPr="0044227B" w:rsidRDefault="009D622A" w:rsidP="005B1AB5">
      <w:pPr>
        <w:numPr>
          <w:ilvl w:val="0"/>
          <w:numId w:val="2"/>
        </w:numPr>
        <w:tabs>
          <w:tab w:val="clear" w:pos="360"/>
          <w:tab w:val="num" w:pos="1800"/>
        </w:tabs>
        <w:ind w:left="2070" w:hanging="180"/>
        <w:jc w:val="both"/>
        <w:rPr>
          <w:sz w:val="22"/>
          <w:szCs w:val="22"/>
        </w:rPr>
      </w:pPr>
      <w:r w:rsidRPr="0044227B">
        <w:rPr>
          <w:sz w:val="22"/>
          <w:szCs w:val="22"/>
        </w:rPr>
        <w:t>Regulatory Files – containing the protocol with all amendments and accountability records.</w:t>
      </w:r>
    </w:p>
    <w:p w14:paraId="3B14555E" w14:textId="77777777" w:rsidR="009D622A" w:rsidRPr="0044227B" w:rsidRDefault="009D622A">
      <w:pPr>
        <w:rPr>
          <w:sz w:val="22"/>
          <w:szCs w:val="22"/>
        </w:rPr>
      </w:pPr>
    </w:p>
    <w:p w14:paraId="161BB8DD" w14:textId="77777777" w:rsidR="009D622A" w:rsidRPr="0044227B" w:rsidRDefault="009D622A" w:rsidP="00331331">
      <w:pPr>
        <w:numPr>
          <w:ilvl w:val="1"/>
          <w:numId w:val="27"/>
        </w:numPr>
        <w:rPr>
          <w:b/>
          <w:sz w:val="22"/>
          <w:szCs w:val="22"/>
        </w:rPr>
      </w:pPr>
      <w:r w:rsidRPr="0044227B">
        <w:rPr>
          <w:b/>
          <w:sz w:val="22"/>
          <w:szCs w:val="22"/>
        </w:rPr>
        <w:t>Final Study Report</w:t>
      </w:r>
    </w:p>
    <w:p w14:paraId="408FB53A" w14:textId="77777777" w:rsidR="00331331" w:rsidRPr="0044227B" w:rsidRDefault="00331331" w:rsidP="005B1AB5">
      <w:pPr>
        <w:ind w:left="1440" w:firstLine="720"/>
        <w:rPr>
          <w:sz w:val="22"/>
          <w:szCs w:val="22"/>
        </w:rPr>
      </w:pPr>
      <w:r w:rsidRPr="0044227B">
        <w:rPr>
          <w:sz w:val="22"/>
          <w:szCs w:val="22"/>
        </w:rPr>
        <w:t>Upon completion of the study, the Principal Investigator is required to submit a final study summary report for the patients enrolled in the study</w:t>
      </w:r>
    </w:p>
    <w:p w14:paraId="64283BB9" w14:textId="77777777" w:rsidR="00380140" w:rsidRPr="0044227B" w:rsidRDefault="00380140" w:rsidP="00380140">
      <w:pPr>
        <w:rPr>
          <w:b/>
          <w:sz w:val="22"/>
          <w:szCs w:val="22"/>
        </w:rPr>
      </w:pPr>
    </w:p>
    <w:p w14:paraId="7688173F" w14:textId="77777777" w:rsidR="00380140" w:rsidRPr="0044227B" w:rsidRDefault="00380140" w:rsidP="00380140">
      <w:pPr>
        <w:numPr>
          <w:ilvl w:val="1"/>
          <w:numId w:val="29"/>
        </w:numPr>
        <w:rPr>
          <w:sz w:val="22"/>
          <w:szCs w:val="22"/>
        </w:rPr>
      </w:pPr>
      <w:r w:rsidRPr="0044227B">
        <w:rPr>
          <w:b/>
          <w:sz w:val="22"/>
          <w:szCs w:val="22"/>
        </w:rPr>
        <w:t>Record Retention</w:t>
      </w:r>
    </w:p>
    <w:p w14:paraId="5DF0D36E" w14:textId="77777777" w:rsidR="00380140" w:rsidRPr="0044227B" w:rsidRDefault="00380140" w:rsidP="005B1AB5">
      <w:pPr>
        <w:ind w:left="1440" w:firstLine="720"/>
        <w:rPr>
          <w:sz w:val="22"/>
          <w:szCs w:val="22"/>
        </w:rPr>
      </w:pPr>
      <w:r w:rsidRPr="0044227B">
        <w:rPr>
          <w:sz w:val="22"/>
          <w:szCs w:val="22"/>
        </w:rPr>
        <w:t>All records, which are part of this study, will be retained for a period of two years following discontinuation/termination of the study.</w:t>
      </w:r>
    </w:p>
    <w:p w14:paraId="7AEC136D" w14:textId="77777777" w:rsidR="00380140" w:rsidRPr="0044227B" w:rsidRDefault="00380140" w:rsidP="00380140">
      <w:pPr>
        <w:rPr>
          <w:b/>
          <w:sz w:val="22"/>
          <w:szCs w:val="22"/>
        </w:rPr>
      </w:pPr>
    </w:p>
    <w:p w14:paraId="4DB22F16" w14:textId="77777777" w:rsidR="009D622A" w:rsidRPr="0044227B" w:rsidRDefault="009D622A" w:rsidP="00331331">
      <w:pPr>
        <w:rPr>
          <w:sz w:val="22"/>
          <w:szCs w:val="22"/>
        </w:rPr>
      </w:pPr>
    </w:p>
    <w:p w14:paraId="47C54DD0" w14:textId="77777777" w:rsidR="003F109F" w:rsidRPr="0044227B" w:rsidRDefault="001F2ABA" w:rsidP="006C581D">
      <w:pPr>
        <w:rPr>
          <w:b/>
          <w:sz w:val="22"/>
          <w:szCs w:val="22"/>
        </w:rPr>
      </w:pPr>
      <w:r w:rsidRPr="00850C80">
        <w:rPr>
          <w:b/>
          <w:sz w:val="22"/>
          <w:szCs w:val="22"/>
        </w:rPr>
        <w:t>8.0</w:t>
      </w:r>
      <w:r w:rsidRPr="00850C80">
        <w:rPr>
          <w:b/>
          <w:sz w:val="22"/>
          <w:szCs w:val="22"/>
        </w:rPr>
        <w:tab/>
      </w:r>
      <w:r w:rsidR="003F109F" w:rsidRPr="00850C80">
        <w:rPr>
          <w:b/>
          <w:sz w:val="22"/>
          <w:szCs w:val="22"/>
        </w:rPr>
        <w:t>Study Medication</w:t>
      </w:r>
      <w:r w:rsidR="00F45A1A" w:rsidRPr="00850C80">
        <w:rPr>
          <w:b/>
          <w:sz w:val="22"/>
          <w:szCs w:val="22"/>
        </w:rPr>
        <w:t>/Device/Intervention</w:t>
      </w:r>
      <w:r w:rsidR="00FE4B28" w:rsidRPr="00850C80">
        <w:rPr>
          <w:b/>
          <w:sz w:val="22"/>
          <w:szCs w:val="22"/>
        </w:rPr>
        <w:t>/Other Procedure Details</w:t>
      </w:r>
    </w:p>
    <w:p w14:paraId="7746F0D6" w14:textId="77777777" w:rsidR="006045DB" w:rsidRPr="0044227B" w:rsidRDefault="006045DB" w:rsidP="006045DB">
      <w:pPr>
        <w:ind w:left="720"/>
        <w:rPr>
          <w:b/>
          <w:sz w:val="22"/>
          <w:szCs w:val="22"/>
        </w:rPr>
      </w:pPr>
    </w:p>
    <w:p w14:paraId="77923E7F" w14:textId="77777777" w:rsidR="003F109F" w:rsidRPr="00850C80" w:rsidRDefault="003F109F" w:rsidP="005B1AB5">
      <w:pPr>
        <w:jc w:val="both"/>
        <w:rPr>
          <w:b/>
          <w:sz w:val="22"/>
          <w:szCs w:val="22"/>
        </w:rPr>
      </w:pPr>
      <w:r w:rsidRPr="005B1AB5">
        <w:rPr>
          <w:b/>
          <w:sz w:val="22"/>
          <w:szCs w:val="22"/>
        </w:rPr>
        <w:t>Blinding:</w:t>
      </w:r>
      <w:r w:rsidR="001B7853" w:rsidRPr="0044227B">
        <w:rPr>
          <w:b/>
          <w:sz w:val="22"/>
          <w:szCs w:val="22"/>
        </w:rPr>
        <w:t xml:space="preserve"> </w:t>
      </w:r>
      <w:r w:rsidR="00187000" w:rsidRPr="00187000">
        <w:rPr>
          <w:sz w:val="22"/>
          <w:szCs w:val="22"/>
        </w:rPr>
        <w:t>P</w:t>
      </w:r>
      <w:r w:rsidR="00937D7C" w:rsidRPr="00187000">
        <w:rPr>
          <w:sz w:val="22"/>
          <w:szCs w:val="22"/>
        </w:rPr>
        <w:t>articipants</w:t>
      </w:r>
      <w:r w:rsidR="00187000" w:rsidRPr="00187000">
        <w:rPr>
          <w:sz w:val="22"/>
          <w:szCs w:val="22"/>
        </w:rPr>
        <w:t xml:space="preserve"> and assessors of the clinical measures</w:t>
      </w:r>
      <w:r w:rsidR="00937D7C" w:rsidRPr="00187000">
        <w:rPr>
          <w:sz w:val="22"/>
          <w:szCs w:val="22"/>
        </w:rPr>
        <w:t xml:space="preserve"> </w:t>
      </w:r>
      <w:r w:rsidR="000D1924" w:rsidRPr="00187000">
        <w:rPr>
          <w:sz w:val="22"/>
          <w:szCs w:val="22"/>
        </w:rPr>
        <w:t xml:space="preserve">will remain blinded to </w:t>
      </w:r>
      <w:r w:rsidR="00937D7C" w:rsidRPr="00187000">
        <w:rPr>
          <w:sz w:val="22"/>
          <w:szCs w:val="22"/>
        </w:rPr>
        <w:t>the randomized intervention order</w:t>
      </w:r>
      <w:r w:rsidR="000D1924" w:rsidRPr="00187000">
        <w:rPr>
          <w:sz w:val="22"/>
          <w:szCs w:val="22"/>
        </w:rPr>
        <w:t xml:space="preserve"> throughout</w:t>
      </w:r>
      <w:r w:rsidR="000D1924" w:rsidRPr="00850C80">
        <w:rPr>
          <w:sz w:val="22"/>
          <w:szCs w:val="22"/>
        </w:rPr>
        <w:t xml:space="preserve"> the duration of the study.</w:t>
      </w:r>
    </w:p>
    <w:p w14:paraId="4074789C" w14:textId="77777777" w:rsidR="0091327E" w:rsidRDefault="001B7853" w:rsidP="005B1AB5">
      <w:pPr>
        <w:jc w:val="both"/>
        <w:rPr>
          <w:b/>
          <w:sz w:val="22"/>
          <w:szCs w:val="22"/>
        </w:rPr>
      </w:pPr>
      <w:r w:rsidRPr="005B1AB5">
        <w:rPr>
          <w:b/>
          <w:sz w:val="22"/>
          <w:szCs w:val="22"/>
        </w:rPr>
        <w:t xml:space="preserve">Assignment of </w:t>
      </w:r>
      <w:r w:rsidR="00C3754C" w:rsidRPr="005B1AB5">
        <w:rPr>
          <w:b/>
          <w:sz w:val="22"/>
          <w:szCs w:val="22"/>
        </w:rPr>
        <w:t>Intervention</w:t>
      </w:r>
      <w:r w:rsidRPr="005B1AB5">
        <w:rPr>
          <w:b/>
          <w:sz w:val="22"/>
          <w:szCs w:val="22"/>
        </w:rPr>
        <w:t>:</w:t>
      </w:r>
      <w:r w:rsidRPr="00850C80">
        <w:rPr>
          <w:b/>
          <w:sz w:val="22"/>
          <w:szCs w:val="22"/>
        </w:rPr>
        <w:t xml:space="preserve"> </w:t>
      </w:r>
      <w:r w:rsidR="0091327E">
        <w:rPr>
          <w:sz w:val="22"/>
          <w:szCs w:val="22"/>
        </w:rPr>
        <w:t>P</w:t>
      </w:r>
      <w:r w:rsidR="0091327E" w:rsidRPr="0091327E">
        <w:rPr>
          <w:sz w:val="22"/>
          <w:szCs w:val="22"/>
        </w:rPr>
        <w:t xml:space="preserve">articipants will be randomized to receive </w:t>
      </w:r>
      <w:proofErr w:type="spellStart"/>
      <w:r w:rsidR="0091327E">
        <w:rPr>
          <w:sz w:val="22"/>
          <w:szCs w:val="22"/>
        </w:rPr>
        <w:t>tRNS</w:t>
      </w:r>
      <w:proofErr w:type="spellEnd"/>
      <w:r w:rsidR="0057187A">
        <w:rPr>
          <w:sz w:val="22"/>
          <w:szCs w:val="22"/>
        </w:rPr>
        <w:t xml:space="preserve"> or </w:t>
      </w:r>
      <w:proofErr w:type="spellStart"/>
      <w:r w:rsidR="0057187A">
        <w:rPr>
          <w:sz w:val="22"/>
          <w:szCs w:val="22"/>
        </w:rPr>
        <w:t>tDCS</w:t>
      </w:r>
      <w:proofErr w:type="spellEnd"/>
      <w:r w:rsidR="0091327E" w:rsidRPr="0091327E">
        <w:rPr>
          <w:sz w:val="22"/>
          <w:szCs w:val="22"/>
        </w:rPr>
        <w:t>. Durin</w:t>
      </w:r>
      <w:r w:rsidR="0091327E">
        <w:rPr>
          <w:sz w:val="22"/>
          <w:szCs w:val="22"/>
        </w:rPr>
        <w:t>g the first week</w:t>
      </w:r>
      <w:r w:rsidR="0091327E" w:rsidRPr="0091327E">
        <w:rPr>
          <w:sz w:val="22"/>
          <w:szCs w:val="22"/>
        </w:rPr>
        <w:t>, all participants will complete 3 sessions of sham-</w:t>
      </w:r>
      <w:proofErr w:type="spellStart"/>
      <w:r w:rsidR="0091327E" w:rsidRPr="0091327E">
        <w:rPr>
          <w:sz w:val="22"/>
          <w:szCs w:val="22"/>
        </w:rPr>
        <w:t>t</w:t>
      </w:r>
      <w:r w:rsidR="0057187A">
        <w:rPr>
          <w:sz w:val="22"/>
          <w:szCs w:val="22"/>
        </w:rPr>
        <w:t>DCS</w:t>
      </w:r>
      <w:proofErr w:type="spellEnd"/>
      <w:r w:rsidR="0091327E" w:rsidRPr="0091327E">
        <w:rPr>
          <w:sz w:val="22"/>
          <w:szCs w:val="22"/>
        </w:rPr>
        <w:t xml:space="preserve"> while practicing unimanual and bimanual functional tasks (FMT). In the sec</w:t>
      </w:r>
      <w:r w:rsidR="0091327E">
        <w:rPr>
          <w:sz w:val="22"/>
          <w:szCs w:val="22"/>
        </w:rPr>
        <w:t>ond week</w:t>
      </w:r>
      <w:r w:rsidR="0091327E" w:rsidRPr="0091327E">
        <w:rPr>
          <w:sz w:val="22"/>
          <w:szCs w:val="22"/>
        </w:rPr>
        <w:t xml:space="preserve">, participants will receive either </w:t>
      </w:r>
      <w:proofErr w:type="spellStart"/>
      <w:r w:rsidR="0091327E" w:rsidRPr="0091327E">
        <w:rPr>
          <w:sz w:val="22"/>
          <w:szCs w:val="22"/>
        </w:rPr>
        <w:t>tRNS</w:t>
      </w:r>
      <w:proofErr w:type="spellEnd"/>
      <w:r w:rsidR="0057187A">
        <w:rPr>
          <w:sz w:val="22"/>
          <w:szCs w:val="22"/>
        </w:rPr>
        <w:t xml:space="preserve"> or </w:t>
      </w:r>
      <w:proofErr w:type="spellStart"/>
      <w:r w:rsidR="0057187A">
        <w:rPr>
          <w:sz w:val="22"/>
          <w:szCs w:val="22"/>
        </w:rPr>
        <w:t>tDCS</w:t>
      </w:r>
      <w:proofErr w:type="spellEnd"/>
      <w:r w:rsidR="0091327E" w:rsidRPr="0091327E">
        <w:rPr>
          <w:sz w:val="22"/>
          <w:szCs w:val="22"/>
        </w:rPr>
        <w:t xml:space="preserve"> during the FMT.</w:t>
      </w:r>
    </w:p>
    <w:p w14:paraId="4F43D6DB" w14:textId="77777777" w:rsidR="003F109F" w:rsidRPr="0044227B" w:rsidRDefault="003F109F" w:rsidP="005B1AB5">
      <w:pPr>
        <w:jc w:val="both"/>
        <w:rPr>
          <w:b/>
          <w:sz w:val="22"/>
          <w:szCs w:val="22"/>
        </w:rPr>
      </w:pPr>
      <w:r w:rsidRPr="005B1AB5">
        <w:rPr>
          <w:b/>
          <w:sz w:val="22"/>
          <w:szCs w:val="22"/>
        </w:rPr>
        <w:t>Dosing and Treatment:</w:t>
      </w:r>
      <w:r w:rsidR="0091327E">
        <w:rPr>
          <w:b/>
          <w:sz w:val="22"/>
          <w:szCs w:val="22"/>
        </w:rPr>
        <w:t xml:space="preserve"> </w:t>
      </w:r>
      <w:r w:rsidR="009553A1" w:rsidRPr="0044227B">
        <w:rPr>
          <w:sz w:val="22"/>
          <w:szCs w:val="22"/>
        </w:rPr>
        <w:t xml:space="preserve">Subjects will </w:t>
      </w:r>
      <w:r w:rsidR="0091327E">
        <w:rPr>
          <w:sz w:val="22"/>
          <w:szCs w:val="22"/>
        </w:rPr>
        <w:t>participate in a total of six 1-hour long FMT</w:t>
      </w:r>
      <w:r w:rsidR="00501264" w:rsidRPr="0044227B">
        <w:rPr>
          <w:sz w:val="22"/>
          <w:szCs w:val="22"/>
        </w:rPr>
        <w:t xml:space="preserve"> + </w:t>
      </w:r>
      <w:r w:rsidR="0091327E">
        <w:rPr>
          <w:sz w:val="22"/>
          <w:szCs w:val="22"/>
        </w:rPr>
        <w:t>stimulation (</w:t>
      </w:r>
      <w:proofErr w:type="spellStart"/>
      <w:r w:rsidR="0091327E">
        <w:rPr>
          <w:sz w:val="22"/>
          <w:szCs w:val="22"/>
        </w:rPr>
        <w:t>tRNS</w:t>
      </w:r>
      <w:proofErr w:type="spellEnd"/>
      <w:r w:rsidR="0057187A">
        <w:rPr>
          <w:sz w:val="22"/>
          <w:szCs w:val="22"/>
        </w:rPr>
        <w:t xml:space="preserve">, </w:t>
      </w:r>
      <w:proofErr w:type="spellStart"/>
      <w:r w:rsidR="0057187A">
        <w:rPr>
          <w:sz w:val="22"/>
          <w:szCs w:val="22"/>
        </w:rPr>
        <w:t>tDCS</w:t>
      </w:r>
      <w:proofErr w:type="spellEnd"/>
      <w:r w:rsidR="0057187A">
        <w:rPr>
          <w:sz w:val="22"/>
          <w:szCs w:val="22"/>
        </w:rPr>
        <w:t>,</w:t>
      </w:r>
      <w:r w:rsidR="0091327E">
        <w:rPr>
          <w:sz w:val="22"/>
          <w:szCs w:val="22"/>
        </w:rPr>
        <w:t xml:space="preserve"> or sham-</w:t>
      </w:r>
      <w:proofErr w:type="spellStart"/>
      <w:r w:rsidR="0091327E">
        <w:rPr>
          <w:sz w:val="22"/>
          <w:szCs w:val="22"/>
        </w:rPr>
        <w:t>t</w:t>
      </w:r>
      <w:r w:rsidR="0057187A">
        <w:rPr>
          <w:sz w:val="22"/>
          <w:szCs w:val="22"/>
        </w:rPr>
        <w:t>DCS</w:t>
      </w:r>
      <w:proofErr w:type="spellEnd"/>
      <w:r w:rsidR="0091327E">
        <w:rPr>
          <w:sz w:val="22"/>
          <w:szCs w:val="22"/>
        </w:rPr>
        <w:t>) sessions – 3 per week for 2</w:t>
      </w:r>
      <w:r w:rsidR="00501264" w:rsidRPr="0044227B">
        <w:rPr>
          <w:sz w:val="22"/>
          <w:szCs w:val="22"/>
        </w:rPr>
        <w:t xml:space="preserve"> weeks.</w:t>
      </w:r>
    </w:p>
    <w:p w14:paraId="789675C2" w14:textId="77777777" w:rsidR="005B69BF" w:rsidRDefault="003F109F" w:rsidP="005B1AB5">
      <w:pPr>
        <w:jc w:val="both"/>
        <w:rPr>
          <w:sz w:val="22"/>
        </w:rPr>
      </w:pPr>
      <w:r w:rsidRPr="005B1AB5">
        <w:rPr>
          <w:b/>
          <w:sz w:val="22"/>
          <w:szCs w:val="22"/>
        </w:rPr>
        <w:t xml:space="preserve">Identity of </w:t>
      </w:r>
      <w:r w:rsidR="0029095F" w:rsidRPr="005B1AB5">
        <w:rPr>
          <w:b/>
          <w:sz w:val="22"/>
          <w:szCs w:val="22"/>
        </w:rPr>
        <w:t>Medication/Device</w:t>
      </w:r>
      <w:r w:rsidR="00C3754C" w:rsidRPr="005B1AB5">
        <w:rPr>
          <w:b/>
          <w:sz w:val="22"/>
          <w:szCs w:val="22"/>
        </w:rPr>
        <w:t>/Treatment</w:t>
      </w:r>
      <w:r w:rsidRPr="005B1AB5">
        <w:rPr>
          <w:b/>
          <w:sz w:val="22"/>
          <w:szCs w:val="22"/>
        </w:rPr>
        <w:t xml:space="preserve">: </w:t>
      </w:r>
      <w:r w:rsidR="0091327E">
        <w:rPr>
          <w:sz w:val="22"/>
          <w:szCs w:val="22"/>
        </w:rPr>
        <w:t>TRNS</w:t>
      </w:r>
      <w:r w:rsidR="0057187A">
        <w:rPr>
          <w:sz w:val="22"/>
          <w:szCs w:val="22"/>
        </w:rPr>
        <w:t xml:space="preserve"> and </w:t>
      </w:r>
      <w:proofErr w:type="spellStart"/>
      <w:r w:rsidR="0057187A">
        <w:rPr>
          <w:sz w:val="22"/>
          <w:szCs w:val="22"/>
        </w:rPr>
        <w:t>tDCS</w:t>
      </w:r>
      <w:proofErr w:type="spellEnd"/>
      <w:r w:rsidR="003845F7" w:rsidRPr="003845F7">
        <w:rPr>
          <w:sz w:val="22"/>
          <w:szCs w:val="22"/>
        </w:rPr>
        <w:t xml:space="preserve"> </w:t>
      </w:r>
      <w:r w:rsidR="00850C80">
        <w:rPr>
          <w:sz w:val="22"/>
          <w:szCs w:val="22"/>
        </w:rPr>
        <w:t xml:space="preserve">will be delivered using </w:t>
      </w:r>
      <w:r w:rsidR="005B69BF" w:rsidRPr="005B69BF">
        <w:rPr>
          <w:sz w:val="22"/>
        </w:rPr>
        <w:t>a commercially available NIBS device (</w:t>
      </w:r>
      <w:proofErr w:type="spellStart"/>
      <w:r w:rsidR="005B69BF" w:rsidRPr="005B69BF">
        <w:rPr>
          <w:sz w:val="22"/>
        </w:rPr>
        <w:t>Starstim</w:t>
      </w:r>
      <w:proofErr w:type="spellEnd"/>
      <w:r w:rsidR="005B69BF" w:rsidRPr="005B69BF">
        <w:rPr>
          <w:sz w:val="22"/>
        </w:rPr>
        <w:t xml:space="preserve"> 8, </w:t>
      </w:r>
      <w:proofErr w:type="spellStart"/>
      <w:r w:rsidR="005B69BF" w:rsidRPr="005B69BF">
        <w:rPr>
          <w:sz w:val="22"/>
        </w:rPr>
        <w:t>Neuroelectrics</w:t>
      </w:r>
      <w:proofErr w:type="spellEnd"/>
      <w:r w:rsidR="005B69BF" w:rsidRPr="005B69BF">
        <w:rPr>
          <w:sz w:val="22"/>
        </w:rPr>
        <w:t>, Cambridge, MA)</w:t>
      </w:r>
      <w:r w:rsidR="005B69BF">
        <w:rPr>
          <w:sz w:val="22"/>
        </w:rPr>
        <w:t>.</w:t>
      </w:r>
    </w:p>
    <w:p w14:paraId="3F308A63" w14:textId="77777777" w:rsidR="00331331" w:rsidRPr="0044227B" w:rsidRDefault="00331331" w:rsidP="001021A1">
      <w:pPr>
        <w:ind w:left="1440"/>
        <w:rPr>
          <w:b/>
          <w:sz w:val="22"/>
          <w:szCs w:val="22"/>
        </w:rPr>
      </w:pPr>
    </w:p>
    <w:p w14:paraId="4439DBFF" w14:textId="77777777" w:rsidR="00BE25AC" w:rsidRDefault="009D622A" w:rsidP="00EC23D2">
      <w:pPr>
        <w:pStyle w:val="ListParagraph"/>
        <w:numPr>
          <w:ilvl w:val="0"/>
          <w:numId w:val="34"/>
        </w:numPr>
        <w:tabs>
          <w:tab w:val="left" w:pos="0"/>
        </w:tabs>
        <w:ind w:left="0" w:firstLine="0"/>
        <w:rPr>
          <w:b/>
          <w:sz w:val="22"/>
          <w:szCs w:val="22"/>
        </w:rPr>
      </w:pPr>
      <w:r w:rsidRPr="0044227B">
        <w:rPr>
          <w:b/>
          <w:sz w:val="22"/>
          <w:szCs w:val="22"/>
        </w:rPr>
        <w:t>References</w:t>
      </w:r>
    </w:p>
    <w:p w14:paraId="7AB98BEB" w14:textId="77777777" w:rsidR="00365B9D" w:rsidRDefault="00365B9D" w:rsidP="00365B9D">
      <w:pPr>
        <w:tabs>
          <w:tab w:val="left" w:pos="0"/>
        </w:tabs>
        <w:rPr>
          <w:b/>
          <w:sz w:val="22"/>
          <w:szCs w:val="22"/>
        </w:rPr>
      </w:pPr>
    </w:p>
    <w:p w14:paraId="3B399EBF" w14:textId="77777777" w:rsidR="00EA06E5" w:rsidRPr="00EA06E5" w:rsidRDefault="00365B9D" w:rsidP="00EA06E5">
      <w:pPr>
        <w:widowControl w:val="0"/>
        <w:autoSpaceDE w:val="0"/>
        <w:autoSpaceDN w:val="0"/>
        <w:adjustRightInd w:val="0"/>
        <w:rPr>
          <w:noProof/>
          <w:sz w:val="22"/>
        </w:rPr>
      </w:pPr>
      <w:r>
        <w:rPr>
          <w:b/>
          <w:sz w:val="22"/>
          <w:szCs w:val="22"/>
        </w:rPr>
        <w:fldChar w:fldCharType="begin" w:fldLock="1"/>
      </w:r>
      <w:r>
        <w:rPr>
          <w:b/>
          <w:sz w:val="22"/>
          <w:szCs w:val="22"/>
        </w:rPr>
        <w:instrText xml:space="preserve">ADDIN Mendeley Bibliography CSL_BIBLIOGRAPHY </w:instrText>
      </w:r>
      <w:r>
        <w:rPr>
          <w:b/>
          <w:sz w:val="22"/>
          <w:szCs w:val="22"/>
        </w:rPr>
        <w:fldChar w:fldCharType="separate"/>
      </w:r>
      <w:r w:rsidR="00EA06E5" w:rsidRPr="00EA06E5">
        <w:rPr>
          <w:noProof/>
          <w:sz w:val="22"/>
        </w:rPr>
        <w:t>1. Field-Fote EC. Spinal cord injury rehabilitation. F.A. Davis; 2009.</w:t>
      </w:r>
    </w:p>
    <w:p w14:paraId="2C8BE047" w14:textId="77777777" w:rsidR="00EA06E5" w:rsidRPr="00EA06E5" w:rsidRDefault="00EA06E5" w:rsidP="00EA06E5">
      <w:pPr>
        <w:widowControl w:val="0"/>
        <w:autoSpaceDE w:val="0"/>
        <w:autoSpaceDN w:val="0"/>
        <w:adjustRightInd w:val="0"/>
        <w:rPr>
          <w:noProof/>
          <w:sz w:val="22"/>
        </w:rPr>
      </w:pPr>
      <w:r w:rsidRPr="00EA06E5">
        <w:rPr>
          <w:noProof/>
          <w:sz w:val="22"/>
        </w:rPr>
        <w:t>2. Gomes-Osman J, Field-Fote EC. Improvements in hand function in adults with chronic tetraplegia following a multiday 10-Hz repetitive transcranial magnetic stimulation intervention combined with repetitive task practice. J Neurol Phys Ther. 2015;39:23–30.</w:t>
      </w:r>
    </w:p>
    <w:p w14:paraId="0D27C3EF" w14:textId="77777777" w:rsidR="00EA06E5" w:rsidRPr="00EA06E5" w:rsidRDefault="00EA06E5" w:rsidP="00EA06E5">
      <w:pPr>
        <w:widowControl w:val="0"/>
        <w:autoSpaceDE w:val="0"/>
        <w:autoSpaceDN w:val="0"/>
        <w:adjustRightInd w:val="0"/>
        <w:rPr>
          <w:noProof/>
          <w:sz w:val="22"/>
        </w:rPr>
      </w:pPr>
      <w:r w:rsidRPr="00EA06E5">
        <w:rPr>
          <w:noProof/>
          <w:sz w:val="22"/>
        </w:rPr>
        <w:t>3. Gunduz A, Rothwell J, Vidal J, Kumru H. Non-invasive brain stimulation to promote motor and functional recovery following spinal cord injury. Neural Regen Res. 2017;12:1933.</w:t>
      </w:r>
    </w:p>
    <w:p w14:paraId="49946DE2" w14:textId="77777777" w:rsidR="00EA06E5" w:rsidRPr="00EA06E5" w:rsidRDefault="00EA06E5" w:rsidP="00EA06E5">
      <w:pPr>
        <w:widowControl w:val="0"/>
        <w:autoSpaceDE w:val="0"/>
        <w:autoSpaceDN w:val="0"/>
        <w:adjustRightInd w:val="0"/>
        <w:rPr>
          <w:noProof/>
          <w:sz w:val="22"/>
        </w:rPr>
      </w:pPr>
      <w:r w:rsidRPr="00EA06E5">
        <w:rPr>
          <w:noProof/>
          <w:sz w:val="22"/>
        </w:rPr>
        <w:t>4. Gomes-Osman J, Field-Fote EC. Cortical vs. afferent stimulation as an adjunct to functional task practice training: a randomized, comparative pilot study in people with cervical spinal cord injury. Clin Rehabil. 2015;29:771–82.</w:t>
      </w:r>
    </w:p>
    <w:p w14:paraId="5E484A92" w14:textId="77777777" w:rsidR="00EA06E5" w:rsidRPr="00EA06E5" w:rsidRDefault="00EA06E5" w:rsidP="00EA06E5">
      <w:pPr>
        <w:widowControl w:val="0"/>
        <w:autoSpaceDE w:val="0"/>
        <w:autoSpaceDN w:val="0"/>
        <w:adjustRightInd w:val="0"/>
        <w:rPr>
          <w:noProof/>
          <w:sz w:val="22"/>
        </w:rPr>
      </w:pPr>
      <w:r w:rsidRPr="00EA06E5">
        <w:rPr>
          <w:noProof/>
          <w:sz w:val="22"/>
        </w:rPr>
        <w:t>5. López-Alonso V, Cheeran B, Río-Rodríguez D, Fernández-Del-Olmo M. Inter-individual variability in response to non-invasive brain stimulation paradigms. Brain Stimul. 2014;7:372–80.</w:t>
      </w:r>
    </w:p>
    <w:p w14:paraId="1661AA38" w14:textId="77777777" w:rsidR="00EA06E5" w:rsidRPr="00EA06E5" w:rsidRDefault="00EA06E5" w:rsidP="00EA06E5">
      <w:pPr>
        <w:widowControl w:val="0"/>
        <w:autoSpaceDE w:val="0"/>
        <w:autoSpaceDN w:val="0"/>
        <w:adjustRightInd w:val="0"/>
        <w:rPr>
          <w:noProof/>
          <w:sz w:val="22"/>
        </w:rPr>
      </w:pPr>
      <w:r w:rsidRPr="00EA06E5">
        <w:rPr>
          <w:noProof/>
          <w:sz w:val="22"/>
        </w:rPr>
        <w:lastRenderedPageBreak/>
        <w:t>6. Inukai Y, Saito K, Sasaki R, Tsuiki S, Miyaguchi S, Kojima S, et al. Comparison of Three Non-Invasive Transcranial Electrical Stimulation Methods for Increasing Cortical Excitability. Front Hum Neurosci. 2016;10.</w:t>
      </w:r>
    </w:p>
    <w:p w14:paraId="3BCBDE64" w14:textId="77777777" w:rsidR="00EA06E5" w:rsidRPr="00EA06E5" w:rsidRDefault="00EA06E5" w:rsidP="00EA06E5">
      <w:pPr>
        <w:widowControl w:val="0"/>
        <w:autoSpaceDE w:val="0"/>
        <w:autoSpaceDN w:val="0"/>
        <w:adjustRightInd w:val="0"/>
        <w:rPr>
          <w:noProof/>
          <w:sz w:val="22"/>
        </w:rPr>
      </w:pPr>
      <w:r w:rsidRPr="00EA06E5">
        <w:rPr>
          <w:noProof/>
          <w:sz w:val="22"/>
        </w:rPr>
        <w:t>7. Rawji V, Ciocca M, Zacharia A, Soares D, Truong D, Bikson M, et al. tDCS changes in motor excitability are specific to orientation of current flow. Brain Stimul. 2018;11:289–98.</w:t>
      </w:r>
    </w:p>
    <w:p w14:paraId="171F7713" w14:textId="77777777" w:rsidR="00EA06E5" w:rsidRPr="00EA06E5" w:rsidRDefault="00EA06E5" w:rsidP="00EA06E5">
      <w:pPr>
        <w:widowControl w:val="0"/>
        <w:autoSpaceDE w:val="0"/>
        <w:autoSpaceDN w:val="0"/>
        <w:adjustRightInd w:val="0"/>
        <w:rPr>
          <w:noProof/>
          <w:sz w:val="22"/>
        </w:rPr>
      </w:pPr>
      <w:r w:rsidRPr="00EA06E5">
        <w:rPr>
          <w:noProof/>
          <w:sz w:val="22"/>
        </w:rPr>
        <w:t>8. Terney D, Chaieb L, Moliadze V, Antal A, Paulus W. Increasing Human Brain Excitability by Transcranial High-Frequency Random Noise Stimulation. J Neurosci. 2008;28:14147–55.</w:t>
      </w:r>
    </w:p>
    <w:p w14:paraId="2D27D817" w14:textId="77777777" w:rsidR="00EA06E5" w:rsidRPr="00EA06E5" w:rsidRDefault="00EA06E5" w:rsidP="00EA06E5">
      <w:pPr>
        <w:widowControl w:val="0"/>
        <w:autoSpaceDE w:val="0"/>
        <w:autoSpaceDN w:val="0"/>
        <w:adjustRightInd w:val="0"/>
        <w:rPr>
          <w:noProof/>
          <w:sz w:val="22"/>
        </w:rPr>
      </w:pPr>
      <w:r w:rsidRPr="00EA06E5">
        <w:rPr>
          <w:noProof/>
          <w:sz w:val="22"/>
        </w:rPr>
        <w:t>9. Aihara T, Kitajo K, Nozaki D, Yamamoto Y. How does stochastic resonance work within the human brain? - Psychophysics of internal and external noise. Chem Phys. 2010;375:616–24.</w:t>
      </w:r>
    </w:p>
    <w:p w14:paraId="6C99A911" w14:textId="77777777" w:rsidR="00EA06E5" w:rsidRPr="00EA06E5" w:rsidRDefault="00EA06E5" w:rsidP="00EA06E5">
      <w:pPr>
        <w:widowControl w:val="0"/>
        <w:autoSpaceDE w:val="0"/>
        <w:autoSpaceDN w:val="0"/>
        <w:adjustRightInd w:val="0"/>
        <w:rPr>
          <w:noProof/>
          <w:sz w:val="22"/>
        </w:rPr>
      </w:pPr>
      <w:r w:rsidRPr="00EA06E5">
        <w:rPr>
          <w:noProof/>
          <w:sz w:val="22"/>
        </w:rPr>
        <w:t>10. Prichard G, Weiller C, Fritsch B, Reis J. Effects of different electrical brain stimulation protocols on subcomponents of motor skill learning. Brain Stimul. 2014;7:532–40.</w:t>
      </w:r>
    </w:p>
    <w:p w14:paraId="5DF7F2A6" w14:textId="77777777" w:rsidR="00EA06E5" w:rsidRPr="00EA06E5" w:rsidRDefault="00EA06E5" w:rsidP="00EA06E5">
      <w:pPr>
        <w:widowControl w:val="0"/>
        <w:autoSpaceDE w:val="0"/>
        <w:autoSpaceDN w:val="0"/>
        <w:adjustRightInd w:val="0"/>
        <w:rPr>
          <w:noProof/>
          <w:sz w:val="22"/>
        </w:rPr>
      </w:pPr>
      <w:r w:rsidRPr="00EA06E5">
        <w:rPr>
          <w:noProof/>
          <w:sz w:val="22"/>
        </w:rPr>
        <w:t>11. Snoek GJ, IJzerman MJ, Hermens HJ, Maxwell D, Biering-Sorensen F. Survey of the needs of patients with spinal cord injury: impact and priority for improvement in hand function in tetraplegics. Spinal Cord. 2004;42:526–32.</w:t>
      </w:r>
    </w:p>
    <w:p w14:paraId="0C24C5B7" w14:textId="77777777" w:rsidR="00EA06E5" w:rsidRPr="00EA06E5" w:rsidRDefault="00EA06E5" w:rsidP="00EA06E5">
      <w:pPr>
        <w:widowControl w:val="0"/>
        <w:autoSpaceDE w:val="0"/>
        <w:autoSpaceDN w:val="0"/>
        <w:adjustRightInd w:val="0"/>
        <w:rPr>
          <w:noProof/>
          <w:sz w:val="22"/>
        </w:rPr>
      </w:pPr>
      <w:r w:rsidRPr="00EA06E5">
        <w:rPr>
          <w:noProof/>
          <w:sz w:val="22"/>
        </w:rPr>
        <w:t>12. Wuolle KS, Van Doren CL, Thrope GB, Keith MW, Peckham PH. Development of a quantitative hand grasp and release test for patients with tetraplegia using a hand neuroprosthesis. J Hand Surg Am. 1994;19:209–18.</w:t>
      </w:r>
    </w:p>
    <w:p w14:paraId="79C1B72C" w14:textId="77777777" w:rsidR="00EA06E5" w:rsidRPr="00EA06E5" w:rsidRDefault="00EA06E5" w:rsidP="00EA06E5">
      <w:pPr>
        <w:widowControl w:val="0"/>
        <w:autoSpaceDE w:val="0"/>
        <w:autoSpaceDN w:val="0"/>
        <w:adjustRightInd w:val="0"/>
        <w:rPr>
          <w:noProof/>
          <w:sz w:val="22"/>
        </w:rPr>
      </w:pPr>
      <w:r w:rsidRPr="00EA06E5">
        <w:rPr>
          <w:noProof/>
          <w:sz w:val="22"/>
        </w:rPr>
        <w:t>13. Barreca SR, Stratford PW, Lambert CL, Masters LM, Streiner DL. Test-Retest Reliability, Validity, and Sensitivity of the Chedoke Arm and Hand Activity Inventory: A New Measure of Upper-Limb Function for Survivors of Stroke. Arch Phys Med Rehabil. 2005;86:1616–22.</w:t>
      </w:r>
    </w:p>
    <w:p w14:paraId="179D0DF2" w14:textId="77777777" w:rsidR="00EA06E5" w:rsidRPr="00EA06E5" w:rsidRDefault="00EA06E5" w:rsidP="00EA06E5">
      <w:pPr>
        <w:widowControl w:val="0"/>
        <w:autoSpaceDE w:val="0"/>
        <w:autoSpaceDN w:val="0"/>
        <w:adjustRightInd w:val="0"/>
        <w:rPr>
          <w:noProof/>
          <w:sz w:val="22"/>
        </w:rPr>
      </w:pPr>
      <w:r w:rsidRPr="00EA06E5">
        <w:rPr>
          <w:noProof/>
          <w:sz w:val="22"/>
        </w:rPr>
        <w:t>14. Lincoln N, Jackson J, Adams S. Reliability and Revision of the Nottingham Sensory Assessment for Stroke Patients. Physiotherapy. 1998;84:358–65.</w:t>
      </w:r>
    </w:p>
    <w:p w14:paraId="7F2CB33C" w14:textId="77777777" w:rsidR="00EA06E5" w:rsidRPr="00EA06E5" w:rsidRDefault="00EA06E5" w:rsidP="00EA06E5">
      <w:pPr>
        <w:widowControl w:val="0"/>
        <w:autoSpaceDE w:val="0"/>
        <w:autoSpaceDN w:val="0"/>
        <w:adjustRightInd w:val="0"/>
        <w:rPr>
          <w:noProof/>
          <w:sz w:val="22"/>
        </w:rPr>
      </w:pPr>
      <w:r w:rsidRPr="00EA06E5">
        <w:rPr>
          <w:noProof/>
          <w:sz w:val="22"/>
        </w:rPr>
        <w:t>15. Kalsi-Ryan S, Curt A, Verrier MC, Fehlings MG. Development of the Graded Redefined Assessment of Strength, Sensibility and Prehension (GRASSP): reviewing measurement specific to the upper limb in tetraplegia. J Neurosurg Spine. 2012;17:65–76.</w:t>
      </w:r>
    </w:p>
    <w:p w14:paraId="70E4F915" w14:textId="77777777" w:rsidR="00EA06E5" w:rsidRPr="00EA06E5" w:rsidRDefault="00EA06E5" w:rsidP="00EA06E5">
      <w:pPr>
        <w:widowControl w:val="0"/>
        <w:autoSpaceDE w:val="0"/>
        <w:autoSpaceDN w:val="0"/>
        <w:adjustRightInd w:val="0"/>
        <w:rPr>
          <w:noProof/>
          <w:sz w:val="22"/>
        </w:rPr>
      </w:pPr>
      <w:r w:rsidRPr="00EA06E5">
        <w:rPr>
          <w:noProof/>
          <w:sz w:val="22"/>
        </w:rPr>
        <w:t>16. Groppa S, Oliviero A, Eisen A, Quartarone A, Cohen LG, Mall V, et al. A practical guide to diagnostic transcranial magnetic stimulation: Report of an IFCN committee. Clinical Neurophysiology. 2012;123:858–82.</w:t>
      </w:r>
    </w:p>
    <w:p w14:paraId="1B34973D" w14:textId="77777777" w:rsidR="00EA06E5" w:rsidRPr="00EA06E5" w:rsidRDefault="00EA06E5" w:rsidP="00EA06E5">
      <w:pPr>
        <w:widowControl w:val="0"/>
        <w:autoSpaceDE w:val="0"/>
        <w:autoSpaceDN w:val="0"/>
        <w:adjustRightInd w:val="0"/>
        <w:rPr>
          <w:noProof/>
          <w:sz w:val="22"/>
        </w:rPr>
      </w:pPr>
      <w:r w:rsidRPr="00EA06E5">
        <w:rPr>
          <w:noProof/>
          <w:sz w:val="22"/>
        </w:rPr>
        <w:t>17. Calancie B, Alexeeva N, Broton JG, Suys S, Hall A, Klose KJ. Distribution and latency of muscle responses to transcranial magnetic stimulation of motor cortex after spinal cord injury in humans. J Neurotrauma. 1999;16:49–67.</w:t>
      </w:r>
    </w:p>
    <w:p w14:paraId="4B9AB555" w14:textId="77777777" w:rsidR="00EA06E5" w:rsidRPr="00EA06E5" w:rsidRDefault="00EA06E5" w:rsidP="00EA06E5">
      <w:pPr>
        <w:widowControl w:val="0"/>
        <w:autoSpaceDE w:val="0"/>
        <w:autoSpaceDN w:val="0"/>
        <w:adjustRightInd w:val="0"/>
        <w:rPr>
          <w:noProof/>
          <w:sz w:val="22"/>
        </w:rPr>
      </w:pPr>
      <w:r w:rsidRPr="00EA06E5">
        <w:rPr>
          <w:noProof/>
          <w:sz w:val="22"/>
        </w:rPr>
        <w:t>18. Smith H, Savic G, Frankel H, Ella way P, Maskill D, Jamous M, et al. Corticospinal function studied over time following incomplete spinal cord injury. Spinal Cord. 2000;38:292.</w:t>
      </w:r>
    </w:p>
    <w:p w14:paraId="092B643C" w14:textId="77777777" w:rsidR="00EA06E5" w:rsidRPr="00EA06E5" w:rsidRDefault="00EA06E5" w:rsidP="00EA06E5">
      <w:pPr>
        <w:widowControl w:val="0"/>
        <w:autoSpaceDE w:val="0"/>
        <w:autoSpaceDN w:val="0"/>
        <w:adjustRightInd w:val="0"/>
        <w:rPr>
          <w:noProof/>
          <w:sz w:val="22"/>
        </w:rPr>
      </w:pPr>
      <w:r w:rsidRPr="00EA06E5">
        <w:rPr>
          <w:noProof/>
          <w:sz w:val="22"/>
        </w:rPr>
        <w:t>19. Nitsche MA, Seeber A, Frommann K, Klein CC, Rochford C, Nitsche MS, et al. Modulating parameters of excitability during and after transcranial direct current stimulation of the human motor cortex. J Physiol. 2005;568:291–303.</w:t>
      </w:r>
    </w:p>
    <w:p w14:paraId="60B109EB" w14:textId="77777777" w:rsidR="00EA06E5" w:rsidRPr="00EA06E5" w:rsidRDefault="00EA06E5" w:rsidP="00EA06E5">
      <w:pPr>
        <w:widowControl w:val="0"/>
        <w:autoSpaceDE w:val="0"/>
        <w:autoSpaceDN w:val="0"/>
        <w:adjustRightInd w:val="0"/>
        <w:rPr>
          <w:noProof/>
          <w:sz w:val="22"/>
        </w:rPr>
      </w:pPr>
      <w:r w:rsidRPr="00EA06E5">
        <w:rPr>
          <w:noProof/>
          <w:sz w:val="22"/>
        </w:rPr>
        <w:t>20. Mulcahey MJ, Smith BT, Betz RR. Psychometric rigor of the Grasp and Release Test for measuring functional limitation of persons with tetraplegia: a preliminary analysis. J Spinal Cord Med. 2004;27:41–6.</w:t>
      </w:r>
    </w:p>
    <w:p w14:paraId="02D65816" w14:textId="77777777" w:rsidR="00EA06E5" w:rsidRPr="00EA06E5" w:rsidRDefault="00EA06E5" w:rsidP="00EA06E5">
      <w:pPr>
        <w:widowControl w:val="0"/>
        <w:autoSpaceDE w:val="0"/>
        <w:autoSpaceDN w:val="0"/>
        <w:adjustRightInd w:val="0"/>
        <w:rPr>
          <w:noProof/>
          <w:sz w:val="22"/>
        </w:rPr>
      </w:pPr>
      <w:r w:rsidRPr="00EA06E5">
        <w:rPr>
          <w:noProof/>
          <w:sz w:val="22"/>
        </w:rPr>
        <w:t>21. Hoffman LR, Field-Fote EC. Functional and Corticomotor Changes in Individuals With Tetraplegia Following Unimanual or Bimanual Massed Practice Training With Somatosensory Stimulation. J Neurol Phys Ther. 2010;34:193–201.</w:t>
      </w:r>
    </w:p>
    <w:p w14:paraId="73FE040E" w14:textId="77777777" w:rsidR="00EA06E5" w:rsidRPr="00EA06E5" w:rsidRDefault="00EA06E5" w:rsidP="00EA06E5">
      <w:pPr>
        <w:widowControl w:val="0"/>
        <w:autoSpaceDE w:val="0"/>
        <w:autoSpaceDN w:val="0"/>
        <w:adjustRightInd w:val="0"/>
        <w:rPr>
          <w:noProof/>
          <w:sz w:val="22"/>
        </w:rPr>
      </w:pPr>
      <w:r w:rsidRPr="00EA06E5">
        <w:rPr>
          <w:noProof/>
          <w:sz w:val="22"/>
        </w:rPr>
        <w:t>22. Kalsi-Ryan S, Beaton D, Ahn H, Askes H, Drew B, Curt A, et al. Responsiveness, Sensitivity, and Minimally Detectable Difference of the Graded and Redefined Assessment of Strength, Sensibility, and Prehension, Version 1.0. J Neurotrauma. 2016;33:307–14.</w:t>
      </w:r>
    </w:p>
    <w:p w14:paraId="72EE728A" w14:textId="77777777" w:rsidR="00EA06E5" w:rsidRPr="00EA06E5" w:rsidRDefault="00EA06E5" w:rsidP="00EA06E5">
      <w:pPr>
        <w:widowControl w:val="0"/>
        <w:autoSpaceDE w:val="0"/>
        <w:autoSpaceDN w:val="0"/>
        <w:adjustRightInd w:val="0"/>
        <w:rPr>
          <w:noProof/>
          <w:sz w:val="22"/>
        </w:rPr>
      </w:pPr>
      <w:r w:rsidRPr="00EA06E5">
        <w:rPr>
          <w:noProof/>
          <w:sz w:val="22"/>
        </w:rPr>
        <w:t>23. Gomes-Osman J, Field-Fote EC. Bihemispheric anodal corticomotor stimulation using transcranial direct current stimulation improves bimanual typing task performance. J Mot Behav. 2013;45:361–7.</w:t>
      </w:r>
    </w:p>
    <w:p w14:paraId="40AD06CD" w14:textId="77777777" w:rsidR="00EA06E5" w:rsidRPr="00EA06E5" w:rsidRDefault="00EA06E5" w:rsidP="00EA06E5">
      <w:pPr>
        <w:widowControl w:val="0"/>
        <w:autoSpaceDE w:val="0"/>
        <w:autoSpaceDN w:val="0"/>
        <w:adjustRightInd w:val="0"/>
        <w:rPr>
          <w:noProof/>
          <w:sz w:val="22"/>
        </w:rPr>
      </w:pPr>
      <w:r w:rsidRPr="00EA06E5">
        <w:rPr>
          <w:noProof/>
          <w:sz w:val="22"/>
        </w:rPr>
        <w:t>24. Beekhuizen KS, Field-Fote EC. Sensory stimulation augments the effects of massed practice training in persons with tetraplegia. Arch Phys Med Rehabil. 2008;89:602–8.</w:t>
      </w:r>
    </w:p>
    <w:p w14:paraId="48EACB40" w14:textId="77777777" w:rsidR="00EA06E5" w:rsidRPr="00EA06E5" w:rsidRDefault="00EA06E5" w:rsidP="00EA06E5">
      <w:pPr>
        <w:widowControl w:val="0"/>
        <w:autoSpaceDE w:val="0"/>
        <w:autoSpaceDN w:val="0"/>
        <w:adjustRightInd w:val="0"/>
        <w:rPr>
          <w:noProof/>
          <w:sz w:val="22"/>
        </w:rPr>
      </w:pPr>
      <w:r w:rsidRPr="00EA06E5">
        <w:rPr>
          <w:noProof/>
          <w:sz w:val="22"/>
        </w:rPr>
        <w:t xml:space="preserve">25. Antal A, Alekseichuk I, Bikson M, Brockmöller J, Brunoni AR, Chen R, et al. Low intensity transcranial electric stimulation: Safety, ethical, legal regulatory and application guidelines. Clin </w:t>
      </w:r>
      <w:r w:rsidRPr="00EA06E5">
        <w:rPr>
          <w:noProof/>
          <w:sz w:val="22"/>
        </w:rPr>
        <w:lastRenderedPageBreak/>
        <w:t>Neurophysiol. 2017;128:1774–809.</w:t>
      </w:r>
    </w:p>
    <w:p w14:paraId="72843BDA" w14:textId="77777777" w:rsidR="00EA06E5" w:rsidRPr="00EA06E5" w:rsidRDefault="00EA06E5" w:rsidP="00EA06E5">
      <w:pPr>
        <w:widowControl w:val="0"/>
        <w:autoSpaceDE w:val="0"/>
        <w:autoSpaceDN w:val="0"/>
        <w:adjustRightInd w:val="0"/>
        <w:rPr>
          <w:noProof/>
          <w:sz w:val="22"/>
        </w:rPr>
      </w:pPr>
      <w:r w:rsidRPr="00EA06E5">
        <w:rPr>
          <w:noProof/>
          <w:sz w:val="22"/>
        </w:rPr>
        <w:t>26. Murray LM, Edwards DJ, Ruffini G, Labar D, Stampas A, Pascual-Leone A, et al. Intensity Dependent Effects of Transcranial Direct Current Stimulation on Corticospinal Excitability in Chronic Spinal Cord Injury. Arch Phys Med Rehabil. 2015;96:S114–21.</w:t>
      </w:r>
    </w:p>
    <w:p w14:paraId="55F8FFB9" w14:textId="77777777" w:rsidR="00EA06E5" w:rsidRPr="00EA06E5" w:rsidRDefault="00EA06E5" w:rsidP="00EA06E5">
      <w:pPr>
        <w:widowControl w:val="0"/>
        <w:autoSpaceDE w:val="0"/>
        <w:autoSpaceDN w:val="0"/>
        <w:adjustRightInd w:val="0"/>
        <w:rPr>
          <w:noProof/>
          <w:sz w:val="22"/>
        </w:rPr>
      </w:pPr>
      <w:r w:rsidRPr="00EA06E5">
        <w:rPr>
          <w:noProof/>
          <w:sz w:val="22"/>
        </w:rPr>
        <w:t>27. Fertonani A, Pirulli C, Miniussi C. Random noise stimulation improves neuroplasticity in perceptual learning. J Neurosci. 2011;31:15416–23.</w:t>
      </w:r>
    </w:p>
    <w:p w14:paraId="4C773AD7" w14:textId="77777777" w:rsidR="00EA06E5" w:rsidRPr="00EA06E5" w:rsidRDefault="00EA06E5" w:rsidP="00EA06E5">
      <w:pPr>
        <w:widowControl w:val="0"/>
        <w:autoSpaceDE w:val="0"/>
        <w:autoSpaceDN w:val="0"/>
        <w:adjustRightInd w:val="0"/>
        <w:rPr>
          <w:noProof/>
          <w:sz w:val="22"/>
        </w:rPr>
      </w:pPr>
      <w:r w:rsidRPr="00EA06E5">
        <w:rPr>
          <w:noProof/>
          <w:sz w:val="22"/>
        </w:rPr>
        <w:t>28. Moliadze V, Antal A, Paulus W. Electrode-distance dependent after-effects of transcranial direct and random noise stimulation with extracephalic reference electrodes. Clin Neurophysiol. 2010;121:2165–71.</w:t>
      </w:r>
    </w:p>
    <w:p w14:paraId="151933C2" w14:textId="77777777" w:rsidR="00EA06E5" w:rsidRPr="00EA06E5" w:rsidRDefault="00EA06E5" w:rsidP="00EA06E5">
      <w:pPr>
        <w:widowControl w:val="0"/>
        <w:autoSpaceDE w:val="0"/>
        <w:autoSpaceDN w:val="0"/>
        <w:adjustRightInd w:val="0"/>
        <w:rPr>
          <w:noProof/>
          <w:sz w:val="22"/>
        </w:rPr>
      </w:pPr>
      <w:r w:rsidRPr="00EA06E5">
        <w:rPr>
          <w:noProof/>
          <w:sz w:val="22"/>
        </w:rPr>
        <w:t>29. Borstad AL, Bird T, Choi S, Goodman L, Schmalbrock P, Nichols-Larsen DS. Sensorimotor Training and Neural Reorganization After Stroke. J Neurol Phys Ther. 2013;37:27–36.</w:t>
      </w:r>
    </w:p>
    <w:p w14:paraId="02E3514D" w14:textId="77777777" w:rsidR="00EA06E5" w:rsidRPr="00EA06E5" w:rsidRDefault="00EA06E5" w:rsidP="00EA06E5">
      <w:pPr>
        <w:widowControl w:val="0"/>
        <w:autoSpaceDE w:val="0"/>
        <w:autoSpaceDN w:val="0"/>
        <w:adjustRightInd w:val="0"/>
        <w:rPr>
          <w:noProof/>
          <w:sz w:val="22"/>
        </w:rPr>
      </w:pPr>
      <w:r w:rsidRPr="00EA06E5">
        <w:rPr>
          <w:noProof/>
          <w:sz w:val="22"/>
        </w:rPr>
        <w:t>30. Terney D, Chaieb L, Moliadze V, Antal A, Paulus W. Increasing Human Brain Excitability by Transcranial High-Frequency Random Noise Stimulation. J Neurosci. 2008;28:14147–55.</w:t>
      </w:r>
    </w:p>
    <w:p w14:paraId="65B2B6CF" w14:textId="77777777" w:rsidR="00EA06E5" w:rsidRPr="00EA06E5" w:rsidRDefault="00EA06E5" w:rsidP="00EA06E5">
      <w:pPr>
        <w:widowControl w:val="0"/>
        <w:autoSpaceDE w:val="0"/>
        <w:autoSpaceDN w:val="0"/>
        <w:adjustRightInd w:val="0"/>
        <w:rPr>
          <w:noProof/>
          <w:sz w:val="22"/>
        </w:rPr>
      </w:pPr>
      <w:r w:rsidRPr="00EA06E5">
        <w:rPr>
          <w:noProof/>
          <w:sz w:val="22"/>
        </w:rPr>
        <w:t>31. Pirulli C, Fertonani A, Miniussi C. The Role of Timing in the Induction of Neuromodulation in Perceptual Learning by Transcranial Electric Stimulation. Brain Stimul. 2013;6:683–9.</w:t>
      </w:r>
    </w:p>
    <w:p w14:paraId="141C1A1E" w14:textId="77777777" w:rsidR="00EA06E5" w:rsidRPr="00EA06E5" w:rsidRDefault="00EA06E5" w:rsidP="00EA06E5">
      <w:pPr>
        <w:widowControl w:val="0"/>
        <w:autoSpaceDE w:val="0"/>
        <w:autoSpaceDN w:val="0"/>
        <w:adjustRightInd w:val="0"/>
        <w:rPr>
          <w:noProof/>
          <w:sz w:val="22"/>
        </w:rPr>
      </w:pPr>
      <w:r w:rsidRPr="00EA06E5">
        <w:rPr>
          <w:noProof/>
          <w:sz w:val="22"/>
        </w:rPr>
        <w:t>32. Moore CG, Carter RE, Nietert PJ, Stewart PW. Recommendations for planning pilot studies in clinical and translational research. Clin Transl Sci. 2011;4:332–7.</w:t>
      </w:r>
    </w:p>
    <w:p w14:paraId="15229F22" w14:textId="77777777" w:rsidR="00EA06E5" w:rsidRPr="00EA06E5" w:rsidRDefault="00EA06E5" w:rsidP="00EA06E5">
      <w:pPr>
        <w:widowControl w:val="0"/>
        <w:autoSpaceDE w:val="0"/>
        <w:autoSpaceDN w:val="0"/>
        <w:adjustRightInd w:val="0"/>
        <w:rPr>
          <w:noProof/>
          <w:sz w:val="22"/>
        </w:rPr>
      </w:pPr>
      <w:r w:rsidRPr="00EA06E5">
        <w:rPr>
          <w:noProof/>
          <w:sz w:val="22"/>
        </w:rPr>
        <w:t>33. Julious SA. Sample size of 12 per group rule of thumb for a pilot study. Pharm Stat. 2005;4:287–91.</w:t>
      </w:r>
    </w:p>
    <w:p w14:paraId="6C3F9199" w14:textId="77777777" w:rsidR="00EA06E5" w:rsidRPr="00EA06E5" w:rsidRDefault="00EA06E5" w:rsidP="00EA06E5">
      <w:pPr>
        <w:widowControl w:val="0"/>
        <w:autoSpaceDE w:val="0"/>
        <w:autoSpaceDN w:val="0"/>
        <w:adjustRightInd w:val="0"/>
        <w:rPr>
          <w:noProof/>
          <w:sz w:val="22"/>
        </w:rPr>
      </w:pPr>
      <w:r w:rsidRPr="00EA06E5">
        <w:rPr>
          <w:noProof/>
          <w:sz w:val="22"/>
        </w:rPr>
        <w:t>34. Dobkin BH. Progressive Staging of Pilot Studies to Improve Phase III Trials for Motor Interventions. Neurorehabil Neural Repair. 2009;23:197–206.</w:t>
      </w:r>
    </w:p>
    <w:p w14:paraId="5DC187E7" w14:textId="77777777" w:rsidR="00365B9D" w:rsidRPr="00365B9D" w:rsidRDefault="00365B9D" w:rsidP="00365B9D">
      <w:pPr>
        <w:tabs>
          <w:tab w:val="left" w:pos="0"/>
        </w:tabs>
        <w:rPr>
          <w:b/>
          <w:sz w:val="22"/>
          <w:szCs w:val="22"/>
        </w:rPr>
      </w:pPr>
      <w:r>
        <w:rPr>
          <w:b/>
          <w:sz w:val="22"/>
          <w:szCs w:val="22"/>
        </w:rPr>
        <w:fldChar w:fldCharType="end"/>
      </w:r>
    </w:p>
    <w:sectPr w:rsidR="00365B9D" w:rsidRPr="00365B9D" w:rsidSect="00926EF6">
      <w:headerReference w:type="default" r:id="rId13"/>
      <w:footerReference w:type="default" r:id="rId14"/>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Author" w:initials="A">
    <w:p w14:paraId="2C257D9E" w14:textId="2F6AEC0D" w:rsidR="00A47F1D" w:rsidRDefault="00A47F1D">
      <w:pPr>
        <w:pStyle w:val="CommentText"/>
      </w:pPr>
      <w:r>
        <w:rPr>
          <w:rStyle w:val="CommentReference"/>
        </w:rPr>
        <w:annotationRef/>
      </w:r>
      <w:r>
        <w:t>Another term for quadriplegia</w:t>
      </w:r>
    </w:p>
  </w:comment>
  <w:comment w:id="9" w:author="Author" w:initials="A">
    <w:p w14:paraId="33EE8484" w14:textId="54412A67" w:rsidR="00A47F1D" w:rsidRDefault="00A47F1D">
      <w:pPr>
        <w:pStyle w:val="CommentText"/>
      </w:pPr>
      <w:r>
        <w:rPr>
          <w:rStyle w:val="CommentReference"/>
        </w:rPr>
        <w:annotationRef/>
      </w:r>
      <w:r>
        <w:t xml:space="preserve">Act of grasping or seizing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257D9E" w15:done="0"/>
  <w15:commentEx w15:paraId="33EE84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257D9E" w16cid:durableId="247C4671"/>
  <w16cid:commentId w16cid:paraId="33EE8484" w16cid:durableId="247C47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17723" w14:textId="77777777" w:rsidR="00854A01" w:rsidRDefault="00854A01">
      <w:r>
        <w:separator/>
      </w:r>
    </w:p>
  </w:endnote>
  <w:endnote w:type="continuationSeparator" w:id="0">
    <w:p w14:paraId="0B5387A6" w14:textId="77777777" w:rsidR="00854A01" w:rsidRDefault="00854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N)">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8D808" w14:textId="77777777" w:rsidR="00B71045" w:rsidRDefault="00B71045" w:rsidP="00E4038F">
    <w:pPr>
      <w:pStyle w:val="Footer"/>
      <w:pBdr>
        <w:bottom w:val="single" w:sz="12" w:space="1" w:color="auto"/>
      </w:pBdr>
    </w:pPr>
  </w:p>
  <w:p w14:paraId="57E491DB" w14:textId="58DE33FB" w:rsidR="00B71045" w:rsidRDefault="00B71045">
    <w:pPr>
      <w:pStyle w:val="Footer"/>
      <w:tabs>
        <w:tab w:val="clear" w:pos="8640"/>
        <w:tab w:val="right" w:pos="9360"/>
      </w:tabs>
    </w:pPr>
    <w:r>
      <w:tab/>
    </w:r>
    <w:r>
      <w:tab/>
      <w:t xml:space="preserve">Version </w:t>
    </w:r>
    <w:r w:rsidR="0083300D">
      <w:t>4</w:t>
    </w:r>
    <w:r>
      <w:t xml:space="preserve">. </w:t>
    </w:r>
    <w:r w:rsidR="0083300D">
      <w:t>June</w:t>
    </w:r>
    <w:r w:rsidR="001D2254">
      <w:t xml:space="preserve"> 1</w:t>
    </w:r>
    <w:r w:rsidR="0083300D">
      <w:t>0</w:t>
    </w:r>
    <w:r>
      <w:t>, 20</w:t>
    </w:r>
    <w:r w:rsidR="001D2254">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2BF47" w14:textId="77777777" w:rsidR="00854A01" w:rsidRDefault="00854A01">
      <w:r>
        <w:separator/>
      </w:r>
    </w:p>
  </w:footnote>
  <w:footnote w:type="continuationSeparator" w:id="0">
    <w:p w14:paraId="22DC1D50" w14:textId="77777777" w:rsidR="00854A01" w:rsidRDefault="00854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7648756"/>
      <w:docPartObj>
        <w:docPartGallery w:val="Page Numbers (Top of Page)"/>
        <w:docPartUnique/>
      </w:docPartObj>
    </w:sdtPr>
    <w:sdtEndPr/>
    <w:sdtContent>
      <w:p w14:paraId="3DC71D1D" w14:textId="77777777" w:rsidR="00B71045" w:rsidRDefault="00B71045">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17</w:t>
        </w:r>
        <w:r>
          <w:rPr>
            <w:b/>
            <w:bCs/>
          </w:rPr>
          <w:fldChar w:fldCharType="end"/>
        </w:r>
      </w:p>
    </w:sdtContent>
  </w:sdt>
  <w:p w14:paraId="1AB4C052" w14:textId="77777777" w:rsidR="00B71045" w:rsidRDefault="00B71045">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11A8"/>
    <w:multiLevelType w:val="hybridMultilevel"/>
    <w:tmpl w:val="FCD62EC4"/>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Symbol"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Symbol"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Symbol"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 w15:restartNumberingAfterBreak="0">
    <w:nsid w:val="05FF2A61"/>
    <w:multiLevelType w:val="hybridMultilevel"/>
    <w:tmpl w:val="1592F09A"/>
    <w:lvl w:ilvl="0" w:tplc="04090001">
      <w:start w:val="1"/>
      <w:numFmt w:val="bullet"/>
      <w:lvlText w:val=""/>
      <w:lvlJc w:val="left"/>
      <w:pPr>
        <w:tabs>
          <w:tab w:val="num" w:pos="2520"/>
        </w:tabs>
        <w:ind w:left="2520" w:hanging="360"/>
      </w:pPr>
      <w:rPr>
        <w:rFonts w:ascii="Symbol" w:hAnsi="Symbol"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0B555BBC"/>
    <w:multiLevelType w:val="multilevel"/>
    <w:tmpl w:val="F404C2E4"/>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C40226A"/>
    <w:multiLevelType w:val="hybridMultilevel"/>
    <w:tmpl w:val="28688FCE"/>
    <w:lvl w:ilvl="0" w:tplc="04090001">
      <w:start w:val="1"/>
      <w:numFmt w:val="bullet"/>
      <w:lvlText w:val=""/>
      <w:lvlJc w:val="left"/>
      <w:pPr>
        <w:tabs>
          <w:tab w:val="num" w:pos="2520"/>
        </w:tabs>
        <w:ind w:left="2520" w:hanging="360"/>
      </w:pPr>
      <w:rPr>
        <w:rFonts w:ascii="Symbol" w:hAnsi="Symbol"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0F3C19AB"/>
    <w:multiLevelType w:val="hybridMultilevel"/>
    <w:tmpl w:val="C4300D78"/>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 w15:restartNumberingAfterBreak="0">
    <w:nsid w:val="13AC705A"/>
    <w:multiLevelType w:val="hybridMultilevel"/>
    <w:tmpl w:val="C26C21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D55E98"/>
    <w:multiLevelType w:val="multilevel"/>
    <w:tmpl w:val="89027CC2"/>
    <w:lvl w:ilvl="0">
      <w:start w:val="6"/>
      <w:numFmt w:val="decimal"/>
      <w:lvlText w:val="%1"/>
      <w:lvlJc w:val="left"/>
      <w:pPr>
        <w:tabs>
          <w:tab w:val="num" w:pos="720"/>
        </w:tabs>
        <w:ind w:left="720" w:hanging="720"/>
      </w:pPr>
      <w:rPr>
        <w:rFonts w:hint="default"/>
        <w:b/>
      </w:rPr>
    </w:lvl>
    <w:lvl w:ilvl="1">
      <w:start w:val="3"/>
      <w:numFmt w:val="decimal"/>
      <w:lvlText w:val="%1.%2"/>
      <w:lvlJc w:val="left"/>
      <w:pPr>
        <w:tabs>
          <w:tab w:val="num" w:pos="2160"/>
        </w:tabs>
        <w:ind w:left="2160" w:hanging="720"/>
      </w:pPr>
      <w:rPr>
        <w:rFonts w:hint="default"/>
        <w:b/>
      </w:rPr>
    </w:lvl>
    <w:lvl w:ilvl="2">
      <w:start w:val="1"/>
      <w:numFmt w:val="decimal"/>
      <w:lvlText w:val="%1.%2.%3"/>
      <w:lvlJc w:val="left"/>
      <w:pPr>
        <w:tabs>
          <w:tab w:val="num" w:pos="3600"/>
        </w:tabs>
        <w:ind w:left="3600" w:hanging="720"/>
      </w:pPr>
      <w:rPr>
        <w:rFonts w:hint="default"/>
        <w:b/>
      </w:rPr>
    </w:lvl>
    <w:lvl w:ilvl="3">
      <w:start w:val="1"/>
      <w:numFmt w:val="decimal"/>
      <w:lvlText w:val="%1.%2.%3.%4"/>
      <w:lvlJc w:val="left"/>
      <w:pPr>
        <w:tabs>
          <w:tab w:val="num" w:pos="5040"/>
        </w:tabs>
        <w:ind w:left="5040" w:hanging="720"/>
      </w:pPr>
      <w:rPr>
        <w:rFonts w:hint="default"/>
        <w:b/>
      </w:rPr>
    </w:lvl>
    <w:lvl w:ilvl="4">
      <w:start w:val="1"/>
      <w:numFmt w:val="decimal"/>
      <w:lvlText w:val="%1.%2.%3.%4.%5"/>
      <w:lvlJc w:val="left"/>
      <w:pPr>
        <w:tabs>
          <w:tab w:val="num" w:pos="6840"/>
        </w:tabs>
        <w:ind w:left="6840" w:hanging="1080"/>
      </w:pPr>
      <w:rPr>
        <w:rFonts w:hint="default"/>
        <w:b/>
      </w:rPr>
    </w:lvl>
    <w:lvl w:ilvl="5">
      <w:start w:val="1"/>
      <w:numFmt w:val="decimal"/>
      <w:lvlText w:val="%1.%2.%3.%4.%5.%6"/>
      <w:lvlJc w:val="left"/>
      <w:pPr>
        <w:tabs>
          <w:tab w:val="num" w:pos="8280"/>
        </w:tabs>
        <w:ind w:left="8280" w:hanging="1080"/>
      </w:pPr>
      <w:rPr>
        <w:rFonts w:hint="default"/>
        <w:b/>
      </w:rPr>
    </w:lvl>
    <w:lvl w:ilvl="6">
      <w:start w:val="1"/>
      <w:numFmt w:val="decimal"/>
      <w:lvlText w:val="%1.%2.%3.%4.%5.%6.%7"/>
      <w:lvlJc w:val="left"/>
      <w:pPr>
        <w:tabs>
          <w:tab w:val="num" w:pos="10080"/>
        </w:tabs>
        <w:ind w:left="10080" w:hanging="1440"/>
      </w:pPr>
      <w:rPr>
        <w:rFonts w:hint="default"/>
        <w:b/>
      </w:rPr>
    </w:lvl>
    <w:lvl w:ilvl="7">
      <w:start w:val="1"/>
      <w:numFmt w:val="decimal"/>
      <w:lvlText w:val="%1.%2.%3.%4.%5.%6.%7.%8"/>
      <w:lvlJc w:val="left"/>
      <w:pPr>
        <w:tabs>
          <w:tab w:val="num" w:pos="11520"/>
        </w:tabs>
        <w:ind w:left="11520" w:hanging="1440"/>
      </w:pPr>
      <w:rPr>
        <w:rFonts w:hint="default"/>
        <w:b/>
      </w:rPr>
    </w:lvl>
    <w:lvl w:ilvl="8">
      <w:start w:val="1"/>
      <w:numFmt w:val="decimal"/>
      <w:lvlText w:val="%1.%2.%3.%4.%5.%6.%7.%8.%9"/>
      <w:lvlJc w:val="left"/>
      <w:pPr>
        <w:tabs>
          <w:tab w:val="num" w:pos="13320"/>
        </w:tabs>
        <w:ind w:left="13320" w:hanging="1800"/>
      </w:pPr>
      <w:rPr>
        <w:rFonts w:hint="default"/>
        <w:b/>
      </w:rPr>
    </w:lvl>
  </w:abstractNum>
  <w:abstractNum w:abstractNumId="7" w15:restartNumberingAfterBreak="0">
    <w:nsid w:val="15EA6B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A642FC7"/>
    <w:multiLevelType w:val="hybridMultilevel"/>
    <w:tmpl w:val="57D85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5652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22C3B75"/>
    <w:multiLevelType w:val="hybridMultilevel"/>
    <w:tmpl w:val="6F5A296C"/>
    <w:lvl w:ilvl="0" w:tplc="0409000F">
      <w:start w:val="3"/>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2CF0A57"/>
    <w:multiLevelType w:val="hybridMultilevel"/>
    <w:tmpl w:val="D0A01E1E"/>
    <w:lvl w:ilvl="0" w:tplc="6232737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2B2C5E"/>
    <w:multiLevelType w:val="hybridMultilevel"/>
    <w:tmpl w:val="9272A65E"/>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1">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8E059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9711E0D"/>
    <w:multiLevelType w:val="multilevel"/>
    <w:tmpl w:val="B214291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15:restartNumberingAfterBreak="0">
    <w:nsid w:val="2B29121F"/>
    <w:multiLevelType w:val="hybridMultilevel"/>
    <w:tmpl w:val="A1B2CD66"/>
    <w:lvl w:ilvl="0" w:tplc="39AAB5EE">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880"/>
        </w:tabs>
        <w:ind w:left="2880" w:hanging="360"/>
      </w:pPr>
      <w:rPr>
        <w:rFonts w:ascii="Courier New" w:hAnsi="Courier New" w:cs="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Symbol"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F053FE"/>
    <w:multiLevelType w:val="multilevel"/>
    <w:tmpl w:val="17F2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CE5C71"/>
    <w:multiLevelType w:val="multilevel"/>
    <w:tmpl w:val="66C4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F146D6"/>
    <w:multiLevelType w:val="multilevel"/>
    <w:tmpl w:val="8736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1C6EA3"/>
    <w:multiLevelType w:val="hybridMultilevel"/>
    <w:tmpl w:val="C6CAC350"/>
    <w:lvl w:ilvl="0" w:tplc="0409000F">
      <w:start w:val="1"/>
      <w:numFmt w:val="decimal"/>
      <w:lvlText w:val="%1."/>
      <w:lvlJc w:val="left"/>
      <w:pPr>
        <w:tabs>
          <w:tab w:val="num" w:pos="1440"/>
        </w:tabs>
        <w:ind w:left="1440" w:hanging="360"/>
      </w:pPr>
      <w:rPr>
        <w:rFont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7B83F8B"/>
    <w:multiLevelType w:val="hybridMultilevel"/>
    <w:tmpl w:val="6E24D78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0"/>
        </w:tabs>
        <w:ind w:left="0" w:hanging="360"/>
      </w:pPr>
      <w:rPr>
        <w:rFonts w:ascii="Symbol" w:hAnsi="Symbol" w:hint="default"/>
      </w:rPr>
    </w:lvl>
    <w:lvl w:ilvl="2" w:tplc="04090005">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Symbol"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Symbol"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1" w15:restartNumberingAfterBreak="0">
    <w:nsid w:val="3AA50D1E"/>
    <w:multiLevelType w:val="multilevel"/>
    <w:tmpl w:val="D1B82AF6"/>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CEC729F"/>
    <w:multiLevelType w:val="multilevel"/>
    <w:tmpl w:val="268E9A94"/>
    <w:lvl w:ilvl="0">
      <w:start w:val="4"/>
      <w:numFmt w:val="decimal"/>
      <w:lvlText w:val="%1"/>
      <w:lvlJc w:val="left"/>
      <w:pPr>
        <w:tabs>
          <w:tab w:val="num" w:pos="720"/>
        </w:tabs>
        <w:ind w:left="720" w:hanging="720"/>
      </w:pPr>
      <w:rPr>
        <w:rFonts w:hint="default"/>
      </w:rPr>
    </w:lvl>
    <w:lvl w:ilvl="1">
      <w:start w:val="3"/>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3" w15:restartNumberingAfterBreak="0">
    <w:nsid w:val="3CF84236"/>
    <w:multiLevelType w:val="hybridMultilevel"/>
    <w:tmpl w:val="902A03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F6F480C"/>
    <w:multiLevelType w:val="hybridMultilevel"/>
    <w:tmpl w:val="AB9E3E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Symbol"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3AC558E"/>
    <w:multiLevelType w:val="hybridMultilevel"/>
    <w:tmpl w:val="D4D807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3B23629"/>
    <w:multiLevelType w:val="hybridMultilevel"/>
    <w:tmpl w:val="1F2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A532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81642CC"/>
    <w:multiLevelType w:val="hybridMultilevel"/>
    <w:tmpl w:val="C01EBF1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9126BC1"/>
    <w:multiLevelType w:val="hybridMultilevel"/>
    <w:tmpl w:val="9572B6B8"/>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0" w15:restartNumberingAfterBreak="0">
    <w:nsid w:val="4D742802"/>
    <w:multiLevelType w:val="hybridMultilevel"/>
    <w:tmpl w:val="C1E86DDA"/>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1" w15:restartNumberingAfterBreak="0">
    <w:nsid w:val="52BA6339"/>
    <w:multiLevelType w:val="hybridMultilevel"/>
    <w:tmpl w:val="B00C48B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CA26D02"/>
    <w:multiLevelType w:val="hybridMultilevel"/>
    <w:tmpl w:val="36D4C456"/>
    <w:lvl w:ilvl="0" w:tplc="D1927B9A">
      <w:start w:val="1"/>
      <w:numFmt w:val="decimal"/>
      <w:lvlText w:val="%1."/>
      <w:lvlJc w:val="left"/>
      <w:pPr>
        <w:tabs>
          <w:tab w:val="num" w:pos="1440"/>
        </w:tabs>
        <w:ind w:left="1440" w:hanging="360"/>
      </w:pPr>
    </w:lvl>
    <w:lvl w:ilvl="1" w:tplc="2F1CCDEA">
      <w:numFmt w:val="none"/>
      <w:lvlText w:val=""/>
      <w:lvlJc w:val="left"/>
      <w:pPr>
        <w:tabs>
          <w:tab w:val="num" w:pos="360"/>
        </w:tabs>
      </w:pPr>
    </w:lvl>
    <w:lvl w:ilvl="2" w:tplc="02909108">
      <w:numFmt w:val="none"/>
      <w:lvlText w:val=""/>
      <w:lvlJc w:val="left"/>
      <w:pPr>
        <w:tabs>
          <w:tab w:val="num" w:pos="360"/>
        </w:tabs>
      </w:pPr>
    </w:lvl>
    <w:lvl w:ilvl="3" w:tplc="5086B5FE">
      <w:numFmt w:val="none"/>
      <w:lvlText w:val=""/>
      <w:lvlJc w:val="left"/>
      <w:pPr>
        <w:tabs>
          <w:tab w:val="num" w:pos="360"/>
        </w:tabs>
      </w:pPr>
    </w:lvl>
    <w:lvl w:ilvl="4" w:tplc="72D60DEA">
      <w:numFmt w:val="none"/>
      <w:lvlText w:val=""/>
      <w:lvlJc w:val="left"/>
      <w:pPr>
        <w:tabs>
          <w:tab w:val="num" w:pos="360"/>
        </w:tabs>
      </w:pPr>
    </w:lvl>
    <w:lvl w:ilvl="5" w:tplc="07DE1F56">
      <w:numFmt w:val="none"/>
      <w:lvlText w:val=""/>
      <w:lvlJc w:val="left"/>
      <w:pPr>
        <w:tabs>
          <w:tab w:val="num" w:pos="360"/>
        </w:tabs>
      </w:pPr>
    </w:lvl>
    <w:lvl w:ilvl="6" w:tplc="829E4CD8">
      <w:numFmt w:val="none"/>
      <w:lvlText w:val=""/>
      <w:lvlJc w:val="left"/>
      <w:pPr>
        <w:tabs>
          <w:tab w:val="num" w:pos="360"/>
        </w:tabs>
      </w:pPr>
    </w:lvl>
    <w:lvl w:ilvl="7" w:tplc="7EF4B84E">
      <w:numFmt w:val="none"/>
      <w:lvlText w:val=""/>
      <w:lvlJc w:val="left"/>
      <w:pPr>
        <w:tabs>
          <w:tab w:val="num" w:pos="360"/>
        </w:tabs>
      </w:pPr>
    </w:lvl>
    <w:lvl w:ilvl="8" w:tplc="38F0BB8A">
      <w:numFmt w:val="none"/>
      <w:lvlText w:val=""/>
      <w:lvlJc w:val="left"/>
      <w:pPr>
        <w:tabs>
          <w:tab w:val="num" w:pos="360"/>
        </w:tabs>
      </w:pPr>
    </w:lvl>
  </w:abstractNum>
  <w:abstractNum w:abstractNumId="33" w15:restartNumberingAfterBreak="0">
    <w:nsid w:val="61CB62EC"/>
    <w:multiLevelType w:val="hybridMultilevel"/>
    <w:tmpl w:val="286619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282702B"/>
    <w:multiLevelType w:val="hybridMultilevel"/>
    <w:tmpl w:val="039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06E94"/>
    <w:multiLevelType w:val="multilevel"/>
    <w:tmpl w:val="D5A6CDDC"/>
    <w:lvl w:ilvl="0">
      <w:start w:val="10"/>
      <w:numFmt w:val="decimal"/>
      <w:lvlText w:val="%1.0"/>
      <w:lvlJc w:val="left"/>
      <w:pPr>
        <w:ind w:left="420" w:hanging="420"/>
      </w:pPr>
      <w:rPr>
        <w:rFonts w:hint="default"/>
        <w:b/>
        <w:i w:val="0"/>
      </w:rPr>
    </w:lvl>
    <w:lvl w:ilvl="1">
      <w:start w:val="1"/>
      <w:numFmt w:val="decimal"/>
      <w:lvlText w:val="%1.%2"/>
      <w:lvlJc w:val="left"/>
      <w:pPr>
        <w:ind w:left="1140" w:hanging="420"/>
      </w:pPr>
      <w:rPr>
        <w:rFonts w:hint="default"/>
        <w:b/>
        <w:i w:val="0"/>
      </w:rPr>
    </w:lvl>
    <w:lvl w:ilvl="2">
      <w:start w:val="1"/>
      <w:numFmt w:val="decimal"/>
      <w:lvlText w:val="%1.%2.%3"/>
      <w:lvlJc w:val="left"/>
      <w:pPr>
        <w:ind w:left="2160" w:hanging="72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960" w:hanging="108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760" w:hanging="1440"/>
      </w:pPr>
      <w:rPr>
        <w:rFonts w:hint="default"/>
        <w:b/>
        <w:i w:val="0"/>
      </w:rPr>
    </w:lvl>
    <w:lvl w:ilvl="7">
      <w:start w:val="1"/>
      <w:numFmt w:val="decimal"/>
      <w:lvlText w:val="%1.%2.%3.%4.%5.%6.%7.%8"/>
      <w:lvlJc w:val="left"/>
      <w:pPr>
        <w:ind w:left="6480" w:hanging="1440"/>
      </w:pPr>
      <w:rPr>
        <w:rFonts w:hint="default"/>
        <w:b/>
        <w:i w:val="0"/>
      </w:rPr>
    </w:lvl>
    <w:lvl w:ilvl="8">
      <w:start w:val="1"/>
      <w:numFmt w:val="decimal"/>
      <w:lvlText w:val="%1.%2.%3.%4.%5.%6.%7.%8.%9"/>
      <w:lvlJc w:val="left"/>
      <w:pPr>
        <w:ind w:left="7560" w:hanging="1800"/>
      </w:pPr>
      <w:rPr>
        <w:rFonts w:hint="default"/>
        <w:b/>
        <w:i w:val="0"/>
      </w:rPr>
    </w:lvl>
  </w:abstractNum>
  <w:abstractNum w:abstractNumId="36" w15:restartNumberingAfterBreak="0">
    <w:nsid w:val="64916C01"/>
    <w:multiLevelType w:val="multilevel"/>
    <w:tmpl w:val="A1CE03AC"/>
    <w:lvl w:ilvl="0">
      <w:numFmt w:val="decimal"/>
      <w:lvlText w:val="%1.0"/>
      <w:lvlJc w:val="left"/>
      <w:pPr>
        <w:tabs>
          <w:tab w:val="num" w:pos="435"/>
        </w:tabs>
        <w:ind w:left="435" w:hanging="435"/>
      </w:pPr>
      <w:rPr>
        <w:rFonts w:hint="default"/>
        <w:b/>
        <w:i w:val="0"/>
      </w:rPr>
    </w:lvl>
    <w:lvl w:ilvl="1">
      <w:start w:val="1"/>
      <w:numFmt w:val="decimal"/>
      <w:lvlText w:val="%1.%2"/>
      <w:lvlJc w:val="left"/>
      <w:pPr>
        <w:tabs>
          <w:tab w:val="num" w:pos="1155"/>
        </w:tabs>
        <w:ind w:left="1155" w:hanging="43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7" w15:restartNumberingAfterBreak="0">
    <w:nsid w:val="65ED04F5"/>
    <w:multiLevelType w:val="multilevel"/>
    <w:tmpl w:val="C15C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D417D5"/>
    <w:multiLevelType w:val="multilevel"/>
    <w:tmpl w:val="F432D720"/>
    <w:lvl w:ilvl="0">
      <w:start w:val="7"/>
      <w:numFmt w:val="decimal"/>
      <w:lvlText w:val="%1"/>
      <w:lvlJc w:val="left"/>
      <w:pPr>
        <w:tabs>
          <w:tab w:val="num" w:pos="720"/>
        </w:tabs>
        <w:ind w:left="720" w:hanging="720"/>
      </w:pPr>
      <w:rPr>
        <w:rFonts w:hint="default"/>
      </w:rPr>
    </w:lvl>
    <w:lvl w:ilvl="1">
      <w:start w:val="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39" w15:restartNumberingAfterBreak="0">
    <w:nsid w:val="6CB704B3"/>
    <w:multiLevelType w:val="hybridMultilevel"/>
    <w:tmpl w:val="F4749BE2"/>
    <w:lvl w:ilvl="0" w:tplc="04090001">
      <w:start w:val="1"/>
      <w:numFmt w:val="bullet"/>
      <w:lvlText w:val=""/>
      <w:lvlJc w:val="left"/>
      <w:pPr>
        <w:tabs>
          <w:tab w:val="num" w:pos="2520"/>
        </w:tabs>
        <w:ind w:left="2520" w:hanging="360"/>
      </w:pPr>
      <w:rPr>
        <w:rFonts w:ascii="Symbol" w:hAnsi="Symbol"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0" w15:restartNumberingAfterBreak="0">
    <w:nsid w:val="6EC132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EC136F0"/>
    <w:multiLevelType w:val="hybridMultilevel"/>
    <w:tmpl w:val="9F1C7D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7415565"/>
    <w:multiLevelType w:val="multilevel"/>
    <w:tmpl w:val="9C421EE8"/>
    <w:lvl w:ilvl="0">
      <w:start w:val="3"/>
      <w:numFmt w:val="decimal"/>
      <w:lvlText w:val="%1"/>
      <w:lvlJc w:val="left"/>
      <w:pPr>
        <w:tabs>
          <w:tab w:val="num" w:pos="480"/>
        </w:tabs>
        <w:ind w:left="480" w:hanging="480"/>
      </w:pPr>
      <w:rPr>
        <w:rFonts w:hint="default"/>
      </w:rPr>
    </w:lvl>
    <w:lvl w:ilvl="1">
      <w:start w:val="3"/>
      <w:numFmt w:val="decimal"/>
      <w:lvlText w:val="%1.%2"/>
      <w:lvlJc w:val="left"/>
      <w:pPr>
        <w:tabs>
          <w:tab w:val="num" w:pos="1560"/>
        </w:tabs>
        <w:ind w:left="1560" w:hanging="480"/>
      </w:pPr>
      <w:rPr>
        <w:rFonts w:hint="default"/>
      </w:rPr>
    </w:lvl>
    <w:lvl w:ilvl="2">
      <w:start w:val="4"/>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43" w15:restartNumberingAfterBreak="0">
    <w:nsid w:val="786059FB"/>
    <w:multiLevelType w:val="multilevel"/>
    <w:tmpl w:val="804A25C8"/>
    <w:lvl w:ilvl="0">
      <w:start w:val="7"/>
      <w:numFmt w:val="decimal"/>
      <w:lvlText w:val="%1"/>
      <w:lvlJc w:val="left"/>
      <w:pPr>
        <w:tabs>
          <w:tab w:val="num" w:pos="720"/>
        </w:tabs>
        <w:ind w:left="720" w:hanging="720"/>
      </w:pPr>
      <w:rPr>
        <w:rFonts w:hint="default"/>
        <w:b/>
      </w:rPr>
    </w:lvl>
    <w:lvl w:ilvl="1">
      <w:start w:val="8"/>
      <w:numFmt w:val="decimal"/>
      <w:lvlText w:val="%1.%2"/>
      <w:lvlJc w:val="left"/>
      <w:pPr>
        <w:tabs>
          <w:tab w:val="num" w:pos="2160"/>
        </w:tabs>
        <w:ind w:left="2160" w:hanging="720"/>
      </w:pPr>
      <w:rPr>
        <w:rFonts w:hint="default"/>
        <w:b/>
      </w:rPr>
    </w:lvl>
    <w:lvl w:ilvl="2">
      <w:start w:val="1"/>
      <w:numFmt w:val="decimal"/>
      <w:lvlText w:val="%1.%2.%3"/>
      <w:lvlJc w:val="left"/>
      <w:pPr>
        <w:tabs>
          <w:tab w:val="num" w:pos="3600"/>
        </w:tabs>
        <w:ind w:left="3600" w:hanging="720"/>
      </w:pPr>
      <w:rPr>
        <w:rFonts w:hint="default"/>
        <w:b/>
      </w:rPr>
    </w:lvl>
    <w:lvl w:ilvl="3">
      <w:start w:val="1"/>
      <w:numFmt w:val="decimal"/>
      <w:lvlText w:val="%1.%2.%3.%4"/>
      <w:lvlJc w:val="left"/>
      <w:pPr>
        <w:tabs>
          <w:tab w:val="num" w:pos="5040"/>
        </w:tabs>
        <w:ind w:left="5040" w:hanging="720"/>
      </w:pPr>
      <w:rPr>
        <w:rFonts w:hint="default"/>
        <w:b/>
      </w:rPr>
    </w:lvl>
    <w:lvl w:ilvl="4">
      <w:start w:val="1"/>
      <w:numFmt w:val="decimal"/>
      <w:lvlText w:val="%1.%2.%3.%4.%5"/>
      <w:lvlJc w:val="left"/>
      <w:pPr>
        <w:tabs>
          <w:tab w:val="num" w:pos="6840"/>
        </w:tabs>
        <w:ind w:left="6840" w:hanging="1080"/>
      </w:pPr>
      <w:rPr>
        <w:rFonts w:hint="default"/>
        <w:b/>
      </w:rPr>
    </w:lvl>
    <w:lvl w:ilvl="5">
      <w:start w:val="1"/>
      <w:numFmt w:val="decimal"/>
      <w:lvlText w:val="%1.%2.%3.%4.%5.%6"/>
      <w:lvlJc w:val="left"/>
      <w:pPr>
        <w:tabs>
          <w:tab w:val="num" w:pos="8280"/>
        </w:tabs>
        <w:ind w:left="8280" w:hanging="1080"/>
      </w:pPr>
      <w:rPr>
        <w:rFonts w:hint="default"/>
        <w:b/>
      </w:rPr>
    </w:lvl>
    <w:lvl w:ilvl="6">
      <w:start w:val="1"/>
      <w:numFmt w:val="decimal"/>
      <w:lvlText w:val="%1.%2.%3.%4.%5.%6.%7"/>
      <w:lvlJc w:val="left"/>
      <w:pPr>
        <w:tabs>
          <w:tab w:val="num" w:pos="10080"/>
        </w:tabs>
        <w:ind w:left="10080" w:hanging="1440"/>
      </w:pPr>
      <w:rPr>
        <w:rFonts w:hint="default"/>
        <w:b/>
      </w:rPr>
    </w:lvl>
    <w:lvl w:ilvl="7">
      <w:start w:val="1"/>
      <w:numFmt w:val="decimal"/>
      <w:lvlText w:val="%1.%2.%3.%4.%5.%6.%7.%8"/>
      <w:lvlJc w:val="left"/>
      <w:pPr>
        <w:tabs>
          <w:tab w:val="num" w:pos="11520"/>
        </w:tabs>
        <w:ind w:left="11520" w:hanging="1440"/>
      </w:pPr>
      <w:rPr>
        <w:rFonts w:hint="default"/>
        <w:b/>
      </w:rPr>
    </w:lvl>
    <w:lvl w:ilvl="8">
      <w:start w:val="1"/>
      <w:numFmt w:val="decimal"/>
      <w:lvlText w:val="%1.%2.%3.%4.%5.%6.%7.%8.%9"/>
      <w:lvlJc w:val="left"/>
      <w:pPr>
        <w:tabs>
          <w:tab w:val="num" w:pos="13320"/>
        </w:tabs>
        <w:ind w:left="13320" w:hanging="1800"/>
      </w:pPr>
      <w:rPr>
        <w:rFonts w:hint="default"/>
        <w:b/>
      </w:rPr>
    </w:lvl>
  </w:abstractNum>
  <w:abstractNum w:abstractNumId="44" w15:restartNumberingAfterBreak="0">
    <w:nsid w:val="78645C29"/>
    <w:multiLevelType w:val="hybridMultilevel"/>
    <w:tmpl w:val="9B9E94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99C20DD"/>
    <w:multiLevelType w:val="hybridMultilevel"/>
    <w:tmpl w:val="E43EE124"/>
    <w:lvl w:ilvl="0" w:tplc="6232737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DB97107"/>
    <w:multiLevelType w:val="hybridMultilevel"/>
    <w:tmpl w:val="8A2A0B90"/>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rPr>
        <w:rFont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Symbol"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Symbol"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7" w15:restartNumberingAfterBreak="0">
    <w:nsid w:val="7E611699"/>
    <w:multiLevelType w:val="hybridMultilevel"/>
    <w:tmpl w:val="3120E8E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Symbol"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Symbol"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Symbol"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14"/>
  </w:num>
  <w:num w:numId="2">
    <w:abstractNumId w:val="7"/>
  </w:num>
  <w:num w:numId="3">
    <w:abstractNumId w:val="36"/>
  </w:num>
  <w:num w:numId="4">
    <w:abstractNumId w:val="28"/>
  </w:num>
  <w:num w:numId="5">
    <w:abstractNumId w:val="19"/>
  </w:num>
  <w:num w:numId="6">
    <w:abstractNumId w:val="20"/>
  </w:num>
  <w:num w:numId="7">
    <w:abstractNumId w:val="32"/>
  </w:num>
  <w:num w:numId="8">
    <w:abstractNumId w:val="25"/>
  </w:num>
  <w:num w:numId="9">
    <w:abstractNumId w:val="44"/>
  </w:num>
  <w:num w:numId="10">
    <w:abstractNumId w:val="31"/>
  </w:num>
  <w:num w:numId="11">
    <w:abstractNumId w:val="24"/>
  </w:num>
  <w:num w:numId="12">
    <w:abstractNumId w:val="33"/>
  </w:num>
  <w:num w:numId="13">
    <w:abstractNumId w:val="30"/>
  </w:num>
  <w:num w:numId="14">
    <w:abstractNumId w:val="46"/>
  </w:num>
  <w:num w:numId="15">
    <w:abstractNumId w:val="3"/>
  </w:num>
  <w:num w:numId="16">
    <w:abstractNumId w:val="29"/>
  </w:num>
  <w:num w:numId="17">
    <w:abstractNumId w:val="1"/>
  </w:num>
  <w:num w:numId="18">
    <w:abstractNumId w:val="39"/>
  </w:num>
  <w:num w:numId="19">
    <w:abstractNumId w:val="4"/>
  </w:num>
  <w:num w:numId="20">
    <w:abstractNumId w:val="6"/>
  </w:num>
  <w:num w:numId="21">
    <w:abstractNumId w:val="15"/>
  </w:num>
  <w:num w:numId="22">
    <w:abstractNumId w:val="0"/>
  </w:num>
  <w:num w:numId="23">
    <w:abstractNumId w:val="47"/>
  </w:num>
  <w:num w:numId="24">
    <w:abstractNumId w:val="9"/>
  </w:num>
  <w:num w:numId="25">
    <w:abstractNumId w:val="22"/>
  </w:num>
  <w:num w:numId="26">
    <w:abstractNumId w:val="27"/>
  </w:num>
  <w:num w:numId="27">
    <w:abstractNumId w:val="38"/>
  </w:num>
  <w:num w:numId="28">
    <w:abstractNumId w:val="18"/>
  </w:num>
  <w:num w:numId="29">
    <w:abstractNumId w:val="43"/>
  </w:num>
  <w:num w:numId="30">
    <w:abstractNumId w:val="42"/>
  </w:num>
  <w:num w:numId="31">
    <w:abstractNumId w:val="8"/>
  </w:num>
  <w:num w:numId="32">
    <w:abstractNumId w:val="21"/>
  </w:num>
  <w:num w:numId="33">
    <w:abstractNumId w:val="35"/>
  </w:num>
  <w:num w:numId="34">
    <w:abstractNumId w:val="2"/>
  </w:num>
  <w:num w:numId="35">
    <w:abstractNumId w:val="12"/>
  </w:num>
  <w:num w:numId="36">
    <w:abstractNumId w:val="13"/>
  </w:num>
  <w:num w:numId="37">
    <w:abstractNumId w:val="40"/>
  </w:num>
  <w:num w:numId="38">
    <w:abstractNumId w:val="5"/>
  </w:num>
  <w:num w:numId="39">
    <w:abstractNumId w:val="10"/>
  </w:num>
  <w:num w:numId="40">
    <w:abstractNumId w:val="23"/>
  </w:num>
  <w:num w:numId="41">
    <w:abstractNumId w:val="45"/>
  </w:num>
  <w:num w:numId="42">
    <w:abstractNumId w:val="11"/>
  </w:num>
  <w:num w:numId="43">
    <w:abstractNumId w:val="37"/>
  </w:num>
  <w:num w:numId="44">
    <w:abstractNumId w:val="41"/>
  </w:num>
  <w:num w:numId="45">
    <w:abstractNumId w:val="16"/>
  </w:num>
  <w:num w:numId="46">
    <w:abstractNumId w:val="17"/>
  </w:num>
  <w:num w:numId="47">
    <w:abstractNumId w:val="34"/>
  </w:num>
  <w:num w:numId="48">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E12DA"/>
    <w:rsid w:val="00002106"/>
    <w:rsid w:val="00005848"/>
    <w:rsid w:val="0000634E"/>
    <w:rsid w:val="000110B4"/>
    <w:rsid w:val="00013BF8"/>
    <w:rsid w:val="00023094"/>
    <w:rsid w:val="00033AC2"/>
    <w:rsid w:val="000358FB"/>
    <w:rsid w:val="00035AD7"/>
    <w:rsid w:val="00043CBF"/>
    <w:rsid w:val="00045949"/>
    <w:rsid w:val="00046634"/>
    <w:rsid w:val="00046BB7"/>
    <w:rsid w:val="000512CA"/>
    <w:rsid w:val="000524FB"/>
    <w:rsid w:val="000558D6"/>
    <w:rsid w:val="00065BF8"/>
    <w:rsid w:val="00066988"/>
    <w:rsid w:val="00070DB4"/>
    <w:rsid w:val="000725B7"/>
    <w:rsid w:val="000839A6"/>
    <w:rsid w:val="00083D1F"/>
    <w:rsid w:val="000848BF"/>
    <w:rsid w:val="000A1E51"/>
    <w:rsid w:val="000A34E0"/>
    <w:rsid w:val="000B4297"/>
    <w:rsid w:val="000B4E86"/>
    <w:rsid w:val="000C3D40"/>
    <w:rsid w:val="000C4F7C"/>
    <w:rsid w:val="000C60E3"/>
    <w:rsid w:val="000C7D00"/>
    <w:rsid w:val="000D1924"/>
    <w:rsid w:val="000D537D"/>
    <w:rsid w:val="000F0332"/>
    <w:rsid w:val="000F0819"/>
    <w:rsid w:val="000F2800"/>
    <w:rsid w:val="000F358F"/>
    <w:rsid w:val="000F75DB"/>
    <w:rsid w:val="001006F5"/>
    <w:rsid w:val="001021A1"/>
    <w:rsid w:val="001030A2"/>
    <w:rsid w:val="00104038"/>
    <w:rsid w:val="0011075B"/>
    <w:rsid w:val="00111184"/>
    <w:rsid w:val="001118B7"/>
    <w:rsid w:val="00114B0D"/>
    <w:rsid w:val="0012016E"/>
    <w:rsid w:val="00126338"/>
    <w:rsid w:val="00130F39"/>
    <w:rsid w:val="00137346"/>
    <w:rsid w:val="001402F9"/>
    <w:rsid w:val="001414FA"/>
    <w:rsid w:val="00141D21"/>
    <w:rsid w:val="001432E9"/>
    <w:rsid w:val="00145850"/>
    <w:rsid w:val="00145D34"/>
    <w:rsid w:val="00173602"/>
    <w:rsid w:val="00173EC4"/>
    <w:rsid w:val="00177692"/>
    <w:rsid w:val="00177795"/>
    <w:rsid w:val="00185428"/>
    <w:rsid w:val="00185561"/>
    <w:rsid w:val="00187000"/>
    <w:rsid w:val="0019047F"/>
    <w:rsid w:val="0019124D"/>
    <w:rsid w:val="00192900"/>
    <w:rsid w:val="0019530F"/>
    <w:rsid w:val="00195442"/>
    <w:rsid w:val="00196197"/>
    <w:rsid w:val="001B3F1F"/>
    <w:rsid w:val="001B76EB"/>
    <w:rsid w:val="001B7853"/>
    <w:rsid w:val="001C22F6"/>
    <w:rsid w:val="001C2685"/>
    <w:rsid w:val="001C77B6"/>
    <w:rsid w:val="001D2254"/>
    <w:rsid w:val="001D3B8C"/>
    <w:rsid w:val="001D3CBE"/>
    <w:rsid w:val="001D55F6"/>
    <w:rsid w:val="001D7007"/>
    <w:rsid w:val="001E0300"/>
    <w:rsid w:val="001E39C3"/>
    <w:rsid w:val="001E43E2"/>
    <w:rsid w:val="001F2ABA"/>
    <w:rsid w:val="001F429C"/>
    <w:rsid w:val="002019AC"/>
    <w:rsid w:val="00203B69"/>
    <w:rsid w:val="00204D40"/>
    <w:rsid w:val="00206BE3"/>
    <w:rsid w:val="002077DF"/>
    <w:rsid w:val="002120CF"/>
    <w:rsid w:val="0021595C"/>
    <w:rsid w:val="0021660D"/>
    <w:rsid w:val="00217083"/>
    <w:rsid w:val="0022294B"/>
    <w:rsid w:val="0022380D"/>
    <w:rsid w:val="00226FEB"/>
    <w:rsid w:val="002603BC"/>
    <w:rsid w:val="002730FB"/>
    <w:rsid w:val="002803A1"/>
    <w:rsid w:val="00282106"/>
    <w:rsid w:val="0029095F"/>
    <w:rsid w:val="00294E07"/>
    <w:rsid w:val="00295EFB"/>
    <w:rsid w:val="002972B2"/>
    <w:rsid w:val="00297D25"/>
    <w:rsid w:val="002A2178"/>
    <w:rsid w:val="002A3884"/>
    <w:rsid w:val="002A41BD"/>
    <w:rsid w:val="002A4E2A"/>
    <w:rsid w:val="002A52EE"/>
    <w:rsid w:val="002C5867"/>
    <w:rsid w:val="002D49C9"/>
    <w:rsid w:val="002D4E40"/>
    <w:rsid w:val="002F321D"/>
    <w:rsid w:val="002F3498"/>
    <w:rsid w:val="0030487C"/>
    <w:rsid w:val="00304F66"/>
    <w:rsid w:val="00313203"/>
    <w:rsid w:val="0031347D"/>
    <w:rsid w:val="00315753"/>
    <w:rsid w:val="003176BD"/>
    <w:rsid w:val="003243E7"/>
    <w:rsid w:val="00331331"/>
    <w:rsid w:val="00332D80"/>
    <w:rsid w:val="00344A63"/>
    <w:rsid w:val="0035191A"/>
    <w:rsid w:val="00356925"/>
    <w:rsid w:val="00360B86"/>
    <w:rsid w:val="0036517B"/>
    <w:rsid w:val="00365B9D"/>
    <w:rsid w:val="00370D5E"/>
    <w:rsid w:val="00377870"/>
    <w:rsid w:val="00380140"/>
    <w:rsid w:val="00381DDA"/>
    <w:rsid w:val="003845F7"/>
    <w:rsid w:val="0039509E"/>
    <w:rsid w:val="003A6093"/>
    <w:rsid w:val="003B4D2A"/>
    <w:rsid w:val="003B5632"/>
    <w:rsid w:val="003D024B"/>
    <w:rsid w:val="003D652E"/>
    <w:rsid w:val="003E2B1B"/>
    <w:rsid w:val="003E480B"/>
    <w:rsid w:val="003E537A"/>
    <w:rsid w:val="003E6B74"/>
    <w:rsid w:val="003F109F"/>
    <w:rsid w:val="003F1E9F"/>
    <w:rsid w:val="003F3F7C"/>
    <w:rsid w:val="003F6F13"/>
    <w:rsid w:val="003F75C4"/>
    <w:rsid w:val="004021F3"/>
    <w:rsid w:val="00405860"/>
    <w:rsid w:val="00411703"/>
    <w:rsid w:val="00413DD2"/>
    <w:rsid w:val="0041482F"/>
    <w:rsid w:val="004210AC"/>
    <w:rsid w:val="00421EF3"/>
    <w:rsid w:val="0042527D"/>
    <w:rsid w:val="00433A70"/>
    <w:rsid w:val="0043689B"/>
    <w:rsid w:val="00440A91"/>
    <w:rsid w:val="0044227B"/>
    <w:rsid w:val="00444966"/>
    <w:rsid w:val="004520E2"/>
    <w:rsid w:val="004529E0"/>
    <w:rsid w:val="00457D4C"/>
    <w:rsid w:val="00464800"/>
    <w:rsid w:val="0046741F"/>
    <w:rsid w:val="00467B58"/>
    <w:rsid w:val="00481C73"/>
    <w:rsid w:val="00484003"/>
    <w:rsid w:val="004842D5"/>
    <w:rsid w:val="00484A5D"/>
    <w:rsid w:val="00497157"/>
    <w:rsid w:val="004A3791"/>
    <w:rsid w:val="004A429E"/>
    <w:rsid w:val="004B6650"/>
    <w:rsid w:val="004C147F"/>
    <w:rsid w:val="004C530D"/>
    <w:rsid w:val="004C5326"/>
    <w:rsid w:val="004C5FDB"/>
    <w:rsid w:val="004D08ED"/>
    <w:rsid w:val="004D3641"/>
    <w:rsid w:val="004D53F3"/>
    <w:rsid w:val="004D6B0D"/>
    <w:rsid w:val="004E12DA"/>
    <w:rsid w:val="004E738B"/>
    <w:rsid w:val="004F1ECB"/>
    <w:rsid w:val="004F43E2"/>
    <w:rsid w:val="004F4CFB"/>
    <w:rsid w:val="004F61DE"/>
    <w:rsid w:val="004F7D1E"/>
    <w:rsid w:val="004F7D1F"/>
    <w:rsid w:val="005004F8"/>
    <w:rsid w:val="00501264"/>
    <w:rsid w:val="005012E4"/>
    <w:rsid w:val="005025F1"/>
    <w:rsid w:val="00504092"/>
    <w:rsid w:val="00504B0E"/>
    <w:rsid w:val="00505412"/>
    <w:rsid w:val="005059C9"/>
    <w:rsid w:val="005100F2"/>
    <w:rsid w:val="005240D7"/>
    <w:rsid w:val="00525D7C"/>
    <w:rsid w:val="00526237"/>
    <w:rsid w:val="00526A86"/>
    <w:rsid w:val="005307B6"/>
    <w:rsid w:val="00532B54"/>
    <w:rsid w:val="00533559"/>
    <w:rsid w:val="00533E8E"/>
    <w:rsid w:val="00555909"/>
    <w:rsid w:val="00561046"/>
    <w:rsid w:val="0057187A"/>
    <w:rsid w:val="00572AC7"/>
    <w:rsid w:val="00572BBC"/>
    <w:rsid w:val="00575ED1"/>
    <w:rsid w:val="00580220"/>
    <w:rsid w:val="00585853"/>
    <w:rsid w:val="005928A3"/>
    <w:rsid w:val="005A167C"/>
    <w:rsid w:val="005A1C8E"/>
    <w:rsid w:val="005A3759"/>
    <w:rsid w:val="005A46A1"/>
    <w:rsid w:val="005A4A09"/>
    <w:rsid w:val="005B1AB5"/>
    <w:rsid w:val="005B3CF1"/>
    <w:rsid w:val="005B5BB9"/>
    <w:rsid w:val="005B69BF"/>
    <w:rsid w:val="005C4EBB"/>
    <w:rsid w:val="005D489A"/>
    <w:rsid w:val="005E049E"/>
    <w:rsid w:val="005E553F"/>
    <w:rsid w:val="005E7CEE"/>
    <w:rsid w:val="005F0C8B"/>
    <w:rsid w:val="005F4346"/>
    <w:rsid w:val="00600271"/>
    <w:rsid w:val="00601E4A"/>
    <w:rsid w:val="006045DB"/>
    <w:rsid w:val="00610FFA"/>
    <w:rsid w:val="00611A6E"/>
    <w:rsid w:val="00612598"/>
    <w:rsid w:val="00612B5C"/>
    <w:rsid w:val="0061353F"/>
    <w:rsid w:val="00617547"/>
    <w:rsid w:val="006204E2"/>
    <w:rsid w:val="006218EF"/>
    <w:rsid w:val="006255A9"/>
    <w:rsid w:val="006270D0"/>
    <w:rsid w:val="006408E0"/>
    <w:rsid w:val="00644D15"/>
    <w:rsid w:val="00647C97"/>
    <w:rsid w:val="00654BAB"/>
    <w:rsid w:val="00662E47"/>
    <w:rsid w:val="00664B21"/>
    <w:rsid w:val="0067465C"/>
    <w:rsid w:val="00682944"/>
    <w:rsid w:val="00683BA9"/>
    <w:rsid w:val="00691349"/>
    <w:rsid w:val="00693417"/>
    <w:rsid w:val="00697FA7"/>
    <w:rsid w:val="006A5E4D"/>
    <w:rsid w:val="006A620A"/>
    <w:rsid w:val="006B19D1"/>
    <w:rsid w:val="006C0401"/>
    <w:rsid w:val="006C1086"/>
    <w:rsid w:val="006C465F"/>
    <w:rsid w:val="006C581D"/>
    <w:rsid w:val="006D2399"/>
    <w:rsid w:val="006E0BB9"/>
    <w:rsid w:val="006E413A"/>
    <w:rsid w:val="006E6249"/>
    <w:rsid w:val="006F6C70"/>
    <w:rsid w:val="00707194"/>
    <w:rsid w:val="00707F90"/>
    <w:rsid w:val="00711A2A"/>
    <w:rsid w:val="00716A26"/>
    <w:rsid w:val="0072322F"/>
    <w:rsid w:val="00730531"/>
    <w:rsid w:val="00730FE1"/>
    <w:rsid w:val="00735777"/>
    <w:rsid w:val="0074014D"/>
    <w:rsid w:val="00740DB6"/>
    <w:rsid w:val="0075121F"/>
    <w:rsid w:val="00754D55"/>
    <w:rsid w:val="00757709"/>
    <w:rsid w:val="00763001"/>
    <w:rsid w:val="00763E80"/>
    <w:rsid w:val="007712D4"/>
    <w:rsid w:val="00774153"/>
    <w:rsid w:val="007760CE"/>
    <w:rsid w:val="00777243"/>
    <w:rsid w:val="00777A1D"/>
    <w:rsid w:val="007805C4"/>
    <w:rsid w:val="00782A15"/>
    <w:rsid w:val="00785AFC"/>
    <w:rsid w:val="007862C3"/>
    <w:rsid w:val="007959C7"/>
    <w:rsid w:val="007A265D"/>
    <w:rsid w:val="007A5316"/>
    <w:rsid w:val="007A5555"/>
    <w:rsid w:val="007B47C9"/>
    <w:rsid w:val="007C29CF"/>
    <w:rsid w:val="007C48CE"/>
    <w:rsid w:val="007D45B9"/>
    <w:rsid w:val="007D67FE"/>
    <w:rsid w:val="007E1129"/>
    <w:rsid w:val="007E5DBB"/>
    <w:rsid w:val="007E7936"/>
    <w:rsid w:val="00806D8F"/>
    <w:rsid w:val="008109EF"/>
    <w:rsid w:val="0082651C"/>
    <w:rsid w:val="008300E3"/>
    <w:rsid w:val="0083300D"/>
    <w:rsid w:val="00846664"/>
    <w:rsid w:val="00850C80"/>
    <w:rsid w:val="0085101D"/>
    <w:rsid w:val="00854A01"/>
    <w:rsid w:val="0086745D"/>
    <w:rsid w:val="008840C5"/>
    <w:rsid w:val="008851CA"/>
    <w:rsid w:val="008874BC"/>
    <w:rsid w:val="00892542"/>
    <w:rsid w:val="00897DF9"/>
    <w:rsid w:val="008B148E"/>
    <w:rsid w:val="008B47BC"/>
    <w:rsid w:val="008C27D2"/>
    <w:rsid w:val="008C2C5E"/>
    <w:rsid w:val="008C39C0"/>
    <w:rsid w:val="008D2090"/>
    <w:rsid w:val="008D5DF8"/>
    <w:rsid w:val="008E0A2B"/>
    <w:rsid w:val="008E651A"/>
    <w:rsid w:val="008E7DDA"/>
    <w:rsid w:val="008F14E2"/>
    <w:rsid w:val="008F169D"/>
    <w:rsid w:val="008F6384"/>
    <w:rsid w:val="008F75FE"/>
    <w:rsid w:val="00902465"/>
    <w:rsid w:val="00906C02"/>
    <w:rsid w:val="0091327E"/>
    <w:rsid w:val="00917111"/>
    <w:rsid w:val="00921A85"/>
    <w:rsid w:val="00926EF6"/>
    <w:rsid w:val="00935A52"/>
    <w:rsid w:val="00935E8D"/>
    <w:rsid w:val="0093784A"/>
    <w:rsid w:val="00937D7C"/>
    <w:rsid w:val="009443BA"/>
    <w:rsid w:val="009552FD"/>
    <w:rsid w:val="009553A1"/>
    <w:rsid w:val="00963A7F"/>
    <w:rsid w:val="00966A8E"/>
    <w:rsid w:val="009670B5"/>
    <w:rsid w:val="00970458"/>
    <w:rsid w:val="009756E7"/>
    <w:rsid w:val="00984050"/>
    <w:rsid w:val="00986CDD"/>
    <w:rsid w:val="0099082D"/>
    <w:rsid w:val="009A0F71"/>
    <w:rsid w:val="009A4243"/>
    <w:rsid w:val="009A726E"/>
    <w:rsid w:val="009B6F20"/>
    <w:rsid w:val="009C4A80"/>
    <w:rsid w:val="009D19E3"/>
    <w:rsid w:val="009D34C5"/>
    <w:rsid w:val="009D622A"/>
    <w:rsid w:val="009D7428"/>
    <w:rsid w:val="009D7CD3"/>
    <w:rsid w:val="009E268D"/>
    <w:rsid w:val="009E2EF8"/>
    <w:rsid w:val="009F046C"/>
    <w:rsid w:val="00A01545"/>
    <w:rsid w:val="00A03D85"/>
    <w:rsid w:val="00A1406C"/>
    <w:rsid w:val="00A16822"/>
    <w:rsid w:val="00A24267"/>
    <w:rsid w:val="00A27E93"/>
    <w:rsid w:val="00A3212B"/>
    <w:rsid w:val="00A33E2C"/>
    <w:rsid w:val="00A34205"/>
    <w:rsid w:val="00A43876"/>
    <w:rsid w:val="00A4494A"/>
    <w:rsid w:val="00A44C67"/>
    <w:rsid w:val="00A4672D"/>
    <w:rsid w:val="00A46D9F"/>
    <w:rsid w:val="00A47F1D"/>
    <w:rsid w:val="00A52B41"/>
    <w:rsid w:val="00A53138"/>
    <w:rsid w:val="00A54DBE"/>
    <w:rsid w:val="00A557CA"/>
    <w:rsid w:val="00A618EA"/>
    <w:rsid w:val="00A63A14"/>
    <w:rsid w:val="00A665F2"/>
    <w:rsid w:val="00A66E7E"/>
    <w:rsid w:val="00A67FAA"/>
    <w:rsid w:val="00A74675"/>
    <w:rsid w:val="00A80A36"/>
    <w:rsid w:val="00A821B9"/>
    <w:rsid w:val="00A84305"/>
    <w:rsid w:val="00A87607"/>
    <w:rsid w:val="00A92297"/>
    <w:rsid w:val="00AA1244"/>
    <w:rsid w:val="00AA400E"/>
    <w:rsid w:val="00AA42CE"/>
    <w:rsid w:val="00AB0057"/>
    <w:rsid w:val="00AB6104"/>
    <w:rsid w:val="00AC09F4"/>
    <w:rsid w:val="00AC1F21"/>
    <w:rsid w:val="00AC5502"/>
    <w:rsid w:val="00AC5AA1"/>
    <w:rsid w:val="00AD6CEE"/>
    <w:rsid w:val="00AE14CB"/>
    <w:rsid w:val="00AE5AF1"/>
    <w:rsid w:val="00AE790E"/>
    <w:rsid w:val="00AF57E4"/>
    <w:rsid w:val="00B0077E"/>
    <w:rsid w:val="00B035FC"/>
    <w:rsid w:val="00B03967"/>
    <w:rsid w:val="00B0631C"/>
    <w:rsid w:val="00B075C3"/>
    <w:rsid w:val="00B158C2"/>
    <w:rsid w:val="00B249DA"/>
    <w:rsid w:val="00B2686D"/>
    <w:rsid w:val="00B30775"/>
    <w:rsid w:val="00B3600E"/>
    <w:rsid w:val="00B42C07"/>
    <w:rsid w:val="00B42D52"/>
    <w:rsid w:val="00B42F6C"/>
    <w:rsid w:val="00B437F3"/>
    <w:rsid w:val="00B62B1E"/>
    <w:rsid w:val="00B6666B"/>
    <w:rsid w:val="00B71045"/>
    <w:rsid w:val="00B771E1"/>
    <w:rsid w:val="00B90AF1"/>
    <w:rsid w:val="00B91B8A"/>
    <w:rsid w:val="00BA0C80"/>
    <w:rsid w:val="00BA609B"/>
    <w:rsid w:val="00BA7920"/>
    <w:rsid w:val="00BC21FF"/>
    <w:rsid w:val="00BC5A79"/>
    <w:rsid w:val="00BD605D"/>
    <w:rsid w:val="00BE0D4C"/>
    <w:rsid w:val="00BE25AC"/>
    <w:rsid w:val="00BE3DD6"/>
    <w:rsid w:val="00BE638E"/>
    <w:rsid w:val="00BF47DB"/>
    <w:rsid w:val="00C01A19"/>
    <w:rsid w:val="00C02697"/>
    <w:rsid w:val="00C22351"/>
    <w:rsid w:val="00C30B9F"/>
    <w:rsid w:val="00C30F5D"/>
    <w:rsid w:val="00C3754C"/>
    <w:rsid w:val="00C4005D"/>
    <w:rsid w:val="00C40B25"/>
    <w:rsid w:val="00C53D9D"/>
    <w:rsid w:val="00C60A2C"/>
    <w:rsid w:val="00C61B13"/>
    <w:rsid w:val="00C66B93"/>
    <w:rsid w:val="00C67F4D"/>
    <w:rsid w:val="00C72088"/>
    <w:rsid w:val="00C834E5"/>
    <w:rsid w:val="00C84C36"/>
    <w:rsid w:val="00C87BF3"/>
    <w:rsid w:val="00C90BBC"/>
    <w:rsid w:val="00C91565"/>
    <w:rsid w:val="00C92DF5"/>
    <w:rsid w:val="00C930DE"/>
    <w:rsid w:val="00CA0AF1"/>
    <w:rsid w:val="00CA63DC"/>
    <w:rsid w:val="00CB0453"/>
    <w:rsid w:val="00CC32A3"/>
    <w:rsid w:val="00CC52F1"/>
    <w:rsid w:val="00CE3859"/>
    <w:rsid w:val="00CE3E71"/>
    <w:rsid w:val="00CF3E98"/>
    <w:rsid w:val="00CF4FBD"/>
    <w:rsid w:val="00CF6604"/>
    <w:rsid w:val="00CF6AD0"/>
    <w:rsid w:val="00CF6DCF"/>
    <w:rsid w:val="00D02B5B"/>
    <w:rsid w:val="00D04BBF"/>
    <w:rsid w:val="00D04E86"/>
    <w:rsid w:val="00D056AF"/>
    <w:rsid w:val="00D264C3"/>
    <w:rsid w:val="00D30A63"/>
    <w:rsid w:val="00D3264C"/>
    <w:rsid w:val="00D32A86"/>
    <w:rsid w:val="00D34859"/>
    <w:rsid w:val="00D364CD"/>
    <w:rsid w:val="00D41B7F"/>
    <w:rsid w:val="00D421E9"/>
    <w:rsid w:val="00D42C49"/>
    <w:rsid w:val="00D50B85"/>
    <w:rsid w:val="00D50CDC"/>
    <w:rsid w:val="00D61A08"/>
    <w:rsid w:val="00D643A3"/>
    <w:rsid w:val="00D66A6B"/>
    <w:rsid w:val="00D67FCE"/>
    <w:rsid w:val="00D70713"/>
    <w:rsid w:val="00D77817"/>
    <w:rsid w:val="00D82975"/>
    <w:rsid w:val="00D8724B"/>
    <w:rsid w:val="00D90374"/>
    <w:rsid w:val="00DA5946"/>
    <w:rsid w:val="00DA5FAF"/>
    <w:rsid w:val="00DB6382"/>
    <w:rsid w:val="00DC00DD"/>
    <w:rsid w:val="00DC07BC"/>
    <w:rsid w:val="00DC0B5B"/>
    <w:rsid w:val="00DC1644"/>
    <w:rsid w:val="00DC49EA"/>
    <w:rsid w:val="00DC640B"/>
    <w:rsid w:val="00DE04FD"/>
    <w:rsid w:val="00DE1540"/>
    <w:rsid w:val="00DE21D0"/>
    <w:rsid w:val="00DF6E78"/>
    <w:rsid w:val="00E03EFD"/>
    <w:rsid w:val="00E06346"/>
    <w:rsid w:val="00E07E2B"/>
    <w:rsid w:val="00E11A60"/>
    <w:rsid w:val="00E159DC"/>
    <w:rsid w:val="00E15AD3"/>
    <w:rsid w:val="00E16260"/>
    <w:rsid w:val="00E23BB3"/>
    <w:rsid w:val="00E32E77"/>
    <w:rsid w:val="00E36985"/>
    <w:rsid w:val="00E37AB7"/>
    <w:rsid w:val="00E4038F"/>
    <w:rsid w:val="00E43D71"/>
    <w:rsid w:val="00E555F1"/>
    <w:rsid w:val="00E6526A"/>
    <w:rsid w:val="00E75F3F"/>
    <w:rsid w:val="00E822A9"/>
    <w:rsid w:val="00E856EB"/>
    <w:rsid w:val="00E923A4"/>
    <w:rsid w:val="00E92EA2"/>
    <w:rsid w:val="00E95731"/>
    <w:rsid w:val="00E957B7"/>
    <w:rsid w:val="00E9689E"/>
    <w:rsid w:val="00E97C3E"/>
    <w:rsid w:val="00EA06E5"/>
    <w:rsid w:val="00EA12D6"/>
    <w:rsid w:val="00EA3CDE"/>
    <w:rsid w:val="00EA5EF2"/>
    <w:rsid w:val="00EA7CB1"/>
    <w:rsid w:val="00EC23D2"/>
    <w:rsid w:val="00ED42D5"/>
    <w:rsid w:val="00ED7ED0"/>
    <w:rsid w:val="00EE698D"/>
    <w:rsid w:val="00EE72DD"/>
    <w:rsid w:val="00EE78B6"/>
    <w:rsid w:val="00EF00FC"/>
    <w:rsid w:val="00F02DE5"/>
    <w:rsid w:val="00F0577F"/>
    <w:rsid w:val="00F06261"/>
    <w:rsid w:val="00F253E6"/>
    <w:rsid w:val="00F26652"/>
    <w:rsid w:val="00F26EB2"/>
    <w:rsid w:val="00F30228"/>
    <w:rsid w:val="00F338E8"/>
    <w:rsid w:val="00F357E1"/>
    <w:rsid w:val="00F37AEC"/>
    <w:rsid w:val="00F40008"/>
    <w:rsid w:val="00F40B80"/>
    <w:rsid w:val="00F42456"/>
    <w:rsid w:val="00F45A1A"/>
    <w:rsid w:val="00F509EE"/>
    <w:rsid w:val="00F53CD5"/>
    <w:rsid w:val="00F54AB0"/>
    <w:rsid w:val="00F5729A"/>
    <w:rsid w:val="00F60402"/>
    <w:rsid w:val="00F6286A"/>
    <w:rsid w:val="00F65B5D"/>
    <w:rsid w:val="00F6667F"/>
    <w:rsid w:val="00F67AE8"/>
    <w:rsid w:val="00F73199"/>
    <w:rsid w:val="00F737D0"/>
    <w:rsid w:val="00F753B6"/>
    <w:rsid w:val="00F94853"/>
    <w:rsid w:val="00FA0360"/>
    <w:rsid w:val="00FA0C66"/>
    <w:rsid w:val="00FA2F98"/>
    <w:rsid w:val="00FA4722"/>
    <w:rsid w:val="00FB1727"/>
    <w:rsid w:val="00FB3280"/>
    <w:rsid w:val="00FC3B4A"/>
    <w:rsid w:val="00FC3D49"/>
    <w:rsid w:val="00FD7E48"/>
    <w:rsid w:val="00FE1B79"/>
    <w:rsid w:val="00FE43FE"/>
    <w:rsid w:val="00FE4B28"/>
    <w:rsid w:val="00FE56BB"/>
    <w:rsid w:val="00FE61EA"/>
    <w:rsid w:val="00FF61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1B1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754C"/>
  </w:style>
  <w:style w:type="paragraph" w:styleId="Heading1">
    <w:name w:val="heading 1"/>
    <w:basedOn w:val="Normal"/>
    <w:next w:val="Normal"/>
    <w:qFormat/>
    <w:rsid w:val="00926EF6"/>
    <w:pPr>
      <w:keepNext/>
      <w:jc w:val="center"/>
      <w:outlineLvl w:val="0"/>
    </w:pPr>
    <w:rPr>
      <w:b/>
      <w:sz w:val="32"/>
    </w:rPr>
  </w:style>
  <w:style w:type="paragraph" w:styleId="Heading2">
    <w:name w:val="heading 2"/>
    <w:basedOn w:val="Normal"/>
    <w:next w:val="Normal"/>
    <w:qFormat/>
    <w:rsid w:val="00926EF6"/>
    <w:pPr>
      <w:keepNext/>
      <w:jc w:val="center"/>
      <w:outlineLvl w:val="1"/>
    </w:pPr>
    <w:rPr>
      <w:b/>
    </w:rPr>
  </w:style>
  <w:style w:type="paragraph" w:styleId="Heading3">
    <w:name w:val="heading 3"/>
    <w:basedOn w:val="Normal"/>
    <w:next w:val="Normal"/>
    <w:qFormat/>
    <w:rsid w:val="00926EF6"/>
    <w:pPr>
      <w:keepNext/>
      <w:jc w:val="center"/>
      <w:outlineLvl w:val="2"/>
    </w:pPr>
    <w:rPr>
      <w:b/>
      <w:sz w:val="28"/>
    </w:rPr>
  </w:style>
  <w:style w:type="paragraph" w:styleId="Heading4">
    <w:name w:val="heading 4"/>
    <w:basedOn w:val="Normal"/>
    <w:next w:val="Normal"/>
    <w:qFormat/>
    <w:rsid w:val="00926EF6"/>
    <w:pPr>
      <w:keepNext/>
      <w:outlineLvl w:val="3"/>
    </w:pPr>
    <w:rPr>
      <w:b/>
      <w:sz w:val="28"/>
    </w:rPr>
  </w:style>
  <w:style w:type="paragraph" w:styleId="Heading5">
    <w:name w:val="heading 5"/>
    <w:basedOn w:val="Normal"/>
    <w:next w:val="Normal"/>
    <w:qFormat/>
    <w:rsid w:val="00926EF6"/>
    <w:pPr>
      <w:keepNext/>
      <w:outlineLvl w:val="4"/>
    </w:pPr>
    <w:rPr>
      <w:sz w:val="28"/>
    </w:rPr>
  </w:style>
  <w:style w:type="paragraph" w:styleId="Heading6">
    <w:name w:val="heading 6"/>
    <w:basedOn w:val="Normal"/>
    <w:next w:val="Normal"/>
    <w:qFormat/>
    <w:rsid w:val="00926EF6"/>
    <w:pPr>
      <w:keepNext/>
      <w:outlineLvl w:val="5"/>
    </w:pPr>
  </w:style>
  <w:style w:type="paragraph" w:styleId="Heading7">
    <w:name w:val="heading 7"/>
    <w:basedOn w:val="Normal"/>
    <w:next w:val="Normal"/>
    <w:qFormat/>
    <w:rsid w:val="00926EF6"/>
    <w:pPr>
      <w:keepNext/>
      <w:spacing w:line="280" w:lineRule="exact"/>
      <w:jc w:val="center"/>
      <w:outlineLvl w:val="6"/>
    </w:pPr>
  </w:style>
  <w:style w:type="paragraph" w:styleId="Heading8">
    <w:name w:val="heading 8"/>
    <w:basedOn w:val="Normal"/>
    <w:next w:val="Normal"/>
    <w:qFormat/>
    <w:rsid w:val="00926EF6"/>
    <w:pPr>
      <w:keepNext/>
      <w:widowControl w:val="0"/>
      <w:tabs>
        <w:tab w:val="center" w:pos="4680"/>
      </w:tabs>
      <w:ind w:left="540" w:hanging="540"/>
      <w:outlineLvl w:val="7"/>
    </w:pPr>
  </w:style>
  <w:style w:type="paragraph" w:styleId="Heading9">
    <w:name w:val="heading 9"/>
    <w:basedOn w:val="Normal"/>
    <w:next w:val="Normal"/>
    <w:qFormat/>
    <w:rsid w:val="00926EF6"/>
    <w:pPr>
      <w:keepNext/>
      <w:jc w:val="center"/>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6EF6"/>
    <w:pPr>
      <w:tabs>
        <w:tab w:val="center" w:pos="4320"/>
        <w:tab w:val="right" w:pos="8640"/>
      </w:tabs>
    </w:pPr>
  </w:style>
  <w:style w:type="paragraph" w:styleId="Footer">
    <w:name w:val="footer"/>
    <w:basedOn w:val="Normal"/>
    <w:rsid w:val="00926EF6"/>
    <w:pPr>
      <w:tabs>
        <w:tab w:val="center" w:pos="4320"/>
        <w:tab w:val="right" w:pos="8640"/>
      </w:tabs>
    </w:pPr>
  </w:style>
  <w:style w:type="paragraph" w:styleId="TOC1">
    <w:name w:val="toc 1"/>
    <w:basedOn w:val="Normal"/>
    <w:next w:val="Normal"/>
    <w:autoRedefine/>
    <w:semiHidden/>
    <w:rsid w:val="00926EF6"/>
    <w:pPr>
      <w:ind w:firstLine="720"/>
    </w:pPr>
    <w:rPr>
      <w:b/>
    </w:rPr>
  </w:style>
  <w:style w:type="paragraph" w:styleId="TOC2">
    <w:name w:val="toc 2"/>
    <w:basedOn w:val="Normal"/>
    <w:next w:val="Normal"/>
    <w:autoRedefine/>
    <w:semiHidden/>
    <w:rsid w:val="00926EF6"/>
    <w:pPr>
      <w:ind w:left="200"/>
    </w:pPr>
    <w:rPr>
      <w:smallCaps/>
    </w:rPr>
  </w:style>
  <w:style w:type="paragraph" w:styleId="TOC3">
    <w:name w:val="toc 3"/>
    <w:basedOn w:val="Normal"/>
    <w:next w:val="Normal"/>
    <w:autoRedefine/>
    <w:semiHidden/>
    <w:rsid w:val="00926EF6"/>
    <w:pPr>
      <w:ind w:left="400"/>
    </w:pPr>
    <w:rPr>
      <w:i/>
    </w:rPr>
  </w:style>
  <w:style w:type="paragraph" w:styleId="TOC4">
    <w:name w:val="toc 4"/>
    <w:basedOn w:val="Normal"/>
    <w:next w:val="Normal"/>
    <w:autoRedefine/>
    <w:semiHidden/>
    <w:rsid w:val="00926EF6"/>
    <w:pPr>
      <w:ind w:left="600"/>
    </w:pPr>
    <w:rPr>
      <w:sz w:val="18"/>
    </w:rPr>
  </w:style>
  <w:style w:type="paragraph" w:styleId="TOC5">
    <w:name w:val="toc 5"/>
    <w:basedOn w:val="Normal"/>
    <w:next w:val="Normal"/>
    <w:autoRedefine/>
    <w:semiHidden/>
    <w:rsid w:val="00926EF6"/>
    <w:pPr>
      <w:ind w:left="800"/>
    </w:pPr>
    <w:rPr>
      <w:sz w:val="18"/>
    </w:rPr>
  </w:style>
  <w:style w:type="paragraph" w:styleId="TOC6">
    <w:name w:val="toc 6"/>
    <w:basedOn w:val="Normal"/>
    <w:next w:val="Normal"/>
    <w:autoRedefine/>
    <w:semiHidden/>
    <w:rsid w:val="00926EF6"/>
    <w:pPr>
      <w:ind w:left="1000"/>
    </w:pPr>
    <w:rPr>
      <w:sz w:val="18"/>
    </w:rPr>
  </w:style>
  <w:style w:type="paragraph" w:styleId="TOC7">
    <w:name w:val="toc 7"/>
    <w:basedOn w:val="Normal"/>
    <w:next w:val="Normal"/>
    <w:autoRedefine/>
    <w:semiHidden/>
    <w:rsid w:val="00926EF6"/>
    <w:pPr>
      <w:ind w:left="1200"/>
    </w:pPr>
    <w:rPr>
      <w:sz w:val="18"/>
    </w:rPr>
  </w:style>
  <w:style w:type="paragraph" w:styleId="TOC8">
    <w:name w:val="toc 8"/>
    <w:basedOn w:val="Normal"/>
    <w:next w:val="Normal"/>
    <w:autoRedefine/>
    <w:semiHidden/>
    <w:rsid w:val="00926EF6"/>
    <w:pPr>
      <w:ind w:left="1400"/>
    </w:pPr>
    <w:rPr>
      <w:sz w:val="18"/>
    </w:rPr>
  </w:style>
  <w:style w:type="paragraph" w:styleId="TOC9">
    <w:name w:val="toc 9"/>
    <w:basedOn w:val="Normal"/>
    <w:next w:val="Normal"/>
    <w:autoRedefine/>
    <w:semiHidden/>
    <w:rsid w:val="00926EF6"/>
    <w:pPr>
      <w:ind w:left="1600"/>
    </w:pPr>
    <w:rPr>
      <w:sz w:val="18"/>
    </w:rPr>
  </w:style>
  <w:style w:type="paragraph" w:styleId="BodyTextIndent">
    <w:name w:val="Body Text Indent"/>
    <w:basedOn w:val="Normal"/>
    <w:rsid w:val="00926EF6"/>
    <w:pPr>
      <w:ind w:left="720"/>
    </w:pPr>
  </w:style>
  <w:style w:type="paragraph" w:styleId="BodyTextIndent2">
    <w:name w:val="Body Text Indent 2"/>
    <w:basedOn w:val="Normal"/>
    <w:rsid w:val="00926EF6"/>
    <w:pPr>
      <w:ind w:left="2160"/>
    </w:pPr>
  </w:style>
  <w:style w:type="paragraph" w:styleId="BodyTextIndent3">
    <w:name w:val="Body Text Indent 3"/>
    <w:basedOn w:val="Normal"/>
    <w:rsid w:val="00926EF6"/>
    <w:pPr>
      <w:ind w:left="1440"/>
    </w:pPr>
  </w:style>
  <w:style w:type="paragraph" w:styleId="BodyText">
    <w:name w:val="Body Text"/>
    <w:basedOn w:val="Normal"/>
    <w:rsid w:val="00926EF6"/>
  </w:style>
  <w:style w:type="paragraph" w:styleId="BodyText3">
    <w:name w:val="Body Text 3"/>
    <w:basedOn w:val="Normal"/>
    <w:rsid w:val="00926EF6"/>
    <w:rPr>
      <w:color w:val="000000"/>
    </w:rPr>
  </w:style>
  <w:style w:type="paragraph" w:customStyle="1" w:styleId="ponsorsmonitorhasreviewedtheforms">
    <w:name w:val="ponsor's monitor has reviewed the forms"/>
    <w:basedOn w:val="Normal"/>
    <w:rsid w:val="00926EF6"/>
    <w:pPr>
      <w:jc w:val="both"/>
    </w:pPr>
  </w:style>
  <w:style w:type="paragraph" w:customStyle="1" w:styleId="toclump">
    <w:name w:val="toc lump"/>
    <w:basedOn w:val="Normal"/>
    <w:rsid w:val="00926EF6"/>
    <w:pPr>
      <w:tabs>
        <w:tab w:val="right" w:leader="dot" w:pos="9360"/>
      </w:tabs>
    </w:pPr>
    <w:rPr>
      <w:rFonts w:ascii="CG Times (WN)" w:hAnsi="CG Times (WN)"/>
    </w:rPr>
  </w:style>
  <w:style w:type="paragraph" w:customStyle="1" w:styleId="BodyText21">
    <w:name w:val="Body Text 21"/>
    <w:basedOn w:val="Normal"/>
    <w:rsid w:val="00926EF6"/>
    <w:pPr>
      <w:keepNext/>
      <w:keepLines/>
      <w:widowControl w:val="0"/>
      <w:tabs>
        <w:tab w:val="left" w:pos="720"/>
        <w:tab w:val="left" w:pos="1420"/>
        <w:tab w:val="left" w:pos="2160"/>
        <w:tab w:val="left" w:pos="2520"/>
        <w:tab w:val="left" w:pos="2880"/>
      </w:tabs>
      <w:suppressAutoHyphens/>
      <w:spacing w:line="360" w:lineRule="auto"/>
      <w:jc w:val="both"/>
    </w:pPr>
    <w:rPr>
      <w:color w:val="000000"/>
      <w:lang w:val="en-AU"/>
    </w:rPr>
  </w:style>
  <w:style w:type="character" w:styleId="PageNumber">
    <w:name w:val="page number"/>
    <w:basedOn w:val="DefaultParagraphFont"/>
    <w:rsid w:val="00926EF6"/>
  </w:style>
  <w:style w:type="paragraph" w:styleId="BalloonText">
    <w:name w:val="Balloon Text"/>
    <w:basedOn w:val="Normal"/>
    <w:semiHidden/>
    <w:rsid w:val="00926EF6"/>
    <w:rPr>
      <w:rFonts w:ascii="Tahoma" w:hAnsi="Tahoma"/>
      <w:sz w:val="16"/>
      <w:szCs w:val="16"/>
    </w:rPr>
  </w:style>
  <w:style w:type="paragraph" w:styleId="PlainText">
    <w:name w:val="Plain Text"/>
    <w:basedOn w:val="Normal"/>
    <w:rsid w:val="00926EF6"/>
    <w:rPr>
      <w:rFonts w:ascii="Courier New" w:hAnsi="Courier New"/>
    </w:rPr>
  </w:style>
  <w:style w:type="character" w:styleId="Hyperlink">
    <w:name w:val="Hyperlink"/>
    <w:basedOn w:val="DefaultParagraphFont"/>
    <w:rsid w:val="00926EF6"/>
    <w:rPr>
      <w:color w:val="0000FF"/>
      <w:u w:val="single"/>
    </w:rPr>
  </w:style>
  <w:style w:type="character" w:styleId="Strong">
    <w:name w:val="Strong"/>
    <w:basedOn w:val="DefaultParagraphFont"/>
    <w:qFormat/>
    <w:rsid w:val="00926EF6"/>
    <w:rPr>
      <w:b/>
      <w:bCs/>
    </w:rPr>
  </w:style>
  <w:style w:type="character" w:styleId="Emphasis">
    <w:name w:val="Emphasis"/>
    <w:basedOn w:val="DefaultParagraphFont"/>
    <w:qFormat/>
    <w:rsid w:val="00926EF6"/>
    <w:rPr>
      <w:i/>
      <w:iCs/>
    </w:rPr>
  </w:style>
  <w:style w:type="paragraph" w:styleId="NormalWeb">
    <w:name w:val="Normal (Web)"/>
    <w:basedOn w:val="Normal"/>
    <w:uiPriority w:val="99"/>
    <w:rsid w:val="00926EF6"/>
    <w:pPr>
      <w:spacing w:before="100" w:beforeAutospacing="1" w:after="100" w:afterAutospacing="1"/>
    </w:pPr>
  </w:style>
  <w:style w:type="table" w:styleId="TableGrid">
    <w:name w:val="Table Grid"/>
    <w:basedOn w:val="TableNormal"/>
    <w:uiPriority w:val="59"/>
    <w:rsid w:val="00380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428"/>
    <w:pPr>
      <w:ind w:left="720"/>
      <w:contextualSpacing/>
    </w:pPr>
  </w:style>
  <w:style w:type="character" w:customStyle="1" w:styleId="HeaderChar">
    <w:name w:val="Header Char"/>
    <w:basedOn w:val="DefaultParagraphFont"/>
    <w:link w:val="Header"/>
    <w:uiPriority w:val="99"/>
    <w:rsid w:val="00C3754C"/>
  </w:style>
  <w:style w:type="paragraph" w:styleId="BodyText2">
    <w:name w:val="Body Text 2"/>
    <w:basedOn w:val="Normal"/>
    <w:link w:val="BodyText2Char"/>
    <w:rsid w:val="00A63A14"/>
    <w:pPr>
      <w:spacing w:after="120" w:line="480" w:lineRule="auto"/>
    </w:pPr>
  </w:style>
  <w:style w:type="character" w:customStyle="1" w:styleId="BodyText2Char">
    <w:name w:val="Body Text 2 Char"/>
    <w:basedOn w:val="DefaultParagraphFont"/>
    <w:link w:val="BodyText2"/>
    <w:rsid w:val="00A63A14"/>
  </w:style>
  <w:style w:type="paragraph" w:customStyle="1" w:styleId="PABulletLevel1">
    <w:name w:val="PA Bullet Level 1"/>
    <w:basedOn w:val="Normal"/>
    <w:link w:val="PABulletLevel1CharChar"/>
    <w:rsid w:val="00114B0D"/>
    <w:pPr>
      <w:tabs>
        <w:tab w:val="num" w:pos="360"/>
      </w:tabs>
      <w:autoSpaceDE w:val="0"/>
      <w:autoSpaceDN w:val="0"/>
      <w:adjustRightInd w:val="0"/>
      <w:snapToGrid w:val="0"/>
      <w:spacing w:after="120"/>
      <w:ind w:left="1080" w:hanging="360"/>
    </w:pPr>
    <w:rPr>
      <w:rFonts w:ascii="Calibri" w:hAnsi="Calibri"/>
      <w:bCs/>
    </w:rPr>
  </w:style>
  <w:style w:type="character" w:customStyle="1" w:styleId="PABulletLevel1CharChar">
    <w:name w:val="PA Bullet Level 1 Char Char"/>
    <w:link w:val="PABulletLevel1"/>
    <w:locked/>
    <w:rsid w:val="00114B0D"/>
    <w:rPr>
      <w:rFonts w:ascii="Calibri" w:hAnsi="Calibri"/>
      <w:bCs/>
    </w:rPr>
  </w:style>
  <w:style w:type="paragraph" w:customStyle="1" w:styleId="DataField11pt-Single">
    <w:name w:val="Data Field 11pt-Single"/>
    <w:basedOn w:val="Normal"/>
    <w:rsid w:val="00E92EA2"/>
    <w:pPr>
      <w:autoSpaceDE w:val="0"/>
      <w:autoSpaceDN w:val="0"/>
    </w:pPr>
    <w:rPr>
      <w:rFonts w:ascii="Arial" w:hAnsi="Arial" w:cs="Arial"/>
      <w:sz w:val="22"/>
      <w:szCs w:val="20"/>
    </w:rPr>
  </w:style>
  <w:style w:type="character" w:styleId="CommentReference">
    <w:name w:val="annotation reference"/>
    <w:basedOn w:val="DefaultParagraphFont"/>
    <w:rsid w:val="00501264"/>
    <w:rPr>
      <w:sz w:val="18"/>
      <w:szCs w:val="18"/>
    </w:rPr>
  </w:style>
  <w:style w:type="paragraph" w:styleId="CommentText">
    <w:name w:val="annotation text"/>
    <w:basedOn w:val="Normal"/>
    <w:link w:val="CommentTextChar"/>
    <w:rsid w:val="00501264"/>
  </w:style>
  <w:style w:type="character" w:customStyle="1" w:styleId="CommentTextChar">
    <w:name w:val="Comment Text Char"/>
    <w:basedOn w:val="DefaultParagraphFont"/>
    <w:link w:val="CommentText"/>
    <w:rsid w:val="00501264"/>
  </w:style>
  <w:style w:type="paragraph" w:styleId="CommentSubject">
    <w:name w:val="annotation subject"/>
    <w:basedOn w:val="CommentText"/>
    <w:next w:val="CommentText"/>
    <w:link w:val="CommentSubjectChar"/>
    <w:rsid w:val="00501264"/>
    <w:rPr>
      <w:b/>
      <w:bCs/>
      <w:sz w:val="20"/>
      <w:szCs w:val="20"/>
    </w:rPr>
  </w:style>
  <w:style w:type="character" w:customStyle="1" w:styleId="CommentSubjectChar">
    <w:name w:val="Comment Subject Char"/>
    <w:basedOn w:val="CommentTextChar"/>
    <w:link w:val="CommentSubject"/>
    <w:rsid w:val="00501264"/>
    <w:rPr>
      <w:b/>
      <w:bCs/>
      <w:sz w:val="20"/>
      <w:szCs w:val="20"/>
    </w:rPr>
  </w:style>
  <w:style w:type="paragraph" w:styleId="Revision">
    <w:name w:val="Revision"/>
    <w:hidden/>
    <w:rsid w:val="007A5316"/>
  </w:style>
  <w:style w:type="paragraph" w:customStyle="1" w:styleId="Default">
    <w:name w:val="Default"/>
    <w:rsid w:val="001432E9"/>
    <w:pPr>
      <w:autoSpaceDE w:val="0"/>
      <w:autoSpaceDN w:val="0"/>
      <w:adjustRightInd w:val="0"/>
    </w:pPr>
    <w:rPr>
      <w:rFonts w:eastAsia="Calibri"/>
      <w:color w:val="000000"/>
    </w:rPr>
  </w:style>
  <w:style w:type="paragraph" w:customStyle="1" w:styleId="EndNoteBibliographyTitle">
    <w:name w:val="EndNote Bibliography Title"/>
    <w:basedOn w:val="Normal"/>
    <w:rsid w:val="00BE25AC"/>
    <w:pPr>
      <w:jc w:val="center"/>
    </w:pPr>
  </w:style>
  <w:style w:type="paragraph" w:customStyle="1" w:styleId="EndNoteBibliography">
    <w:name w:val="EndNote Bibliography"/>
    <w:basedOn w:val="Normal"/>
    <w:rsid w:val="00BE2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2384">
      <w:bodyDiv w:val="1"/>
      <w:marLeft w:val="0"/>
      <w:marRight w:val="0"/>
      <w:marTop w:val="0"/>
      <w:marBottom w:val="0"/>
      <w:divBdr>
        <w:top w:val="none" w:sz="0" w:space="0" w:color="auto"/>
        <w:left w:val="none" w:sz="0" w:space="0" w:color="auto"/>
        <w:bottom w:val="none" w:sz="0" w:space="0" w:color="auto"/>
        <w:right w:val="none" w:sz="0" w:space="0" w:color="auto"/>
      </w:divBdr>
      <w:divsChild>
        <w:div w:id="859857426">
          <w:marLeft w:val="0"/>
          <w:marRight w:val="0"/>
          <w:marTop w:val="0"/>
          <w:marBottom w:val="0"/>
          <w:divBdr>
            <w:top w:val="none" w:sz="0" w:space="0" w:color="auto"/>
            <w:left w:val="none" w:sz="0" w:space="0" w:color="auto"/>
            <w:bottom w:val="none" w:sz="0" w:space="0" w:color="auto"/>
            <w:right w:val="none" w:sz="0" w:space="0" w:color="auto"/>
          </w:divBdr>
          <w:divsChild>
            <w:div w:id="1091775249">
              <w:marLeft w:val="0"/>
              <w:marRight w:val="0"/>
              <w:marTop w:val="0"/>
              <w:marBottom w:val="0"/>
              <w:divBdr>
                <w:top w:val="none" w:sz="0" w:space="0" w:color="auto"/>
                <w:left w:val="none" w:sz="0" w:space="0" w:color="auto"/>
                <w:bottom w:val="none" w:sz="0" w:space="0" w:color="auto"/>
                <w:right w:val="none" w:sz="0" w:space="0" w:color="auto"/>
              </w:divBdr>
              <w:divsChild>
                <w:div w:id="19052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1279">
      <w:bodyDiv w:val="1"/>
      <w:marLeft w:val="0"/>
      <w:marRight w:val="0"/>
      <w:marTop w:val="0"/>
      <w:marBottom w:val="0"/>
      <w:divBdr>
        <w:top w:val="none" w:sz="0" w:space="0" w:color="auto"/>
        <w:left w:val="none" w:sz="0" w:space="0" w:color="auto"/>
        <w:bottom w:val="none" w:sz="0" w:space="0" w:color="auto"/>
        <w:right w:val="none" w:sz="0" w:space="0" w:color="auto"/>
      </w:divBdr>
      <w:divsChild>
        <w:div w:id="282931070">
          <w:marLeft w:val="0"/>
          <w:marRight w:val="0"/>
          <w:marTop w:val="0"/>
          <w:marBottom w:val="0"/>
          <w:divBdr>
            <w:top w:val="none" w:sz="0" w:space="0" w:color="auto"/>
            <w:left w:val="none" w:sz="0" w:space="0" w:color="auto"/>
            <w:bottom w:val="none" w:sz="0" w:space="0" w:color="auto"/>
            <w:right w:val="none" w:sz="0" w:space="0" w:color="auto"/>
          </w:divBdr>
          <w:divsChild>
            <w:div w:id="105271832">
              <w:marLeft w:val="0"/>
              <w:marRight w:val="0"/>
              <w:marTop w:val="0"/>
              <w:marBottom w:val="0"/>
              <w:divBdr>
                <w:top w:val="none" w:sz="0" w:space="0" w:color="auto"/>
                <w:left w:val="none" w:sz="0" w:space="0" w:color="auto"/>
                <w:bottom w:val="none" w:sz="0" w:space="0" w:color="auto"/>
                <w:right w:val="none" w:sz="0" w:space="0" w:color="auto"/>
              </w:divBdr>
              <w:divsChild>
                <w:div w:id="1314410228">
                  <w:marLeft w:val="0"/>
                  <w:marRight w:val="0"/>
                  <w:marTop w:val="0"/>
                  <w:marBottom w:val="0"/>
                  <w:divBdr>
                    <w:top w:val="none" w:sz="0" w:space="0" w:color="auto"/>
                    <w:left w:val="none" w:sz="0" w:space="0" w:color="auto"/>
                    <w:bottom w:val="none" w:sz="0" w:space="0" w:color="auto"/>
                    <w:right w:val="none" w:sz="0" w:space="0" w:color="auto"/>
                  </w:divBdr>
                  <w:divsChild>
                    <w:div w:id="403261584">
                      <w:marLeft w:val="0"/>
                      <w:marRight w:val="0"/>
                      <w:marTop w:val="0"/>
                      <w:marBottom w:val="0"/>
                      <w:divBdr>
                        <w:top w:val="none" w:sz="0" w:space="0" w:color="auto"/>
                        <w:left w:val="none" w:sz="0" w:space="0" w:color="auto"/>
                        <w:bottom w:val="none" w:sz="0" w:space="0" w:color="auto"/>
                        <w:right w:val="none" w:sz="0" w:space="0" w:color="auto"/>
                      </w:divBdr>
                      <w:divsChild>
                        <w:div w:id="386152806">
                          <w:marLeft w:val="0"/>
                          <w:marRight w:val="0"/>
                          <w:marTop w:val="0"/>
                          <w:marBottom w:val="375"/>
                          <w:divBdr>
                            <w:top w:val="none" w:sz="0" w:space="0" w:color="auto"/>
                            <w:left w:val="none" w:sz="0" w:space="0" w:color="auto"/>
                            <w:bottom w:val="none" w:sz="0" w:space="0" w:color="auto"/>
                            <w:right w:val="none" w:sz="0" w:space="0" w:color="auto"/>
                          </w:divBdr>
                          <w:divsChild>
                            <w:div w:id="17726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347052">
      <w:bodyDiv w:val="1"/>
      <w:marLeft w:val="0"/>
      <w:marRight w:val="0"/>
      <w:marTop w:val="0"/>
      <w:marBottom w:val="0"/>
      <w:divBdr>
        <w:top w:val="none" w:sz="0" w:space="0" w:color="auto"/>
        <w:left w:val="none" w:sz="0" w:space="0" w:color="auto"/>
        <w:bottom w:val="none" w:sz="0" w:space="0" w:color="auto"/>
        <w:right w:val="none" w:sz="0" w:space="0" w:color="auto"/>
      </w:divBdr>
      <w:divsChild>
        <w:div w:id="189495312">
          <w:marLeft w:val="0"/>
          <w:marRight w:val="0"/>
          <w:marTop w:val="0"/>
          <w:marBottom w:val="0"/>
          <w:divBdr>
            <w:top w:val="none" w:sz="0" w:space="0" w:color="auto"/>
            <w:left w:val="none" w:sz="0" w:space="0" w:color="auto"/>
            <w:bottom w:val="none" w:sz="0" w:space="0" w:color="auto"/>
            <w:right w:val="none" w:sz="0" w:space="0" w:color="auto"/>
          </w:divBdr>
          <w:divsChild>
            <w:div w:id="1256481582">
              <w:marLeft w:val="0"/>
              <w:marRight w:val="0"/>
              <w:marTop w:val="0"/>
              <w:marBottom w:val="0"/>
              <w:divBdr>
                <w:top w:val="none" w:sz="0" w:space="0" w:color="auto"/>
                <w:left w:val="none" w:sz="0" w:space="0" w:color="auto"/>
                <w:bottom w:val="none" w:sz="0" w:space="0" w:color="auto"/>
                <w:right w:val="none" w:sz="0" w:space="0" w:color="auto"/>
              </w:divBdr>
              <w:divsChild>
                <w:div w:id="1079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6133">
      <w:bodyDiv w:val="1"/>
      <w:marLeft w:val="0"/>
      <w:marRight w:val="0"/>
      <w:marTop w:val="0"/>
      <w:marBottom w:val="0"/>
      <w:divBdr>
        <w:top w:val="none" w:sz="0" w:space="0" w:color="auto"/>
        <w:left w:val="none" w:sz="0" w:space="0" w:color="auto"/>
        <w:bottom w:val="none" w:sz="0" w:space="0" w:color="auto"/>
        <w:right w:val="none" w:sz="0" w:space="0" w:color="auto"/>
      </w:divBdr>
      <w:divsChild>
        <w:div w:id="339548887">
          <w:marLeft w:val="0"/>
          <w:marRight w:val="0"/>
          <w:marTop w:val="0"/>
          <w:marBottom w:val="0"/>
          <w:divBdr>
            <w:top w:val="none" w:sz="0" w:space="0" w:color="auto"/>
            <w:left w:val="none" w:sz="0" w:space="0" w:color="auto"/>
            <w:bottom w:val="none" w:sz="0" w:space="0" w:color="auto"/>
            <w:right w:val="none" w:sz="0" w:space="0" w:color="auto"/>
          </w:divBdr>
          <w:divsChild>
            <w:div w:id="146095122">
              <w:marLeft w:val="0"/>
              <w:marRight w:val="0"/>
              <w:marTop w:val="0"/>
              <w:marBottom w:val="0"/>
              <w:divBdr>
                <w:top w:val="none" w:sz="0" w:space="0" w:color="auto"/>
                <w:left w:val="none" w:sz="0" w:space="0" w:color="auto"/>
                <w:bottom w:val="none" w:sz="0" w:space="0" w:color="auto"/>
                <w:right w:val="none" w:sz="0" w:space="0" w:color="auto"/>
              </w:divBdr>
              <w:divsChild>
                <w:div w:id="14915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560">
          <w:marLeft w:val="0"/>
          <w:marRight w:val="0"/>
          <w:marTop w:val="0"/>
          <w:marBottom w:val="0"/>
          <w:divBdr>
            <w:top w:val="none" w:sz="0" w:space="0" w:color="auto"/>
            <w:left w:val="none" w:sz="0" w:space="0" w:color="auto"/>
            <w:bottom w:val="none" w:sz="0" w:space="0" w:color="auto"/>
            <w:right w:val="none" w:sz="0" w:space="0" w:color="auto"/>
          </w:divBdr>
          <w:divsChild>
            <w:div w:id="440993574">
              <w:marLeft w:val="0"/>
              <w:marRight w:val="0"/>
              <w:marTop w:val="0"/>
              <w:marBottom w:val="0"/>
              <w:divBdr>
                <w:top w:val="none" w:sz="0" w:space="0" w:color="auto"/>
                <w:left w:val="none" w:sz="0" w:space="0" w:color="auto"/>
                <w:bottom w:val="none" w:sz="0" w:space="0" w:color="auto"/>
                <w:right w:val="none" w:sz="0" w:space="0" w:color="auto"/>
              </w:divBdr>
              <w:divsChild>
                <w:div w:id="7022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4597">
      <w:bodyDiv w:val="1"/>
      <w:marLeft w:val="0"/>
      <w:marRight w:val="0"/>
      <w:marTop w:val="0"/>
      <w:marBottom w:val="0"/>
      <w:divBdr>
        <w:top w:val="none" w:sz="0" w:space="0" w:color="auto"/>
        <w:left w:val="none" w:sz="0" w:space="0" w:color="auto"/>
        <w:bottom w:val="none" w:sz="0" w:space="0" w:color="auto"/>
        <w:right w:val="none" w:sz="0" w:space="0" w:color="auto"/>
      </w:divBdr>
      <w:divsChild>
        <w:div w:id="672610276">
          <w:marLeft w:val="0"/>
          <w:marRight w:val="0"/>
          <w:marTop w:val="0"/>
          <w:marBottom w:val="0"/>
          <w:divBdr>
            <w:top w:val="none" w:sz="0" w:space="0" w:color="auto"/>
            <w:left w:val="none" w:sz="0" w:space="0" w:color="auto"/>
            <w:bottom w:val="none" w:sz="0" w:space="0" w:color="auto"/>
            <w:right w:val="none" w:sz="0" w:space="0" w:color="auto"/>
          </w:divBdr>
          <w:divsChild>
            <w:div w:id="647637987">
              <w:marLeft w:val="0"/>
              <w:marRight w:val="0"/>
              <w:marTop w:val="0"/>
              <w:marBottom w:val="0"/>
              <w:divBdr>
                <w:top w:val="none" w:sz="0" w:space="0" w:color="auto"/>
                <w:left w:val="none" w:sz="0" w:space="0" w:color="auto"/>
                <w:bottom w:val="none" w:sz="0" w:space="0" w:color="auto"/>
                <w:right w:val="none" w:sz="0" w:space="0" w:color="auto"/>
              </w:divBdr>
              <w:divsChild>
                <w:div w:id="475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738">
      <w:bodyDiv w:val="1"/>
      <w:marLeft w:val="0"/>
      <w:marRight w:val="0"/>
      <w:marTop w:val="0"/>
      <w:marBottom w:val="0"/>
      <w:divBdr>
        <w:top w:val="none" w:sz="0" w:space="0" w:color="auto"/>
        <w:left w:val="none" w:sz="0" w:space="0" w:color="auto"/>
        <w:bottom w:val="none" w:sz="0" w:space="0" w:color="auto"/>
        <w:right w:val="none" w:sz="0" w:space="0" w:color="auto"/>
      </w:divBdr>
      <w:divsChild>
        <w:div w:id="1852833834">
          <w:marLeft w:val="0"/>
          <w:marRight w:val="0"/>
          <w:marTop w:val="0"/>
          <w:marBottom w:val="0"/>
          <w:divBdr>
            <w:top w:val="none" w:sz="0" w:space="0" w:color="auto"/>
            <w:left w:val="none" w:sz="0" w:space="0" w:color="auto"/>
            <w:bottom w:val="none" w:sz="0" w:space="0" w:color="auto"/>
            <w:right w:val="none" w:sz="0" w:space="0" w:color="auto"/>
          </w:divBdr>
          <w:divsChild>
            <w:div w:id="1459303677">
              <w:marLeft w:val="0"/>
              <w:marRight w:val="0"/>
              <w:marTop w:val="0"/>
              <w:marBottom w:val="0"/>
              <w:divBdr>
                <w:top w:val="none" w:sz="0" w:space="0" w:color="auto"/>
                <w:left w:val="none" w:sz="0" w:space="0" w:color="auto"/>
                <w:bottom w:val="none" w:sz="0" w:space="0" w:color="auto"/>
                <w:right w:val="none" w:sz="0" w:space="0" w:color="auto"/>
              </w:divBdr>
              <w:divsChild>
                <w:div w:id="76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752CE-0E7B-479A-ADAA-08CC4B02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29857</Words>
  <Characters>170190</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2021-06-22T15:32:00Z</dcterms:created>
  <dcterms:modified xsi:type="dcterms:W3CDTF">2021-06-22T15:41:00Z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6087d430-ae19-3821-ac28-965631c1955b</vt:lpwstr>
  </property>
  <property fmtid="{D5CDD505-2E9C-101B-9397-08002B2CF9AE}" pid="4" name="Mendeley Citation Style_1">
    <vt:lpwstr>http://www.zotero.org/styles/biomed-central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http://www.zotero.org/styles/biomed-central</vt:lpwstr>
  </property>
  <property fmtid="{D5CDD505-2E9C-101B-9397-08002B2CF9AE}" pid="12" name="Mendeley Recent Style Name 3_1">
    <vt:lpwstr>BioMed Central</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