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b/>
          <w:bCs/>
          <w:color w:val="0F172A"/>
          <w:sz w:val="52"/>
          <w:szCs w:val="52"/>
        </w:rPr>
        <w:t xml:space="preserve">Quarterly Engineering &amp; Architecture Strategy</w:t>
      </w:r>
    </w:p>
    <w:p>
      <w:pPr>
        <w:spacing w:after="200"/>
      </w:pPr>
      <w:r>
        <w:rPr>
          <w:color w:val="64748B"/>
          <w:sz w:val="24"/>
          <w:szCs w:val="24"/>
        </w:rPr>
        <w:t xml:space="preserve">High-Performance Cloud Infrastructure, Developer Productivity &amp; Documentation Standard</w:t>
      </w:r>
    </w:p>
    <w:p>
      <w:pPr>
        <w:spacing w:after="360"/>
      </w:pPr>
      <w:r>
        <w:rPr>
          <w:color w:val="64748B"/>
          <w:sz w:val="19"/>
          <w:szCs w:val="19"/>
        </w:rPr>
        <w:t xml:space="preserve">Author: Jehadur RE  |  Date: 2026-09-03  |  Version: v2.5  |  Status: APPROVED</w:t>
      </w:r>
    </w:p>
    <w:p>
      <w:pPr>
        <w:pStyle w:val="Heading1"/>
      </w:pPr>
      <w:r>
        <w:t xml:space="preserve">Executive Summary</w:t>
      </w:r>
    </w:p>
    <w:p>
      <w:pPr>
        <w:spacing w:after="140"/>
      </w:pPr>
      <w:r>
        <w:t xml:space="preserve">This strategic document outlines our engineering roadmap, cloud architecture milestones, and developer productivity enhancements&lt;sup&gt;&lt;a href="#fn-1" name="fnref-1" style="color: #2563EB; font-weight: 700; text-decoration: none; padding: 0 1pt;"&gt;[1]&lt;/a&gt;&lt;/sup&gt;. Designed to be converted directly into an executive </w:t>
      </w:r>
      <w:r>
        <w:rPr>
          <w:b/>
          <w:bCs/>
        </w:rPr>
        <w:t xml:space="preserve">Google Docs</w:t>
      </w:r>
      <w:r>
        <w:t xml:space="preserve"> report, preserving typographic harmony, table formatting, callouts, and syntax highlighting.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[[CALLOUT:note:]]</w:t>
      </w:r>
    </w:p>
    <w:p>
      <w:pPr>
        <w:spacing w:before="120" w:after="120"/>
      </w:pPr>
      <w:r>
        <w:rPr>
          <w:i/>
          <w:iCs/>
          <w:color w:val="64748B"/>
        </w:rPr>
        <w:t xml:space="preserve">All specifications in this document adhere strictly to the highest industrial enterprise standards&lt;sup&gt;&lt;a href="#fn-arch-study" name="fnref-arch-study" style="color: #2563EB; font-weight: 700; text-decoration: none; padding: 0 1pt;"&gt;[arch-study]&lt;/a&gt;&lt;/sup&gt;.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Table of Contents</w:t>
      </w:r>
    </w:p>
    <w:p>
      <w:pPr>
        <w:spacing w:after="140"/>
      </w:pPr>
      <w:r>
        <w:t xml:space="preserve">&lt;!-- DOCUMENT_TOC_PLACEHOLDER --&gt;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Architecture Pillars</w:t>
      </w:r>
    </w:p>
    <w:p>
      <w:pPr>
        <w:spacing w:after="140"/>
      </w:pPr>
      <w:r>
        <w:t xml:space="preserve">The modern cloud stack is structured around four primary pillars:</w:t>
      </w:r>
    </w:p>
    <w:p>
      <w:pPr>
        <w:spacing w:after="140"/>
      </w:pPr>
      <w:r>
        <w:t xml:space="preserve">1. </w:t>
      </w:r>
      <w:r>
        <w:rPr>
          <w:b/>
          <w:bCs/>
        </w:rPr>
        <w:t xml:space="preserve">Deterministic Builds</w:t>
      </w:r>
      <w:r>
        <w:t xml:space="preserve">: Completely reproducible artifacts across local and CI/CD environments.</w:t>
      </w:r>
    </w:p>
    <w:p>
      <w:pPr>
        <w:spacing w:after="140"/>
      </w:pPr>
      <w:r>
        <w:t xml:space="preserve">2. </w:t>
      </w:r>
      <w:r>
        <w:rPr>
          <w:b/>
          <w:bCs/>
        </w:rPr>
        <w:t xml:space="preserve">Sub-second Response Times</w:t>
      </w:r>
      <w:r>
        <w:t xml:space="preserve">: Global edge caching and optimal database query indexing.</w:t>
      </w:r>
    </w:p>
    <w:p>
      <w:pPr>
        <w:spacing w:after="140"/>
      </w:pPr>
      <w:r>
        <w:t xml:space="preserve">3. </w:t>
      </w:r>
      <w:r>
        <w:rPr>
          <w:b/>
          <w:bCs/>
        </w:rPr>
        <w:t xml:space="preserve">Automated Documentation</w:t>
      </w:r>
      <w:r>
        <w:t xml:space="preserve">: Converting Markdown specifications directly to styled Google Docs.</w:t>
      </w:r>
    </w:p>
    <w:p>
      <w:pPr>
        <w:spacing w:after="140"/>
      </w:pPr>
      <w:r>
        <w:t xml:space="preserve">4. </w:t>
      </w:r>
      <w:r>
        <w:rPr>
          <w:b/>
          <w:bCs/>
        </w:rPr>
        <w:t xml:space="preserve">Resilient Security Posture</w:t>
      </w:r>
      <w:r>
        <w:t xml:space="preserve">: OAuth 2.0 PKCE authentication with encrypted OS-level token caching.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[[CALLOUT:tip:Pro Tip]]</w:t>
      </w:r>
    </w:p>
    <w:p>
      <w:pPr>
        <w:spacing w:before="120" w:after="120"/>
      </w:pPr>
      <w:r>
        <w:rPr>
          <w:i/>
          <w:iCs/>
          <w:color w:val="64748B"/>
        </w:rPr>
        <w:t xml:space="preserve">Use the **"Copy for Google Docs"** command (`Ctrl+Shift+P` -&gt; `Copy for Google Docs`), then press &lt;kbd style="display: inline-block; padding: 1.5pt 5pt; font-size: 8.5pt; font-family: monospace; line-height: 1.2; color: #1E293B; background-color: #F1F5F9; border: 1pt solid #CBD5E1; border-radius: 3pt; box-shadow: 0 1pt 0 #94A3B8;"&gt;Ctrl&lt;/kbd&gt; + &lt;kbd style="display: inline-block; padding: 1.5pt 5pt; font-size: 8.5pt; font-family: monospace; line-height: 1.2; color: #1E293B; background-color: #F1F5F9; border: 1pt solid #CBD5E1; border-radius: 3pt; box-shadow: 0 1pt 0 #94A3B8;"&gt;V&lt;/kbd&gt; inside any Google Doc for 100% style fidelity!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Extended Alert Admonitions</w:t>
      </w:r>
    </w:p>
    <w:p>
      <w:pPr>
        <w:spacing w:after="140"/>
      </w:pPr>
      <w:r>
        <w:t xml:space="preserve">The converter natively formats 12 distinct callout alert types as Google Docs single-cell tables: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[[CALLOUT:info:Information]]</w:t>
      </w:r>
    </w:p>
    <w:p>
      <w:pPr>
        <w:spacing w:before="120" w:after="120"/>
      </w:pPr>
      <w:r>
        <w:rPr>
          <w:i/>
          <w:iCs/>
          <w:color w:val="64748B"/>
        </w:rPr>
        <w:t xml:space="preserve">Real-time streaming metrics are collected and aggregated via Google Cloud Pub/Sub.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[[CALLOUT:success:Verification Complete]]</w:t>
      </w:r>
    </w:p>
    <w:p>
      <w:pPr>
        <w:spacing w:before="120" w:after="120"/>
      </w:pPr>
      <w:r>
        <w:rPr>
          <w:i/>
          <w:iCs/>
          <w:color w:val="64748B"/>
        </w:rPr>
        <w:t xml:space="preserve">Automated test suite passed with 18 of 18 checks verified.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[[CALLOUT:question:Need Guidance?]]</w:t>
      </w:r>
    </w:p>
    <w:p>
      <w:pPr>
        <w:spacing w:before="120" w:after="120"/>
      </w:pPr>
      <w:r>
        <w:rPr>
          <w:i/>
          <w:iCs/>
          <w:color w:val="64748B"/>
        </w:rPr>
        <w:t xml:space="preserve">Refer to the internal Developer Portal FAQ or reach out to `#platform-engineering`.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[[CALLOUT:todo:Action Item]]</w:t>
      </w:r>
    </w:p>
    <w:p>
      <w:pPr>
        <w:spacing w:before="120" w:after="120"/>
      </w:pPr>
      <w:r>
        <w:rPr>
          <w:i/>
          <w:iCs/>
          <w:color w:val="64748B"/>
        </w:rPr>
        <w:t xml:space="preserve">Complete load testing on secondary staging cluster before Friday.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[[CALLOUT:example:Usage Example]]</w:t>
      </w:r>
    </w:p>
    <w:p>
      <w:pPr>
        <w:spacing w:before="120" w:after="120"/>
      </w:pPr>
      <w:r>
        <w:rPr>
          <w:i/>
          <w:iCs/>
          <w:color w:val="64748B"/>
        </w:rPr>
        <w:t xml:space="preserve">Example command line execution: `npm test` runs all unit tests.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[[CALLOUT:warning:Token Expiration]]</w:t>
      </w:r>
    </w:p>
    <w:p>
      <w:pPr>
        <w:spacing w:before="120" w:after="120"/>
      </w:pPr>
      <w:r>
        <w:rPr>
          <w:i/>
          <w:iCs/>
          <w:color w:val="64748B"/>
        </w:rPr>
        <w:t xml:space="preserve">Expired tokens must be refreshed automatically before executing batch upload operations.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[[CALLOUT:danger:Critical Failure Safeguard]]</w:t>
      </w:r>
    </w:p>
    <w:p>
      <w:pPr>
        <w:spacing w:before="120" w:after="120"/>
      </w:pPr>
      <w:r>
        <w:rPr>
          <w:i/>
          <w:iCs/>
          <w:color w:val="64748B"/>
        </w:rPr>
        <w:t xml:space="preserve">Automatic circuit breakers will trip if downstream failure exceeds 5% within a 60-second window.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Advanced Typography &amp; Formatting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Inline Text Highlighting</w:t>
      </w:r>
      <w:r>
        <w:t xml:space="preserve">: Critical security alerts require &lt;mark style="background-color: #FEF08A; color: #713F12; padding: 1.5pt 4pt; border-radius: 2pt;"&gt;immediate operator attention&lt;/mark&gt;.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Subscript &amp; Superscript</w:t>
      </w:r>
      <w:r>
        <w:t xml:space="preserve">: Chemical notation &lt;span style="font-family: 'Cambria Math', 'Latin Modern Math', 'Times New Roman', serif; font-size: 11pt; font-style: italic; color: #0F172A; padding: 0 2pt;"&gt;H_2O&lt;/span&gt; is written as H&lt;sub style="font-size: 75%; line-height: 0; vertical-align: sub;"&gt;2&lt;/sub&gt;O, while exponential scaling is &lt;span style="font-family: 'Cambria Math', 'Latin Modern Math', 'Times New Roman', serif; font-size: 11pt; font-style: italic; color: #0F172A; padding: 0 2pt;"&gt;2^{32}&lt;/span&gt; written as 2&lt;sup style="font-size: 75%; line-height: 0; vertical-align: super;"&gt;32&lt;/sup&gt;.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Editorial Insertions</w:t>
      </w:r>
      <w:r>
        <w:t xml:space="preserve">: Deprecated APIs were replaced with &lt;ins style="text-decoration: underline; background-color: #DCFCE7; padding: 1pt 2pt;"&gt;modern REST endpoints&lt;/ins&gt;.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Keyboard Shortcuts</w:t>
      </w:r>
      <w:r>
        <w:t xml:space="preserve">: Press &lt;kbd style="display: inline-block; padding: 1.5pt 5pt; font-size: 8.5pt; font-family: monospace; line-height: 1.2; color: #1E293B; background-color: #F1F5F9; border: 1pt solid #CBD5E1; border-radius: 3pt; box-shadow: 0 1pt 0 #94A3B8;"&gt;Ctrl&lt;/kbd&gt; + &lt;kbd style="display: inline-block; padding: 1.5pt 5pt; font-size: 8.5pt; font-family: monospace; line-height: 1.2; color: #1E293B; background-color: #F1F5F9; border: 1pt solid #CBD5E1; border-radius: 3pt; box-shadow: 0 1pt 0 #94A3B8;"&gt;Shift&lt;/kbd&gt; + &lt;kbd style="display: inline-block; padding: 1.5pt 5pt; font-size: 8.5pt; font-family: monospace; line-height: 1.2; color: #1E293B; background-color: #F1F5F9; border: 1pt solid #CBD5E1; border-radius: 3pt; box-shadow: 0 1pt 0 #94A3B8;"&gt;P&lt;/kbd&gt; to open the Command Palette.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System Benchmark &amp; Latency Analysis</w:t>
      </w:r>
    </w:p>
    <w:p>
      <w:pPr>
        <w:spacing w:after="140"/>
      </w:pPr>
      <w:r>
        <w:t xml:space="preserve">The following table summarizes response times and throughput under peak load: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Service Component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Environment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P95 Latency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P99 Latency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Availability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Authentication Gateway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Global Edge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14ms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28ms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99.99%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**Active**</w:t>
            </w:r>
          </w:p>
        </w:tc>
      </w:tr>
      <w:tr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Data Processing Engine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US-Central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42ms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68ms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99.95%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**Active**</w:t>
            </w:r>
          </w:p>
        </w:tc>
      </w:tr>
      <w:tr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Document Sync Worker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Multi-Region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85ms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120ms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99.98%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**Active**</w:t>
            </w:r>
          </w:p>
        </w:tc>
      </w:tr>
      <w:tr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Backup Storage Vault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Cold Storage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240ms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410ms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99.99%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**Standby**</w:t>
            </w:r>
          </w:p>
        </w:tc>
      </w:tr>
    </w:tbl>
    <w:p>
      <w:pPr>
        <w:spacing w:before="120" w:after="120"/>
      </w:pPr>
      <w:r>
        <w:rPr>
          <w:i/>
          <w:iCs/>
          <w:color w:val="64748B"/>
        </w:rPr>
        <w:t xml:space="preserve">[[CALLOUT:important:]]</w:t>
      </w:r>
    </w:p>
    <w:p>
      <w:pPr>
        <w:spacing w:before="120" w:after="120"/>
      </w:pPr>
      <w:r>
        <w:rPr>
          <w:i/>
          <w:iCs/>
          <w:color w:val="64748B"/>
        </w:rPr>
        <w:t xml:space="preserve">Ensure all database migration scripts are executed in staging before triggering production deployment.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Implementation Code</w:t>
      </w:r>
    </w:p>
    <w:p>
      <w:pPr>
        <w:spacing w:after="140"/>
      </w:pPr>
      <w:r>
        <w:t xml:space="preserve">Below is the core implementation for multipart file streaming to the Google Drive API: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8FA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import { GoogleDriveClient, DriveUploadResult } from './google/googleDriveClient';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async function syncMarkdownDocument(title: string, htmlContent: string, token: string): Promise&lt;DriveUploadResult&gt; {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// Direct conversion to native Google Doc format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const result = await GoogleDriveClient.uploadToGoogleDocs({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title,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htmlContent,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accessToken: token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});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console.log(`Document created successfully at: ${result.editUrl}`);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return result;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}</w:t>
            </w:r>
          </w:p>
        </w:tc>
      </w:tr>
    </w:tbl>
    <w:p>
      <w:pPr>
        <w:spacing w:after="140"/>
      </w:pPr>
      <w:r>
        <w:t xml:space="preserve">And in Python for automated report generation: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8FA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import requests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def upload_gdoc(title: str, html_payload: str, token: str) -&gt; str: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"""Uploads styled HTML directly to Google Drive as a native Google Doc."""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headers = {"Authorization": f"Bearer {token}"}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files = {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    'data': ('metadata', '{"name": "' + title + '", "mimeType": "application/vnd.google-apps.document"}', 'application/json'),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    'file': ('content.html', html_payload, 'text/html')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}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response = requests.post("https://www.googleapis.com/upload/drive/v3/files?uploadType=multipart", headers=headers, files=files)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return response.json().get("id")</w:t>
            </w:r>
          </w:p>
        </w:tc>
      </w:tr>
    </w:tbl>
    <w:p>
      <w:pPr>
        <w:spacing w:after="140"/>
      </w:pPr>
      <w:r>
        <w:t xml:space="preserve">Inline code elements like </w:t>
      </w:r>
      <w:r>
        <w:rPr>
          <w:color w:val="2563EB"/>
          <w:sz w:val="20"/>
          <w:szCs w:val="20"/>
          <w:rFonts w:ascii="Consolas" w:cs="Consolas" w:eastAsia="Consolas" w:hAnsi="Consolas"/>
        </w:rPr>
        <w:t xml:space="preserve">const token = await auth.getToken();</w:t>
      </w:r>
      <w:r>
        <w:t xml:space="preserve"> and </w:t>
      </w:r>
      <w:r>
        <w:rPr>
          <w:color w:val="2563EB"/>
          <w:sz w:val="20"/>
          <w:szCs w:val="20"/>
          <w:rFonts w:ascii="Consolas" w:cs="Consolas" w:eastAsia="Consolas" w:hAnsi="Consolas"/>
        </w:rPr>
        <w:t xml:space="preserve">google.drive.v3</w:t>
      </w:r>
      <w:r>
        <w:t xml:space="preserve"> are formatted with crisp borders and tinted backgrounds.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Mathematical Calculations</w:t>
      </w:r>
    </w:p>
    <w:p>
      <w:pPr>
        <w:spacing w:after="140"/>
      </w:pPr>
      <w:r>
        <w:t xml:space="preserve">Mass-energy equivalence is computed via &lt;span style="font-family: 'Cambria Math', 'Latin Modern Math', 'Times New Roman', serif; font-size: 11pt; font-style: italic; color: #0F172A; padding: 0 2pt;"&gt;E = mc^2&lt;/span&gt;, and the standard quadratic optimization function is expressed as:</w:t>
      </w:r>
    </w:p>
    <w:p>
      <w:pPr>
        <w:spacing w:after="140"/>
      </w:pPr>
      <w:r>
        <w:t xml:space="preserve">&lt;div style="margin: 14pt 0; padding: 12pt; background-color: #F8FAFC; border: 1px solid #E2E8F0; border-radius: 6px; text-align: center; font-family: 'Cambria Math', 'Latin Modern Math', 'Times New Roman', serif; font-size: 13pt; color: #0F172A;"&gt;&lt;em&gt;x = \frac{-b \pm \sqrt{b^2 - 4ac}}{2a}&lt;/em&gt;&lt;/div&gt;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Action Checklist</w:t>
      </w:r>
    </w:p>
    <w:p>
      <w:pPr>
        <w:spacing w:after="140"/>
      </w:pPr>
      <w:r>
        <w:t xml:space="preserve">- ☑ ~~Complete Markdown Parser AST with inline style translation~~</w:t>
      </w:r>
    </w:p>
    <w:p>
      <w:pPr>
        <w:spacing w:after="140"/>
      </w:pPr>
      <w:r>
        <w:t xml:space="preserve">- ☑ ~~Implement 5 Curated Professional Themes (Modern Slate, Executive Navy, Emerald, Crimson, Tech Violet)~~</w:t>
      </w:r>
    </w:p>
    <w:p>
      <w:pPr>
        <w:spacing w:after="140"/>
      </w:pPr>
      <w:r>
        <w:t xml:space="preserve">- ☑ ~~Build Google Drive API multipart upload with native </w:t>
      </w:r>
      <w:r>
        <w:rPr>
          <w:color w:val="2563EB"/>
          <w:sz w:val="20"/>
          <w:szCs w:val="20"/>
          <w:rFonts w:ascii="Consolas" w:cs="Consolas" w:eastAsia="Consolas" w:hAnsi="Consolas"/>
        </w:rPr>
        <w:t xml:space="preserve">vnd.google-apps.document</w:t>
      </w:r>
      <w:r>
        <w:t xml:space="preserve"> conversion~~</w:t>
      </w:r>
    </w:p>
    <w:p>
      <w:pPr>
        <w:spacing w:after="140"/>
      </w:pPr>
      <w:r>
        <w:t xml:space="preserve">- ☑ ~~Support 1-Click zero-config Rich Clipboard copy (&lt;kbd style="display: inline-block; padding: 1.5pt 5pt; font-size: 8.5pt; font-family: monospace; line-height: 1.2; color: #1E293B; background-color: #F1F5F9; border: 1pt solid #CBD5E1; border-radius: 3pt; box-shadow: 0 1pt 0 #94A3B8;"&gt;Ctrl&lt;/kbd&gt; + &lt;kbd style="display: inline-block; padding: 1.5pt 5pt; font-size: 8.5pt; font-family: monospace; line-height: 1.2; color: #1E293B; background-color: #F1F5F9; border: 1pt solid #CBD5E1; border-radius: 3pt; box-shadow: 0 1pt 0 #94A3B8;"&gt;V&lt;/kbd&gt; into Google Docs)~~</w:t>
      </w:r>
    </w:p>
    <w:p>
      <w:pPr>
        <w:spacing w:after="140"/>
      </w:pPr>
      <w:r>
        <w:t xml:space="preserve">- ☑ ~~Build Live Side-by-Side Google Docs Preview Webview with smooth anchor jumping~~</w:t>
      </w:r>
    </w:p>
    <w:p>
      <w:pPr>
        <w:spacing w:after="140"/>
      </w:pPr>
      <w:r>
        <w:t xml:space="preserve">- ☑ ~~Provide local HTML and DOCX export capabilities~~</w:t>
      </w:r>
    </w:p>
    <w:p>
      <w:pPr>
        <w:spacing w:after="140"/>
      </w:pPr>
      <w:r>
        <w:t xml:space="preserve">- ☑ ~~Implement native </w:t>
      </w:r>
      <w:r>
        <w:rPr>
          <w:color w:val="2563EB"/>
          <w:sz w:val="20"/>
          <w:szCs w:val="20"/>
          <w:rFonts w:ascii="Consolas" w:cs="Consolas" w:eastAsia="Consolas" w:hAnsi="Consolas"/>
        </w:rPr>
        <w:t xml:space="preserve">&lt;a name="..."&gt;</w:t>
      </w:r>
      <w:r>
        <w:t xml:space="preserve"> bookmarks for Table of Contents &amp; Cross-References~~</w:t>
      </w:r>
    </w:p>
    <w:p>
      <w:pPr>
        <w:spacing w:after="140"/>
      </w:pPr>
      <w:r>
        <w:t xml:space="preserve">- ☑ ~~Support manual </w:t>
      </w:r>
      <w:r>
        <w:rPr>
          <w:color w:val="2563EB"/>
          <w:sz w:val="20"/>
          <w:szCs w:val="20"/>
          <w:rFonts w:ascii="Consolas" w:cs="Consolas" w:eastAsia="Consolas" w:hAnsi="Consolas"/>
        </w:rPr>
        <w:t xml:space="preserve">[TOC]</w:t>
      </w:r>
      <w:r>
        <w:t xml:space="preserve"> placement and configurable </w:t>
      </w:r>
      <w:r>
        <w:rPr>
          <w:color w:val="2563EB"/>
          <w:sz w:val="20"/>
          <w:szCs w:val="20"/>
          <w:rFonts w:ascii="Consolas" w:cs="Consolas" w:eastAsia="Consolas" w:hAnsi="Consolas"/>
        </w:rPr>
        <w:t xml:space="preserve">toc_depth</w:t>
      </w:r>
      <w:r>
        <w:t xml:space="preserve">~~</w:t>
      </w:r>
    </w:p>
    <w:p>
      <w:pPr>
        <w:spacing w:after="140"/>
      </w:pPr>
      <w:r>
        <w:t xml:space="preserve">- ☑ ~~Support Footnotes citations with bidirectional links~~</w:t>
      </w:r>
    </w:p>
    <w:p>
      <w:pPr>
        <w:spacing w:after="140"/>
      </w:pPr>
      <w:r>
        <w:t xml:space="preserve">- ☑ ~~Extended callout admonitions (12 types)~~</w:t>
      </w:r>
    </w:p>
    <w:p>
      <w:pPr>
        <w:spacing w:after="140"/>
      </w:pPr>
      <w:r>
        <w:t xml:space="preserve">- ☐ Conduct final user walkthrough</w:t>
      </w:r>
    </w:p>
    <w:p>
      <w:pPr>
        <w:spacing w:after="140"/>
      </w:pPr>
      <w:r>
        <w:t xml:space="preserve">---</w:t>
      </w:r>
    </w:p>
    <w:p>
      <w:pPr>
        <w:spacing w:after="140"/>
      </w:pPr>
      <w:r>
        <w:t xml:space="preserve">[Back to Top](#top)</w:t>
      </w:r>
    </w:p>
    <w:p>
      <w:pPr>
        <w:spacing w:after="140"/>
      </w:pPr>
      <w:r>
        <w:t xml:space="preserve">---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E293B"/>
        <w:sz w:val="22"/>
        <w:szCs w:val="22"/>
        <w:rFonts w:ascii="Calibri" w:cs="Calibri" w:eastAsia="Calibri" w:hAnsi="Calibri"/>
      </w:rPr>
    </w:rPrDefault>
    <w:pPrDefault>
      <w:pPr>
        <w:spacing w:line="32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80"/>
    </w:pPr>
    <w:rPr>
      <w:b/>
      <w:bCs/>
      <w:color w:val="0F172A"/>
      <w:sz w:val="36"/>
      <w:szCs w:val="36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280" w:after="140"/>
    </w:pPr>
    <w:rPr>
      <w:b/>
      <w:bCs/>
      <w:color w:val="0F172A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00" w:after="100"/>
    </w:pPr>
    <w:rPr>
      <w:b/>
      <w:bCs/>
      <w:color w:val="2563EB"/>
      <w:sz w:val="24"/>
      <w:szCs w:val="24"/>
      <w:rFonts w:ascii="Calibri" w:cs="Calibri" w:eastAsia="Calibri" w:hAnsi="Calibri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2026-09-03T09:59:35.247Z</dcterms:created>
  <dcterms:modified xsi:type="dcterms:W3CDTF">2026-09-03T09:59:35.248Z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