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</w:pPr>
      <w:r>
        <w:rPr>
          <w:b/>
          <w:bCs/>
          <w:color w:val="0F172A"/>
          <w:sz w:val="52"/>
          <w:szCs w:val="52"/>
        </w:rPr>
        <w:t xml:space="preserve">Quarterly Engineering &amp; Architecture Strategy</w:t>
      </w:r>
    </w:p>
    <w:p>
      <w:pPr>
        <w:spacing w:after="200"/>
      </w:pPr>
      <w:r>
        <w:rPr>
          <w:color w:val="64748B"/>
          <w:sz w:val="24"/>
          <w:szCs w:val="24"/>
        </w:rPr>
        <w:t xml:space="preserve">High-Performance Cloud Infrastructure, Developer Productivity &amp; Documentation Standard</w:t>
      </w:r>
    </w:p>
    <w:p>
      <w:pPr>
        <w:spacing w:after="360"/>
      </w:pPr>
      <w:r>
        <w:rPr>
          <w:color w:val="64748B"/>
          <w:sz w:val="19"/>
          <w:szCs w:val="19"/>
        </w:rPr>
        <w:t xml:space="preserve">Author: Jehadur RE  |  Date: 2026-09-03  |  Version: v2.5  |  Status: APPROVED  |  Reading Time: ~4 min (704 words)</w:t>
      </w:r>
    </w:p>
    <w:p>
      <w:pPr>
        <w:pStyle w:val="Heading1"/>
      </w:pPr>
      <w:r>
        <w:t xml:space="preserve">Executive Summary</w:t>
      </w:r>
    </w:p>
    <w:p>
      <w:pPr>
        <w:spacing w:after="140"/>
      </w:pPr>
      <w:r>
        <w:t xml:space="preserve">This strategic document outlines our engineering roadmap, cloud architecture milestones, and developer productivity enhancements&lt;sup&gt;&lt;a href="#fn-1" name="fnref-1" style="color: #2563EB; font-weight: 700; text-decoration: none; padding: 0 1pt;"&gt;[1]&lt;/a&gt;&lt;/sup&gt;. Designed to be converted directly into an executive </w:t>
      </w:r>
      <w:r>
        <w:rPr>
          <w:b/>
          <w:bCs/>
        </w:rPr>
        <w:t xml:space="preserve">Google Docs</w:t>
      </w:r>
      <w:r>
        <w:t xml:space="preserve"> report, preserving typographic harmony, table formatting, callouts, and syntax highlighting.</w:t>
      </w:r>
    </w:p>
    <w:p>
      <w:pPr>
        <w:spacing w:before="120" w:after="120"/>
      </w:pPr>
      <w:r>
        <w:rPr>
          <w:i/>
          <w:iCs/>
          <w:color w:val="64748B"/>
        </w:rPr>
        <w:t xml:space="preserve">[[CALLOUT:note:]]</w:t>
      </w:r>
    </w:p>
    <w:p>
      <w:pPr>
        <w:spacing w:before="120" w:after="120"/>
      </w:pPr>
      <w:r>
        <w:rPr>
          <w:i/>
          <w:iCs/>
          <w:color w:val="64748B"/>
        </w:rPr>
        <w:t xml:space="preserve">All specifications in this document adhere strictly to the highest industrial enterprise standards&lt;sup&gt;&lt;a href="#fn-arch-study" name="fnref-arch-study" style="color: #2563EB; font-weight: 700; text-decoration: none; padding: 0 1pt;"&gt;[arch-study]&lt;/a&gt;&lt;/sup&gt;.</w:t>
      </w:r>
    </w:p>
    <w:p>
      <w:pPr>
        <w:spacing w:after="140"/>
      </w:pPr>
      <w:r>
        <w:t xml:space="preserve">---</w:t>
      </w:r>
    </w:p>
    <w:p>
      <w:pPr>
        <w:pStyle w:val="Heading1"/>
      </w:pPr>
      <w:r>
        <w:t xml:space="preserve">Table of Contents</w:t>
      </w:r>
    </w:p>
    <w:p>
      <w:pPr>
        <w:spacing w:after="140"/>
      </w:pPr>
      <w:r>
        <w:t xml:space="preserve">&lt;!-- DOCUMENT_TOC_PLACEHOLDER --&gt;</w:t>
      </w:r>
    </w:p>
    <w:p>
      <w:pPr>
        <w:spacing w:after="140"/>
      </w:pPr>
      <w:r>
        <w:t xml:space="preserve">---</w:t>
      </w:r>
    </w:p>
    <w:p>
      <w:r>
        <w:br w:type="page"/>
      </w:r>
    </w:p>
    <w:p>
      <w:pPr>
        <w:pStyle w:val="Heading1"/>
      </w:pPr>
      <w:r>
        <w:t xml:space="preserve">Architecture Pillars</w:t>
      </w:r>
    </w:p>
    <w:p>
      <w:pPr>
        <w:spacing w:after="140"/>
      </w:pPr>
      <w:r>
        <w:t xml:space="preserve">&lt;table style="width: 100%; border-collapse: collapse; margin: 16pt 0; background-color: #F8FAFC; border: 1.5pt solid #CBD5E1; border-radius: 8pt;"&gt;</w:t>
      </w:r>
    </w:p>
    <w:p>
      <w:pPr>
        <w:spacing w:after="140"/>
      </w:pPr>
      <w:r>
        <w:t xml:space="preserve">  &lt;tr&gt;</w:t>
      </w:r>
    </w:p>
    <w:p>
      <w:pPr>
        <w:spacing w:after="140"/>
      </w:pPr>
      <w:r>
        <w:t xml:space="preserve">    &lt;td style="padding: 8pt 14pt; background-color: #F1F5F9; border-bottom: 1pt solid #E2E8F0; font-family: Inter, Roboto, -apple-system, BlinkMacSystemFont, 'Segoe UI', Arial, sans-serif; font-size: 9pt; font-weight: 700; color: #0F172A;"&gt;</w:t>
      </w:r>
    </w:p>
    <w:p>
      <w:pPr>
        <w:spacing w:after="140"/>
      </w:pPr>
      <w:r>
        <w:t xml:space="preserve">      📊 DIAGRAM: GRAPH TD</w:t>
      </w:r>
    </w:p>
    <w:p>
      <w:pPr>
        <w:spacing w:after="140"/>
      </w:pPr>
      <w:r>
        <w:t xml:space="preserve">    &lt;/td&gt;</w:t>
      </w:r>
    </w:p>
    <w:p>
      <w:pPr>
        <w:spacing w:after="140"/>
      </w:pPr>
      <w:r>
        <w:t xml:space="preserve">  &lt;/tr&gt;</w:t>
      </w:r>
    </w:p>
    <w:p>
      <w:pPr>
        <w:spacing w:after="140"/>
      </w:pPr>
      <w:r>
        <w:t xml:space="preserve">  &lt;tr&gt;</w:t>
      </w:r>
    </w:p>
    <w:p>
      <w:pPr>
        <w:spacing w:after="140"/>
      </w:pPr>
      <w:r>
        <w:t xml:space="preserve">    &lt;td style="padding: 14pt 18pt; font-family: 'JetBrains Mono', Consolas, monospace; font-size: 9.5pt; line-height: 1.6; color: #1E293B; background-color: #FFFFFF;"&gt;</w:t>
      </w:r>
    </w:p>
    <w:p>
      <w:pPr>
        <w:spacing w:after="140"/>
      </w:pPr>
      <w:r>
        <w:t xml:space="preserve">      &lt;pre style="margin: 0; padding: 0; white-space: pre-wrap; font-family: inherit; font-size: inherit; color: inherit;"&gt;graph TD</w:t>
      </w:r>
    </w:p>
    <w:p>
      <w:pPr>
        <w:spacing w:after="140"/>
      </w:pPr>
      <w:r>
        <w:t xml:space="preserve">  Markdown[Source Markdown] --&amp;gt; AST[Engine Parser AST]</w:t>
      </w:r>
    </w:p>
    <w:p>
      <w:pPr>
        <w:spacing w:after="140"/>
      </w:pPr>
      <w:r>
        <w:t xml:space="preserve">  AST --&amp;gt; GDocs[Google Docs Clipboard]</w:t>
      </w:r>
    </w:p>
    <w:p>
      <w:pPr>
        <w:spacing w:after="140"/>
      </w:pPr>
      <w:r>
        <w:t xml:space="preserve">  AST --&amp;gt; PDF[Print-Quality PDF]</w:t>
      </w:r>
    </w:p>
    <w:p>
      <w:pPr>
        <w:spacing w:after="140"/>
      </w:pPr>
      <w:r>
        <w:t xml:space="preserve">  AST --&amp;gt; DOCX[Executive DOCX]&lt;/pre&gt;</w:t>
      </w:r>
    </w:p>
    <w:p>
      <w:pPr>
        <w:spacing w:after="140"/>
      </w:pPr>
      <w:r>
        <w:t xml:space="preserve">    &lt;/td&gt;</w:t>
      </w:r>
    </w:p>
    <w:p>
      <w:pPr>
        <w:spacing w:after="140"/>
      </w:pPr>
      <w:r>
        <w:t xml:space="preserve">  &lt;/tr&gt;</w:t>
      </w:r>
    </w:p>
    <w:p>
      <w:pPr>
        <w:spacing w:after="140"/>
      </w:pPr>
      <w:r>
        <w:t xml:space="preserve">&lt;/table&gt;</w:t>
      </w:r>
    </w:p>
    <w:p>
      <w:pPr>
        <w:spacing w:after="140"/>
      </w:pPr>
      <w:r>
        <w:t xml:space="preserve">The modern cloud stack is structured around four primary pillars:</w:t>
      </w:r>
    </w:p>
    <w:p>
      <w:pPr>
        <w:spacing w:after="140"/>
      </w:pPr>
      <w:r>
        <w:t xml:space="preserve">1. </w:t>
      </w:r>
      <w:r>
        <w:rPr>
          <w:b/>
          <w:bCs/>
        </w:rPr>
        <w:t xml:space="preserve">Deterministic Builds</w:t>
      </w:r>
      <w:r>
        <w:t xml:space="preserve">: Completely reproducible artifacts across local and CI/CD environments.</w:t>
      </w:r>
    </w:p>
    <w:p>
      <w:pPr>
        <w:spacing w:after="140"/>
      </w:pPr>
      <w:r>
        <w:t xml:space="preserve">2. </w:t>
      </w:r>
      <w:r>
        <w:rPr>
          <w:b/>
          <w:bCs/>
        </w:rPr>
        <w:t xml:space="preserve">Sub-second Response Times</w:t>
      </w:r>
      <w:r>
        <w:t xml:space="preserve">: Global edge caching and optimal database query indexing.</w:t>
      </w:r>
    </w:p>
    <w:p>
      <w:pPr>
        <w:spacing w:after="140"/>
      </w:pPr>
      <w:r>
        <w:t xml:space="preserve">3. </w:t>
      </w:r>
      <w:r>
        <w:rPr>
          <w:b/>
          <w:bCs/>
        </w:rPr>
        <w:t xml:space="preserve">Automated Documentation</w:t>
      </w:r>
      <w:r>
        <w:t xml:space="preserve">: Converting Markdown specifications directly to styled Google Docs.</w:t>
      </w:r>
    </w:p>
    <w:p>
      <w:pPr>
        <w:spacing w:after="140"/>
      </w:pPr>
      <w:r>
        <w:t xml:space="preserve">4. </w:t>
      </w:r>
      <w:r>
        <w:rPr>
          <w:b/>
          <w:bCs/>
        </w:rPr>
        <w:t xml:space="preserve">Resilient Security Posture</w:t>
      </w:r>
      <w:r>
        <w:t xml:space="preserve">: OAuth 2.0 PKCE authentication with encrypted OS-level token caching.</w:t>
      </w:r>
    </w:p>
    <w:p>
      <w:pPr>
        <w:pStyle w:val="Heading3"/>
      </w:pPr>
      <w:r>
        <w:t xml:space="preserve">Key Technical Definitions</w:t>
      </w:r>
    </w:p>
    <w:p>
      <w:pPr>
        <w:spacing w:after="140"/>
      </w:pPr>
      <w:r>
        <w:t xml:space="preserve">&lt;dl style="margin: 8pt 0;"&gt;&lt;dt style="font-weight: 700; color: #0F172A; font-family: Inter, Roboto, -apple-system, BlinkMacSystemFont, 'Segoe UI', Arial, sans-serif; margin-bottom: 2pt;"&gt;AST Engine&lt;/dt&gt;&lt;dd style="margin-left: 20pt; margin-bottom: 8pt; color: #1E293B; font-family: Inter, Roboto, -apple-system, BlinkMacSystemFont, 'Segoe UI', Arial, sans-serif;"&gt;Abstract Syntax Tree translating Markdown tokens into inline CSS styles.&lt;/dd&gt;&lt;/dl&gt;</w:t>
      </w:r>
    </w:p>
    <w:p>
      <w:pPr>
        <w:spacing w:after="140"/>
      </w:pPr>
      <w:r>
        <w:t xml:space="preserve">&lt;dl style="margin: 8pt 0;"&gt;&lt;dt style="font-weight: 700; color: #0F172A; font-family: Inter, Roboto, -apple-system, BlinkMacSystemFont, 'Segoe UI', Arial, sans-serif; margin-bottom: 2pt;"&gt;Native Bookmarks&lt;/dt&gt;&lt;dd style="margin-left: 20pt; margin-bottom: 8pt; color: #1E293B; font-family: Inter, Roboto, -apple-system, BlinkMacSystemFont, 'Segoe UI', Arial, sans-serif;"&gt;Google Docs named anchors enabling bidirectional Table of Contents jumping.&lt;/dd&gt;&lt;/dl&gt;</w:t>
      </w:r>
    </w:p>
    <w:p>
      <w:pPr>
        <w:spacing w:before="120" w:after="120"/>
      </w:pPr>
      <w:r>
        <w:rPr>
          <w:i/>
          <w:iCs/>
          <w:color w:val="64748B"/>
        </w:rPr>
        <w:t xml:space="preserve">[[CALLOUT:tip:Pro Tip]]</w:t>
      </w:r>
    </w:p>
    <w:p>
      <w:pPr>
        <w:spacing w:before="120" w:after="120"/>
      </w:pPr>
      <w:r>
        <w:rPr>
          <w:i/>
          <w:iCs/>
          <w:color w:val="64748B"/>
        </w:rPr>
        <w:t xml:space="preserve">Use the **"Copy for Google Docs"** command (`Ctrl+Shift+P` -&gt; `Copy for Google Docs`), then press &lt;kbd style="display: inline-block; padding: 1.5pt 5pt; font-size: 8.5pt; font-family: monospace; line-height: 1.2; color: #1E293B; background-color: #F1F5F9; border: 1pt solid #CBD5E1; border-radius: 3pt; box-shadow: 0 1pt 0 #94A3B8;"&gt;Ctrl&lt;/kbd&gt; + &lt;kbd style="display: inline-block; padding: 1.5pt 5pt; font-size: 8.5pt; font-family: monospace; line-height: 1.2; color: #1E293B; background-color: #F1F5F9; border: 1pt solid #CBD5E1; border-radius: 3pt; box-shadow: 0 1pt 0 #94A3B8;"&gt;V&lt;/kbd&gt; inside any Google Doc for 100% style fidelity!</w:t>
      </w:r>
    </w:p>
    <w:p>
      <w:pPr>
        <w:spacing w:after="140"/>
      </w:pPr>
      <w:r>
        <w:t xml:space="preserve">---</w:t>
      </w:r>
    </w:p>
    <w:p>
      <w:pPr>
        <w:pStyle w:val="Heading1"/>
      </w:pPr>
      <w:r>
        <w:t xml:space="preserve">Extended Alert Admonitions</w:t>
      </w:r>
    </w:p>
    <w:p>
      <w:pPr>
        <w:spacing w:after="140"/>
      </w:pPr>
      <w:r>
        <w:t xml:space="preserve">The converter natively formats 12 distinct callout alert types as Google Docs single-cell tables:</w:t>
      </w:r>
    </w:p>
    <w:p>
      <w:pPr>
        <w:spacing w:before="120" w:after="120"/>
      </w:pPr>
      <w:r>
        <w:rPr>
          <w:i/>
          <w:iCs/>
          <w:color w:val="64748B"/>
        </w:rPr>
        <w:t xml:space="preserve">[[CALLOUT:info:Information]]</w:t>
      </w:r>
    </w:p>
    <w:p>
      <w:pPr>
        <w:spacing w:before="120" w:after="120"/>
      </w:pPr>
      <w:r>
        <w:rPr>
          <w:i/>
          <w:iCs/>
          <w:color w:val="64748B"/>
        </w:rPr>
        <w:t xml:space="preserve">Real-time streaming metrics are collected and aggregated via Google Cloud Pub/Sub.</w:t>
      </w:r>
    </w:p>
    <w:p>
      <w:pPr>
        <w:spacing w:before="120" w:after="120"/>
      </w:pPr>
      <w:r>
        <w:rPr>
          <w:i/>
          <w:iCs/>
          <w:color w:val="64748B"/>
        </w:rPr>
        <w:t xml:space="preserve">[[CALLOUT:success:Verification Complete]]</w:t>
      </w:r>
    </w:p>
    <w:p>
      <w:pPr>
        <w:spacing w:before="120" w:after="120"/>
      </w:pPr>
      <w:r>
        <w:rPr>
          <w:i/>
          <w:iCs/>
          <w:color w:val="64748B"/>
        </w:rPr>
        <w:t xml:space="preserve">Automated test suite passed with 18 of 18 checks verified.</w:t>
      </w:r>
    </w:p>
    <w:p>
      <w:pPr>
        <w:spacing w:before="120" w:after="120"/>
      </w:pPr>
      <w:r>
        <w:rPr>
          <w:i/>
          <w:iCs/>
          <w:color w:val="64748B"/>
        </w:rPr>
        <w:t xml:space="preserve">[[CALLOUT:question:Need Guidance?]]</w:t>
      </w:r>
    </w:p>
    <w:p>
      <w:pPr>
        <w:spacing w:before="120" w:after="120"/>
      </w:pPr>
      <w:r>
        <w:rPr>
          <w:i/>
          <w:iCs/>
          <w:color w:val="64748B"/>
        </w:rPr>
        <w:t xml:space="preserve">Refer to the internal Developer Portal FAQ or reach out to `#platform-engineering`.</w:t>
      </w:r>
    </w:p>
    <w:p>
      <w:pPr>
        <w:spacing w:before="120" w:after="120"/>
      </w:pPr>
      <w:r>
        <w:rPr>
          <w:i/>
          <w:iCs/>
          <w:color w:val="64748B"/>
        </w:rPr>
        <w:t xml:space="preserve">[[CALLOUT:todo:Action Item]]</w:t>
      </w:r>
    </w:p>
    <w:p>
      <w:pPr>
        <w:spacing w:before="120" w:after="120"/>
      </w:pPr>
      <w:r>
        <w:rPr>
          <w:i/>
          <w:iCs/>
          <w:color w:val="64748B"/>
        </w:rPr>
        <w:t xml:space="preserve">Complete load testing on secondary staging cluster before Friday.</w:t>
      </w:r>
    </w:p>
    <w:p>
      <w:pPr>
        <w:spacing w:before="120" w:after="120"/>
      </w:pPr>
      <w:r>
        <w:rPr>
          <w:i/>
          <w:iCs/>
          <w:color w:val="64748B"/>
        </w:rPr>
        <w:t xml:space="preserve">[[CALLOUT:example:Usage Example]]</w:t>
      </w:r>
    </w:p>
    <w:p>
      <w:pPr>
        <w:spacing w:before="120" w:after="120"/>
      </w:pPr>
      <w:r>
        <w:rPr>
          <w:i/>
          <w:iCs/>
          <w:color w:val="64748B"/>
        </w:rPr>
        <w:t xml:space="preserve">Example command line execution: `npm test` runs all unit tests.</w:t>
      </w:r>
    </w:p>
    <w:p>
      <w:pPr>
        <w:spacing w:before="120" w:after="120"/>
      </w:pPr>
      <w:r>
        <w:rPr>
          <w:i/>
          <w:iCs/>
          <w:color w:val="64748B"/>
        </w:rPr>
        <w:t xml:space="preserve">[[CALLOUT:warning:Token Expiration]]</w:t>
      </w:r>
    </w:p>
    <w:p>
      <w:pPr>
        <w:spacing w:before="120" w:after="120"/>
      </w:pPr>
      <w:r>
        <w:rPr>
          <w:i/>
          <w:iCs/>
          <w:color w:val="64748B"/>
        </w:rPr>
        <w:t xml:space="preserve">Expired tokens must be refreshed automatically before executing batch upload operations.</w:t>
      </w:r>
    </w:p>
    <w:p>
      <w:pPr>
        <w:spacing w:before="120" w:after="120"/>
      </w:pPr>
      <w:r>
        <w:rPr>
          <w:i/>
          <w:iCs/>
          <w:color w:val="64748B"/>
        </w:rPr>
        <w:t xml:space="preserve">[[CALLOUT:danger:Critical Failure Safeguard]]</w:t>
      </w:r>
    </w:p>
    <w:p>
      <w:pPr>
        <w:spacing w:before="120" w:after="120"/>
      </w:pPr>
      <w:r>
        <w:rPr>
          <w:i/>
          <w:iCs/>
          <w:color w:val="64748B"/>
        </w:rPr>
        <w:t xml:space="preserve">Automatic circuit breakers will trip if downstream failure exceeds 5% within a 60-second window.</w:t>
      </w:r>
    </w:p>
    <w:p>
      <w:pPr>
        <w:spacing w:after="140"/>
      </w:pPr>
      <w:r>
        <w:t xml:space="preserve">---</w:t>
      </w:r>
    </w:p>
    <w:p>
      <w:pPr>
        <w:pStyle w:val="Heading1"/>
      </w:pPr>
      <w:r>
        <w:t xml:space="preserve">Advanced Typography &amp; Formatting</w:t>
      </w:r>
    </w:p>
    <w:p>
      <w:pPr>
        <w:spacing w:after="140"/>
      </w:pPr>
      <w:r>
        <w:t xml:space="preserve">- </w:t>
      </w:r>
      <w:r>
        <w:rPr>
          <w:b/>
          <w:bCs/>
        </w:rPr>
        <w:t xml:space="preserve">Inline Text Highlighting</w:t>
      </w:r>
      <w:r>
        <w:t xml:space="preserve">: Critical security alerts require &lt;mark style="background-color: #FEF08A; color: #713F12; padding: 1.5pt 4pt; border-radius: 2pt;"&gt;immediate operator attention&lt;/mark&gt;.</w:t>
      </w:r>
    </w:p>
    <w:p>
      <w:pPr>
        <w:spacing w:after="140"/>
      </w:pPr>
      <w:r>
        <w:t xml:space="preserve">- </w:t>
      </w:r>
      <w:r>
        <w:rPr>
          <w:b/>
          <w:bCs/>
        </w:rPr>
        <w:t xml:space="preserve">Subscript &amp; Superscript</w:t>
      </w:r>
      <w:r>
        <w:t xml:space="preserve">: Chemical notation &lt;span style="font-family: 'Cambria Math', 'Latin Modern Math', 'Times New Roman', serif; font-size: 11pt; font-style: italic; color: #0F172A; padding: 0 2pt;"&gt;H_2O&lt;/span&gt; is written as H&lt;sub style="font-size: 75%; line-height: 0; vertical-align: sub;"&gt;2&lt;/sub&gt;O, while exponential scaling is &lt;span style="font-family: 'Cambria Math', 'Latin Modern Math', 'Times New Roman', serif; font-size: 11pt; font-style: italic; color: #0F172A; padding: 0 2pt;"&gt;2^{32}&lt;/span&gt; written as 2&lt;sup style="font-size: 75%; line-height: 0; vertical-align: super;"&gt;32&lt;/sup&gt;.</w:t>
      </w:r>
    </w:p>
    <w:p>
      <w:pPr>
        <w:spacing w:after="140"/>
      </w:pPr>
      <w:r>
        <w:t xml:space="preserve">- </w:t>
      </w:r>
      <w:r>
        <w:rPr>
          <w:b/>
          <w:bCs/>
        </w:rPr>
        <w:t xml:space="preserve">Editorial Insertions</w:t>
      </w:r>
      <w:r>
        <w:t xml:space="preserve">: Deprecated APIs were replaced with &lt;ins style="text-decoration: underline; background-color: #DCFCE7; padding: 1pt 2pt;"&gt;modern REST endpoints&lt;/ins&gt;.</w:t>
      </w:r>
    </w:p>
    <w:p>
      <w:pPr>
        <w:spacing w:after="140"/>
      </w:pPr>
      <w:r>
        <w:t xml:space="preserve">- </w:t>
      </w:r>
      <w:r>
        <w:rPr>
          <w:b/>
          <w:bCs/>
        </w:rPr>
        <w:t xml:space="preserve">Keyboard Shortcuts</w:t>
      </w:r>
      <w:r>
        <w:t xml:space="preserve">: Press &lt;kbd style="display: inline-block; padding: 1.5pt 5pt; font-size: 8.5pt; font-family: monospace; line-height: 1.2; color: #1E293B; background-color: #F1F5F9; border: 1pt solid #CBD5E1; border-radius: 3pt; box-shadow: 0 1pt 0 #94A3B8;"&gt;Ctrl&lt;/kbd&gt; + &lt;kbd style="display: inline-block; padding: 1.5pt 5pt; font-size: 8.5pt; font-family: monospace; line-height: 1.2; color: #1E293B; background-color: #F1F5F9; border: 1pt solid #CBD5E1; border-radius: 3pt; box-shadow: 0 1pt 0 #94A3B8;"&gt;Shift&lt;/kbd&gt; + &lt;kbd style="display: inline-block; padding: 1.5pt 5pt; font-size: 8.5pt; font-family: monospace; line-height: 1.2; color: #1E293B; background-color: #F1F5F9; border: 1pt solid #CBD5E1; border-radius: 3pt; box-shadow: 0 1pt 0 #94A3B8;"&gt;P&lt;/kbd&gt; to open the Command Palette.</w:t>
      </w:r>
    </w:p>
    <w:p>
      <w:pPr>
        <w:spacing w:after="140"/>
      </w:pPr>
      <w:r>
        <w:t xml:space="preserve">---</w:t>
      </w:r>
    </w:p>
    <w:p>
      <w:pPr>
        <w:pStyle w:val="Heading1"/>
      </w:pPr>
      <w:r>
        <w:t xml:space="preserve">System Benchmark &amp; Latency Analysis</w:t>
      </w:r>
    </w:p>
    <w:p>
      <w:pPr>
        <w:spacing w:after="140"/>
      </w:pPr>
      <w:r>
        <w:t xml:space="preserve">The following table summarizes response times and throughput under peak load: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1E293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Service Component</w:t>
            </w:r>
          </w:p>
        </w:tc>
        <w:tc>
          <w:tcPr>
            <w:shd w:fill="1E293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Environment</w:t>
            </w:r>
          </w:p>
        </w:tc>
        <w:tc>
          <w:tcPr>
            <w:shd w:fill="1E293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P95 Latency</w:t>
            </w:r>
          </w:p>
        </w:tc>
        <w:tc>
          <w:tcPr>
            <w:shd w:fill="1E293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P99 Latency</w:t>
            </w:r>
          </w:p>
        </w:tc>
        <w:tc>
          <w:tcPr>
            <w:shd w:fill="1E293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Availability</w:t>
            </w:r>
          </w:p>
        </w:tc>
        <w:tc>
          <w:tcPr>
            <w:shd w:fill="1E293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Authentication Gateway</w:t>
            </w:r>
          </w:p>
        </w:tc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Global Edge</w:t>
            </w:r>
          </w:p>
        </w:tc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14ms</w:t>
            </w:r>
          </w:p>
        </w:tc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28ms</w:t>
            </w:r>
          </w:p>
        </w:tc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99.99%</w:t>
            </w:r>
          </w:p>
        </w:tc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**Active**</w:t>
            </w:r>
          </w:p>
        </w:tc>
      </w:tr>
      <w:tr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Data Processing Engine</w:t>
            </w:r>
          </w:p>
        </w:tc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US-Central</w:t>
            </w:r>
          </w:p>
        </w:tc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42ms</w:t>
            </w:r>
          </w:p>
        </w:tc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68ms</w:t>
            </w:r>
          </w:p>
        </w:tc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99.95%</w:t>
            </w:r>
          </w:p>
        </w:tc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**Active**</w:t>
            </w:r>
          </w:p>
        </w:tc>
      </w:tr>
      <w:tr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Document Sync Worker</w:t>
            </w:r>
          </w:p>
        </w:tc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Multi-Region</w:t>
            </w:r>
          </w:p>
        </w:tc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85ms</w:t>
            </w:r>
          </w:p>
        </w:tc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120ms</w:t>
            </w:r>
          </w:p>
        </w:tc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99.98%</w:t>
            </w:r>
          </w:p>
        </w:tc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**Active**</w:t>
            </w:r>
          </w:p>
        </w:tc>
      </w:tr>
      <w:tr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Backup Storage Vault</w:t>
            </w:r>
          </w:p>
        </w:tc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Cold Storage</w:t>
            </w:r>
          </w:p>
        </w:tc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240ms</w:t>
            </w:r>
          </w:p>
        </w:tc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410ms</w:t>
            </w:r>
          </w:p>
        </w:tc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99.99%</w:t>
            </w:r>
          </w:p>
        </w:tc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**Standby**</w:t>
            </w:r>
          </w:p>
        </w:tc>
      </w:tr>
    </w:tbl>
    <w:p>
      <w:pPr>
        <w:spacing w:before="120" w:after="120"/>
      </w:pPr>
      <w:r>
        <w:rPr>
          <w:i/>
          <w:iCs/>
          <w:color w:val="64748B"/>
        </w:rPr>
        <w:t xml:space="preserve">[[CALLOUT:important:]]</w:t>
      </w:r>
    </w:p>
    <w:p>
      <w:pPr>
        <w:spacing w:before="120" w:after="120"/>
      </w:pPr>
      <w:r>
        <w:rPr>
          <w:i/>
          <w:iCs/>
          <w:color w:val="64748B"/>
        </w:rPr>
        <w:t xml:space="preserve">Ensure all database migration scripts are executed in staging before triggering production deployment.</w:t>
      </w:r>
    </w:p>
    <w:p>
      <w:pPr>
        <w:spacing w:after="140"/>
      </w:pPr>
      <w:r>
        <w:t xml:space="preserve">---</w:t>
      </w:r>
    </w:p>
    <w:p>
      <w:pPr>
        <w:pStyle w:val="Heading1"/>
      </w:pPr>
      <w:r>
        <w:t xml:space="preserve">Implementation Code</w:t>
      </w:r>
    </w:p>
    <w:p>
      <w:pPr>
        <w:spacing w:after="140"/>
      </w:pPr>
      <w:r>
        <w:t xml:space="preserve">Below is the core implementation for multipart file streaming to the Google Drive API: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8FAF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import { GoogleDriveClient, DriveUploadResult } from './google/googleDriveClient';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async function syncMarkdownDocument(title: string, htmlContent: string, token: string): Promise&lt;DriveUploadResult&gt; {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// Direct conversion to native Google Doc format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const result = await GoogleDriveClient.uploadToGoogleDocs({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  title,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  htmlContent,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  accessToken: token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});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console.log(`Document created successfully at: ${result.editUrl}`);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return result;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}</w:t>
            </w:r>
          </w:p>
        </w:tc>
      </w:tr>
    </w:tbl>
    <w:p>
      <w:pPr>
        <w:spacing w:after="140"/>
      </w:pPr>
      <w:r>
        <w:t xml:space="preserve">And in Python for automated report generation: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8FAF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import requests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def upload_gdoc(title: str, html_payload: str, token: str) -&gt; str: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  """Uploads styled HTML directly to Google Drive as a native Google Doc."""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  headers = {"Authorization": f"Bearer {token}"}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  files = {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      'data': ('metadata', '{"name": "' + title + '", "mimeType": "application/vnd.google-apps.document"}', 'application/json'),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      'file': ('content.html', html_payload, 'text/html')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  }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  response = requests.post("https://www.googleapis.com/upload/drive/v3/files?uploadType=multipart", headers=headers, files=files)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  return response.json().get("id")</w:t>
            </w:r>
          </w:p>
        </w:tc>
      </w:tr>
    </w:tbl>
    <w:p>
      <w:pPr>
        <w:spacing w:after="140"/>
      </w:pPr>
      <w:r>
        <w:t xml:space="preserve">Inline code elements like </w:t>
      </w:r>
      <w:r>
        <w:rPr>
          <w:color w:val="2563EB"/>
          <w:sz w:val="20"/>
          <w:szCs w:val="20"/>
          <w:rFonts w:ascii="Consolas" w:cs="Consolas" w:eastAsia="Consolas" w:hAnsi="Consolas"/>
        </w:rPr>
        <w:t xml:space="preserve">const token = await auth.getToken();</w:t>
      </w:r>
      <w:r>
        <w:t xml:space="preserve"> and </w:t>
      </w:r>
      <w:r>
        <w:rPr>
          <w:color w:val="2563EB"/>
          <w:sz w:val="20"/>
          <w:szCs w:val="20"/>
          <w:rFonts w:ascii="Consolas" w:cs="Consolas" w:eastAsia="Consolas" w:hAnsi="Consolas"/>
        </w:rPr>
        <w:t xml:space="preserve">google.drive.v3</w:t>
      </w:r>
      <w:r>
        <w:t xml:space="preserve"> are formatted with crisp borders and tinted backgrounds.</w:t>
      </w:r>
    </w:p>
    <w:p>
      <w:pPr>
        <w:spacing w:after="140"/>
      </w:pPr>
      <w:r>
        <w:t xml:space="preserve">---</w:t>
      </w:r>
    </w:p>
    <w:p>
      <w:pPr>
        <w:pStyle w:val="Heading1"/>
      </w:pPr>
      <w:r>
        <w:t xml:space="preserve">Mathematical Calculations</w:t>
      </w:r>
    </w:p>
    <w:p>
      <w:pPr>
        <w:spacing w:after="140"/>
      </w:pPr>
      <w:r>
        <w:t xml:space="preserve">Mass-energy equivalence is computed via &lt;span style="font-family: 'Cambria Math', 'Latin Modern Math', 'Times New Roman', serif; font-size: 11pt; font-style: italic; color: #0F172A; padding: 0 2pt;"&gt;E = mc^2&lt;/span&gt;, and the standard quadratic optimization function is expressed as:</w:t>
      </w:r>
    </w:p>
    <w:p>
      <w:pPr>
        <w:spacing w:after="140"/>
      </w:pPr>
      <w:r>
        <w:t xml:space="preserve">&lt;div style="margin: 14pt 0; padding: 12pt; background-color: #F8FAFC; border: 1px solid #E2E8F0; border-radius: 6px; text-align: center; font-family: 'Cambria Math', 'Latin Modern Math', 'Times New Roman', serif; font-size: 13pt; color: #0F172A;"&gt;&lt;em&gt;x = \frac{-b \pm \sqrt{b^2 - 4ac}}{2a}&lt;/em&gt;&lt;/div&gt;</w:t>
      </w:r>
    </w:p>
    <w:p>
      <w:pPr>
        <w:spacing w:after="140"/>
      </w:pPr>
      <w:r>
        <w:t xml:space="preserve">---</w:t>
      </w:r>
    </w:p>
    <w:p>
      <w:pPr>
        <w:pStyle w:val="Heading1"/>
      </w:pPr>
      <w:r>
        <w:t xml:space="preserve">Action Checklist</w:t>
      </w:r>
    </w:p>
    <w:p>
      <w:pPr>
        <w:spacing w:after="140"/>
      </w:pPr>
      <w:r>
        <w:t xml:space="preserve">- ☑ </w:t>
      </w:r>
      <w:r>
        <w:rPr>
          <w:strike/>
        </w:rPr>
        <w:t xml:space="preserve">Complete Markdown Parser AST with inline style translation</w:t>
      </w:r>
    </w:p>
    <w:p>
      <w:pPr>
        <w:spacing w:after="140"/>
      </w:pPr>
      <w:r>
        <w:t xml:space="preserve">- ☑ </w:t>
      </w:r>
      <w:r>
        <w:rPr>
          <w:strike/>
        </w:rPr>
        <w:t xml:space="preserve">Implement 5 Curated Professional Themes (Modern Slate, Executive Navy, Emerald, Crimson, Tech Violet)</w:t>
      </w:r>
    </w:p>
    <w:p>
      <w:pPr>
        <w:spacing w:after="140"/>
      </w:pPr>
      <w:r>
        <w:t xml:space="preserve">- ☑ </w:t>
      </w:r>
      <w:r>
        <w:rPr>
          <w:strike/>
        </w:rPr>
        <w:t xml:space="preserve">Build Google Drive API multipart upload with native `vnd.google-apps.document` conversion</w:t>
      </w:r>
    </w:p>
    <w:p>
      <w:pPr>
        <w:spacing w:after="140"/>
      </w:pPr>
      <w:r>
        <w:t xml:space="preserve">- ☑ </w:t>
      </w:r>
      <w:r>
        <w:rPr>
          <w:strike/>
        </w:rPr>
        <w:t xml:space="preserve">Support 1-Click zero-config Rich Clipboard copy (&lt;kbd style="display: inline-block; padding: 1.5pt 5pt; font-size: 8.5pt; font-family: monospace; line-height: 1.2; color: #1E293B; background-color: #F1F5F9; border: 1pt solid #CBD5E1; border-radius: 3pt; box-shadow: 0 1pt 0 #94A3B8;"&gt;Ctrl&lt;/kbd&gt; + &lt;kbd style="display: inline-block; padding: 1.5pt 5pt; font-size: 8.5pt; font-family: monospace; line-height: 1.2; color: #1E293B; background-color: #F1F5F9; border: 1pt solid #CBD5E1; border-radius: 3pt; box-shadow: 0 1pt 0 #94A3B8;"&gt;V&lt;/kbd&gt; into Google Docs)</w:t>
      </w:r>
    </w:p>
    <w:p>
      <w:pPr>
        <w:spacing w:after="140"/>
      </w:pPr>
      <w:r>
        <w:t xml:space="preserve">- ☑ </w:t>
      </w:r>
      <w:r>
        <w:rPr>
          <w:strike/>
        </w:rPr>
        <w:t xml:space="preserve">Build Live Side-by-Side Google Docs Preview Webview with smooth anchor jumping</w:t>
      </w:r>
    </w:p>
    <w:p>
      <w:pPr>
        <w:spacing w:after="140"/>
      </w:pPr>
      <w:r>
        <w:t xml:space="preserve">- ☑ </w:t>
      </w:r>
      <w:r>
        <w:rPr>
          <w:strike/>
        </w:rPr>
        <w:t xml:space="preserve">Provide local HTML and DOCX export capabilities</w:t>
      </w:r>
    </w:p>
    <w:p>
      <w:pPr>
        <w:spacing w:after="140"/>
      </w:pPr>
      <w:r>
        <w:t xml:space="preserve">- ☑ </w:t>
      </w:r>
      <w:r>
        <w:rPr>
          <w:strike/>
        </w:rPr>
        <w:t xml:space="preserve">Implement native `&lt;a name="..."&gt;` bookmarks for Table of Contents &amp; Cross-References</w:t>
      </w:r>
    </w:p>
    <w:p>
      <w:pPr>
        <w:spacing w:after="140"/>
      </w:pPr>
      <w:r>
        <w:t xml:space="preserve">- ☑ </w:t>
      </w:r>
      <w:r>
        <w:rPr>
          <w:strike/>
        </w:rPr>
        <w:t xml:space="preserve">Support manual `[TOC]` placement and configurable `toc_depth`</w:t>
      </w:r>
    </w:p>
    <w:p>
      <w:pPr>
        <w:spacing w:after="140"/>
      </w:pPr>
      <w:r>
        <w:t xml:space="preserve">- ☑ </w:t>
      </w:r>
      <w:r>
        <w:rPr>
          <w:strike/>
        </w:rPr>
        <w:t xml:space="preserve">Support Footnotes citations with bidirectional links</w:t>
      </w:r>
    </w:p>
    <w:p>
      <w:pPr>
        <w:spacing w:after="140"/>
      </w:pPr>
      <w:r>
        <w:t xml:space="preserve">- ☑ </w:t>
      </w:r>
      <w:r>
        <w:rPr>
          <w:strike/>
        </w:rPr>
        <w:t xml:space="preserve">Extended callout admonitions (12 types)</w:t>
      </w:r>
    </w:p>
    <w:p>
      <w:pPr>
        <w:spacing w:after="140"/>
      </w:pPr>
      <w:r>
        <w:t xml:space="preserve">- ☐ Conduct final user walkthrough</w:t>
      </w:r>
    </w:p>
    <w:p>
      <w:pPr>
        <w:spacing w:after="140"/>
      </w:pPr>
      <w:r>
        <w:t xml:space="preserve">---</w:t>
      </w:r>
    </w:p>
    <w:p>
      <w:pPr>
        <w:spacing w:after="140"/>
      </w:pPr>
      <w:r>
        <w:t xml:space="preserve">[Back to Top](#top)</w:t>
      </w:r>
    </w:p>
    <w:p>
      <w:pPr>
        <w:spacing w:after="140"/>
      </w:pPr>
      <w:r>
        <w:t xml:space="preserve">---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4748B"/>
        <w:sz w:val="18"/>
        <w:szCs w:val="18"/>
      </w:rPr>
      <w:t xml:space="preserve">Strictly Confidential • All Rights Reserved</w:t>
    </w:r>
    <w:r>
      <w:rPr>
        <w:color w:val="64748B"/>
        <w:sz w:val="18"/>
        <w:szCs w:val="18"/>
      </w:rPr>
      <w:t xml:space="preserve">    |   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4748B"/>
        <w:sz w:val="18"/>
        <w:szCs w:val="18"/>
      </w:rPr>
      <w:t xml:space="preserve">ACME CORP • ENGINEERING STRATEGY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E293B"/>
        <w:sz w:val="22"/>
        <w:szCs w:val="22"/>
        <w:rFonts w:ascii="Calibri" w:cs="Calibri" w:eastAsia="Calibri" w:hAnsi="Calibri"/>
      </w:rPr>
    </w:rPrDefault>
    <w:pPrDefault>
      <w:pPr>
        <w:spacing w:line="320" w:after="1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180"/>
    </w:pPr>
    <w:rPr>
      <w:b/>
      <w:bCs/>
      <w:color w:val="0F172A"/>
      <w:sz w:val="36"/>
      <w:szCs w:val="36"/>
      <w:rFonts w:ascii="Calibri" w:cs="Calibri" w:eastAsia="Calibri" w:hAnsi="Calibri"/>
    </w:rPr>
  </w:style>
  <w:style w:type="paragraph" w:styleId="Heading2">
    <w:name w:val="Heading 2"/>
    <w:basedOn w:val="Normal"/>
    <w:next w:val="Normal"/>
    <w:qFormat/>
    <w:pPr>
      <w:spacing w:before="280" w:after="140"/>
    </w:pPr>
    <w:rPr>
      <w:b/>
      <w:bCs/>
      <w:color w:val="0F172A"/>
      <w:sz w:val="28"/>
      <w:szCs w:val="28"/>
      <w:rFonts w:ascii="Calibri" w:cs="Calibri" w:eastAsia="Calibri" w:hAnsi="Calibri"/>
    </w:rPr>
  </w:style>
  <w:style w:type="paragraph" w:styleId="Heading3">
    <w:name w:val="Heading 3"/>
    <w:basedOn w:val="Normal"/>
    <w:next w:val="Normal"/>
    <w:qFormat/>
    <w:pPr>
      <w:spacing w:before="200" w:after="100"/>
    </w:pPr>
    <w:rPr>
      <w:b/>
      <w:bCs/>
      <w:color w:val="2563EB"/>
      <w:sz w:val="24"/>
      <w:szCs w:val="24"/>
      <w:rFonts w:ascii="Calibri" w:cs="Calibri" w:eastAsia="Calibri" w:hAnsi="Calibri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2026-09-03T17:11:23.442Z</dcterms:created>
  <dcterms:modified xsi:type="dcterms:W3CDTF">2026-09-03T17:11:23.442Z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