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b/>
          <w:bCs/>
          <w:color w:val="0F172A"/>
          <w:sz w:val="52"/>
          <w:szCs w:val="52"/>
        </w:rPr>
        <w:t xml:space="preserve">Quarterly Engineering &amp; Architecture Strategy</w:t>
      </w:r>
    </w:p>
    <w:p>
      <w:pPr>
        <w:spacing w:after="200"/>
      </w:pPr>
      <w:r>
        <w:rPr>
          <w:color w:val="64748B"/>
          <w:sz w:val="24"/>
          <w:szCs w:val="24"/>
        </w:rPr>
        <w:t xml:space="preserve">High-Performance Cloud Infrastructure, Developer Productivity &amp; Documentation Standard</w:t>
      </w:r>
    </w:p>
    <w:p>
      <w:pPr>
        <w:spacing w:after="360"/>
      </w:pPr>
      <w:r>
        <w:rPr>
          <w:color w:val="64748B"/>
          <w:sz w:val="19"/>
          <w:szCs w:val="19"/>
        </w:rPr>
        <w:t xml:space="preserve">Author: Jehadur RE  |  Date: 2026-09-03  |  Version: v2.5  |  Status: APPROVED  |  Reading Time: ~4 min (704 words)</w:t>
      </w:r>
    </w:p>
    <w:p>
      <w:pPr>
        <w:pStyle w:val="Heading1"/>
      </w:pPr>
      <w:r>
        <w:t xml:space="preserve">Executive Summary</w:t>
      </w:r>
    </w:p>
    <w:p>
      <w:pPr>
        <w:spacing w:after="140"/>
      </w:pPr>
      <w:r>
        <w:t xml:space="preserve">This strategic document outlines our engineering roadmap, cloud architecture milestones, and developer productivity enhancements</w:t>
      </w:r>
      <w:r>
        <w:rPr>
          <w:b/>
          <w:bCs/>
          <w:color w:val="2563EB"/>
          <w:vertAlign w:val="superscript"/>
        </w:rPr>
        <w:t xml:space="preserve">[1]</w:t>
      </w:r>
      <w:r>
        <w:t xml:space="preserve">. Designed to be converted directly into an executive </w:t>
      </w:r>
      <w:r>
        <w:rPr>
          <w:b/>
          <w:bCs/>
        </w:rPr>
        <w:t xml:space="preserve">Google Docs</w:t>
      </w:r>
      <w:r>
        <w:t xml:space="preserve"> report, preserving typographic harmony, table formatting, callouts, and syntax highlighting.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3B82F6" w:sz="24"/>
              <w:bottom w:val="none"/>
              <w:right w:val="none"/>
            </w:tcBorders>
            <w:shd w:fill="EFF6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1E40AF"/>
                <w:sz w:val="22"/>
                <w:szCs w:val="22"/>
              </w:rPr>
              <w:t xml:space="preserve">ℹ️ NOTE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All specifications in this document adhere strictly to the highest industrial enterprise standards[^arch-study].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Table of Contents</w:t>
      </w:r>
    </w:p>
    <w:p>
      <w:pPr>
        <w:pBdr>
          <w:bottom w:val="single" w:color="E2E8F0" w:sz="6" w:space="1"/>
        </w:pBdr>
        <w:spacing w:before="180" w:after="180"/>
      </w:pPr>
    </w:p>
    <w:p>
      <w:r>
        <w:br w:type="page"/>
      </w:r>
    </w:p>
    <w:p>
      <w:pPr>
        <w:pStyle w:val="Heading1"/>
      </w:pPr>
      <w:r>
        <w:t xml:space="preserve">Architecture Pillars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000"/>
            <w:tcBorders>
              <w:top w:val="single" w:color="CBD5E1" w:sz="8"/>
              <w:left w:val="single" w:color="2563EB" w:sz="8"/>
              <w:bottom w:val="single" w:color="CBD5E1" w:sz="8"/>
              <w:right w:val="single" w:color="CBD5E1" w:sz="8"/>
            </w:tcBorders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100"/>
            </w:pPr>
            <w:r>
              <w:rPr>
                <w:b/>
                <w:bCs/>
                <w:color w:val="0F172A"/>
                <w:sz w:val="18"/>
                <w:szCs w:val="18"/>
              </w:rPr>
              <w:t xml:space="preserve">📊 DIAGRAM: GRAPH TD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graph TD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Markdown[Source Markdown] --&gt; AST[Engine Parser AST]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AST --&gt; GDocs[Google Docs Clipboard]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AST --&gt; PDF[Print-Quality PDF]</w:t>
            </w:r>
          </w:p>
          <w:p>
            <w:pPr>
              <w:spacing w:after="40"/>
            </w:pPr>
            <w:r>
              <w:rPr>
                <w:color w:val="1E293B"/>
                <w:sz w:val="18"/>
                <w:szCs w:val="18"/>
                <w:rFonts w:ascii="Consolas" w:cs="Consolas" w:eastAsia="Consolas" w:hAnsi="Consolas"/>
              </w:rPr>
              <w:t xml:space="preserve">  AST --&gt; DOCX[Executive DOCX]</w:t>
            </w:r>
          </w:p>
        </w:tc>
      </w:tr>
    </w:tbl>
    <w:p>
      <w:pPr>
        <w:spacing w:after="140"/>
      </w:pPr>
      <w:r>
        <w:t xml:space="preserve">The modern cloud stack is structured around four primary pillars:</w:t>
      </w:r>
    </w:p>
    <w:p>
      <w:pPr>
        <w:spacing w:after="140"/>
      </w:pPr>
      <w:r>
        <w:t xml:space="preserve">1. </w:t>
      </w:r>
      <w:r>
        <w:rPr>
          <w:b/>
          <w:bCs/>
        </w:rPr>
        <w:t xml:space="preserve">Deterministic Builds</w:t>
      </w:r>
      <w:r>
        <w:t xml:space="preserve">: Completely reproducible artifacts across local and CI/CD environments.</w:t>
      </w:r>
    </w:p>
    <w:p>
      <w:pPr>
        <w:spacing w:after="140"/>
      </w:pPr>
      <w:r>
        <w:t xml:space="preserve">2. </w:t>
      </w:r>
      <w:r>
        <w:rPr>
          <w:b/>
          <w:bCs/>
        </w:rPr>
        <w:t xml:space="preserve">Sub-second Response Times</w:t>
      </w:r>
      <w:r>
        <w:t xml:space="preserve">: Global edge caching and optimal database query indexing.</w:t>
      </w:r>
    </w:p>
    <w:p>
      <w:pPr>
        <w:spacing w:after="140"/>
      </w:pPr>
      <w:r>
        <w:t xml:space="preserve">3. </w:t>
      </w:r>
      <w:r>
        <w:rPr>
          <w:b/>
          <w:bCs/>
        </w:rPr>
        <w:t xml:space="preserve">Automated Documentation</w:t>
      </w:r>
      <w:r>
        <w:t xml:space="preserve">: Converting Markdown specifications directly to styled Google Docs.</w:t>
      </w:r>
    </w:p>
    <w:p>
      <w:pPr>
        <w:spacing w:after="140"/>
      </w:pPr>
      <w:r>
        <w:t xml:space="preserve">4. </w:t>
      </w:r>
      <w:r>
        <w:rPr>
          <w:b/>
          <w:bCs/>
        </w:rPr>
        <w:t xml:space="preserve">Resilient Security Posture</w:t>
      </w:r>
      <w:r>
        <w:t xml:space="preserve">: OAuth 2.0 PKCE authentication with encrypted OS-level token caching.</w:t>
      </w:r>
    </w:p>
    <w:p>
      <w:pPr>
        <w:pStyle w:val="Heading3"/>
      </w:pPr>
      <w:r>
        <w:t xml:space="preserve">Key Technical Definitions</w:t>
      </w:r>
    </w:p>
    <w:p>
      <w:pPr>
        <w:spacing w:before="140" w:after="30"/>
      </w:pPr>
      <w:r>
        <w:rPr>
          <w:b/>
          <w:bCs/>
          <w:color w:val="0F172A"/>
          <w:sz w:val="22"/>
          <w:szCs w:val="22"/>
        </w:rPr>
        <w:t xml:space="preserve">AST Engine</w:t>
      </w:r>
    </w:p>
    <w:p>
      <w:pPr>
        <w:spacing w:after="120"/>
        <w:ind w:left="720"/>
      </w:pPr>
      <w:r>
        <w:t xml:space="preserve">Abstract Syntax Tree translating Markdown tokens into inline CSS styles.</w:t>
      </w:r>
    </w:p>
    <w:p>
      <w:pPr>
        <w:spacing w:before="140" w:after="30"/>
      </w:pPr>
      <w:r>
        <w:rPr>
          <w:b/>
          <w:bCs/>
          <w:color w:val="0F172A"/>
          <w:sz w:val="22"/>
          <w:szCs w:val="22"/>
        </w:rPr>
        <w:t xml:space="preserve">Native Bookmarks</w:t>
      </w:r>
    </w:p>
    <w:p>
      <w:pPr>
        <w:spacing w:after="120"/>
        <w:ind w:left="720"/>
      </w:pPr>
      <w:r>
        <w:t xml:space="preserve">Google Docs named anchors enabling bidirectional Table of Contents jumping.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0B981" w:sz="24"/>
              <w:bottom w:val="none"/>
              <w:right w:val="none"/>
            </w:tcBorders>
            <w:shd w:fill="ECFDF5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65F46"/>
                <w:sz w:val="22"/>
                <w:szCs w:val="22"/>
              </w:rPr>
              <w:t xml:space="preserve">💡 Pro Tip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Use the **"Copy for Google Docs"** command (`Ctrl+Shift+P` -&gt; `Copy for Google Docs`), then press &lt;kbd&gt;Ctrl&lt;/kbd&gt; + &lt;kbd&gt;V&lt;/kbd&gt; inside any Google Doc for 100% style fidelity!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Extended Alert Admonitions</w:t>
      </w:r>
    </w:p>
    <w:p>
      <w:pPr>
        <w:spacing w:after="140"/>
      </w:pPr>
      <w:r>
        <w:t xml:space="preserve">The converter natively formats 12 distinct callout alert types as Google Docs single-cell tables: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284C7" w:sz="24"/>
              <w:bottom w:val="none"/>
              <w:right w:val="none"/>
            </w:tcBorders>
            <w:shd w:fill="F0F9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369A1"/>
                <w:sz w:val="22"/>
                <w:szCs w:val="22"/>
              </w:rPr>
              <w:t xml:space="preserve">ℹ️ Information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Real-time streaming metrics are collected and aggregated via Google Cloud Pub/Sub.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16A34A" w:sz="24"/>
              <w:bottom w:val="none"/>
              <w:right w:val="none"/>
            </w:tcBorders>
            <w:shd w:fill="F0FDF4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15803D"/>
                <w:sz w:val="22"/>
                <w:szCs w:val="22"/>
              </w:rPr>
              <w:t xml:space="preserve">✅ Verification Complete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Automated test suite passed with 18 of 18 checks verified.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9333EA" w:sz="24"/>
              <w:bottom w:val="none"/>
              <w:right w:val="none"/>
            </w:tcBorders>
            <w:shd w:fill="FAF5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7E22CE"/>
                <w:sz w:val="22"/>
                <w:szCs w:val="22"/>
              </w:rPr>
              <w:t xml:space="preserve">❓ Need Guidance?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Refer to the internal Developer Portal FAQ or reach out to `#platform-engineering`.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0D9488" w:sz="24"/>
              <w:bottom w:val="none"/>
              <w:right w:val="none"/>
            </w:tcBorders>
            <w:shd w:fill="F0FDFA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0F766E"/>
                <w:sz w:val="22"/>
                <w:szCs w:val="22"/>
              </w:rPr>
              <w:t xml:space="preserve">📋 Action Item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Complete load testing on secondary staging cluster before Friday.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7C3AED" w:sz="24"/>
              <w:bottom w:val="none"/>
              <w:right w:val="none"/>
            </w:tcBorders>
            <w:shd w:fill="F5F3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5B21B6"/>
                <w:sz w:val="22"/>
                <w:szCs w:val="22"/>
              </w:rPr>
              <w:t xml:space="preserve">🧪 Usage Example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Example command line execution: `npm test` runs all unit tests.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F59E0B" w:sz="24"/>
              <w:bottom w:val="none"/>
              <w:right w:val="none"/>
            </w:tcBorders>
            <w:shd w:fill="FFFBEB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92400E"/>
                <w:sz w:val="22"/>
                <w:szCs w:val="22"/>
              </w:rPr>
              <w:t xml:space="preserve">⚠️ Token Expiration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Expired tokens must be refreshed automatically before executing batch upload operations.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DC2626" w:sz="24"/>
              <w:bottom w:val="none"/>
              <w:right w:val="none"/>
            </w:tcBorders>
            <w:shd w:fill="FEF2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B91C1C"/>
                <w:sz w:val="22"/>
                <w:szCs w:val="22"/>
              </w:rPr>
              <w:t xml:space="preserve">⛔ Critical Failure Safeguard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Automatic circuit breakers will trip if downstream failure exceeds 5% within a 60-second window.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Advanced Typography &amp; Formatting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Inline Text Highlighting</w:t>
      </w:r>
      <w:r>
        <w:t xml:space="preserve">: Critical security alerts require </w:t>
      </w:r>
      <w:r>
        <w:rPr>
          <w:highlight w:val="yellow"/>
          <w:highlightCs w:val="yellow"/>
        </w:rPr>
        <w:t xml:space="preserve">immediate operator attention</w:t>
      </w:r>
      <w:r>
        <w:t xml:space="preserve">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Subscript &amp; Superscript</w:t>
      </w:r>
      <w:r>
        <w:t xml:space="preserve">: Chemical notation </w:t>
      </w:r>
      <w:r>
        <w:rPr>
          <w:i/>
          <w:iCs/>
          <w:rFonts w:ascii="Cambria Math" w:cs="Cambria Math" w:eastAsia="Cambria Math" w:hAnsi="Cambria Math"/>
        </w:rPr>
        <w:t xml:space="preserve">H_2O</w:t>
      </w:r>
      <w:r>
        <w:t xml:space="preserve"> is written as H</w:t>
      </w:r>
      <w:r>
        <w:rPr>
          <w:vertAlign w:val="subscript"/>
        </w:rPr>
        <w:t xml:space="preserve">2</w:t>
      </w:r>
      <w:r>
        <w:t xml:space="preserve">O, while exponential scaling is </w:t>
      </w:r>
      <w:r>
        <w:rPr>
          <w:i/>
          <w:iCs/>
          <w:rFonts w:ascii="Cambria Math" w:cs="Cambria Math" w:eastAsia="Cambria Math" w:hAnsi="Cambria Math"/>
        </w:rPr>
        <w:t xml:space="preserve">2^{32}</w:t>
      </w:r>
      <w:r>
        <w:t xml:space="preserve"> written as 2</w:t>
      </w:r>
      <w:r>
        <w:rPr>
          <w:vertAlign w:val="superscript"/>
        </w:rPr>
        <w:t xml:space="preserve">32</w:t>
      </w:r>
      <w:r>
        <w:t xml:space="preserve">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Editorial Insertions</w:t>
      </w:r>
      <w:r>
        <w:t xml:space="preserve">: Deprecated APIs were replaced with </w:t>
      </w:r>
      <w:r>
        <w:rPr>
          <w:u w:val="single"/>
        </w:rPr>
        <w:t xml:space="preserve">modern REST endpoints</w:t>
      </w:r>
      <w:r>
        <w:t xml:space="preserve">.</w:t>
      </w:r>
    </w:p>
    <w:p>
      <w:pPr>
        <w:spacing w:after="140"/>
      </w:pPr>
      <w:r>
        <w:t xml:space="preserve">- </w:t>
      </w:r>
      <w:r>
        <w:rPr>
          <w:b/>
          <w:bCs/>
        </w:rPr>
        <w:t xml:space="preserve">Keyboard Shortcuts</w:t>
      </w:r>
      <w:r>
        <w:t xml:space="preserve">: Press </w:t>
      </w:r>
      <w:r>
        <w:rPr>
          <w:b/>
          <w:bCs/>
          <w:rFonts w:ascii="Consolas" w:cs="Consolas" w:eastAsia="Consolas" w:hAnsi="Consolas"/>
        </w:rPr>
        <w:t xml:space="preserve">Ctrl</w:t>
      </w:r>
      <w:r>
        <w:t xml:space="preserve"> + </w:t>
      </w:r>
      <w:r>
        <w:rPr>
          <w:b/>
          <w:bCs/>
          <w:rFonts w:ascii="Consolas" w:cs="Consolas" w:eastAsia="Consolas" w:hAnsi="Consolas"/>
        </w:rPr>
        <w:t xml:space="preserve">Shift</w:t>
      </w:r>
      <w:r>
        <w:t xml:space="preserve"> + </w:t>
      </w:r>
      <w:r>
        <w:rPr>
          <w:b/>
          <w:bCs/>
          <w:rFonts w:ascii="Consolas" w:cs="Consolas" w:eastAsia="Consolas" w:hAnsi="Consolas"/>
        </w:rPr>
        <w:t xml:space="preserve">P</w:t>
      </w:r>
      <w:r>
        <w:t xml:space="preserve"> to open the Command Palette.</w:t>
      </w:r>
    </w:p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System Benchmark &amp; Latency Analysis</w:t>
      </w:r>
    </w:p>
    <w:p>
      <w:pPr>
        <w:spacing w:after="140"/>
      </w:pPr>
      <w:r>
        <w:t xml:space="preserve">The following table summarizes response times and throughput under peak load: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Service Component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Environment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P95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P99 Latency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Availability</w:t>
            </w:r>
          </w:p>
        </w:tc>
        <w:tc>
          <w:tcPr>
            <w:shd w:fill="1E293B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Authentication Gateway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Global Edge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14ms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28ms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Data Processing Engine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US-Central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42ms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68ms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99.95%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Document Sync Worker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Multi-Region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85ms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120ms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99.98%</w:t>
            </w:r>
          </w:p>
        </w:tc>
        <w:tc>
          <w:tcPr>
            <w:shd w:fill="FFFFFF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**Active**</w:t>
            </w:r>
          </w:p>
        </w:tc>
      </w:tr>
      <w:tr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Backup Storage Vault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Cold Storage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240ms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410ms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99.99%</w:t>
            </w:r>
          </w:p>
        </w:tc>
        <w:tc>
          <w:tcPr>
            <w:shd w:fill="F8FAFC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r>
              <w:rPr>
                <w:b w:val="false"/>
                <w:bCs w:val="false"/>
                <w:color w:val="1E293B"/>
                <w:sz w:val="20"/>
                <w:szCs w:val="20"/>
              </w:rPr>
              <w:t xml:space="preserve">**Standby**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/>
              <w:left w:val="single" w:color="8B5CF6" w:sz="24"/>
              <w:bottom w:val="none"/>
              <w:right w:val="none"/>
            </w:tcBorders>
            <w:shd w:fill="F5F3FF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b/>
                <w:bCs/>
                <w:color w:val="5B21B6"/>
                <w:sz w:val="22"/>
                <w:szCs w:val="22"/>
              </w:rPr>
              <w:t xml:space="preserve">📌 IMPORTANT</w:t>
            </w:r>
          </w:p>
          <w:p>
            <w:pPr>
              <w:spacing w:after="0"/>
            </w:pPr>
            <w:r>
              <w:rPr>
                <w:color w:val="1E293B"/>
                <w:sz w:val="21"/>
                <w:szCs w:val="21"/>
              </w:rPr>
              <w:t xml:space="preserve">Ensure all database migration scripts are executed in staging before triggering production deployment.</w:t>
            </w:r>
          </w:p>
        </w:tc>
      </w:tr>
    </w:tbl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Implementation Code</w:t>
      </w:r>
    </w:p>
    <w:p>
      <w:pPr>
        <w:spacing w:after="140"/>
      </w:pPr>
      <w:r>
        <w:t xml:space="preserve">Below is the core implementation for multipart file streaming to the Google Drive API: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{ GoogleDriveClient, DriveUploadResult } from './google/googleDriveClient';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async function syncMarkdownDocument(title: string, htmlContent: string, token: string): Promise&lt;DriveUploadResult&gt;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// Direct conversion to native Google Doc format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const result = await GoogleDriveClient.uploadToGoogleDocs({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title,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htmlContent,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accessToken: token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});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console.log(`Document created successfully at: ${result.editUrl}`);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return result;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}</w:t>
            </w:r>
          </w:p>
        </w:tc>
      </w:tr>
    </w:tbl>
    <w:p>
      <w:pPr>
        <w:spacing w:after="140"/>
      </w:pPr>
      <w:r>
        <w:t xml:space="preserve">And in Python for automated report generation: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8FAFC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import requests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def upload_gdoc(title: str, html_payload: str, token: str) -&gt; str: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"""Uploads styled HTML directly to Google Drive as a native Google Doc."""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headers = {"Authorization": f"Bearer {token}"}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files = {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'data': ('metadata', '{"name": "' + title + '", "mimeType": "application/vnd.google-apps.document"}', 'application/json'),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    'file': ('content.html', html_payload, 'text/html')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}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response = requests.post("https://www.googleapis.com/upload/drive/v3/files?uploadType=multipart", headers=headers, files=files)</w:t>
            </w:r>
          </w:p>
          <w:p>
            <w:pPr>
              <w:spacing w:line="240" w:after="40"/>
            </w:pPr>
            <w:r>
              <w:rPr>
                <w:color w:val="0F172A"/>
                <w:sz w:val="19"/>
                <w:szCs w:val="19"/>
                <w:rFonts w:ascii="Consolas" w:cs="Consolas" w:eastAsia="Consolas" w:hAnsi="Consolas"/>
              </w:rPr>
              <w:t xml:space="preserve">    return response.json().get("id")</w:t>
            </w:r>
          </w:p>
        </w:tc>
      </w:tr>
    </w:tbl>
    <w:p>
      <w:pPr>
        <w:spacing w:after="140"/>
      </w:pPr>
      <w:r>
        <w:t xml:space="preserve">Inline code elements like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const token = await auth.getToken();</w:t>
      </w:r>
      <w:r>
        <w:t xml:space="preserve"> and </w:t>
      </w:r>
      <w:r>
        <w:rPr>
          <w:color w:val="2563EB"/>
          <w:sz w:val="20"/>
          <w:szCs w:val="20"/>
          <w:rFonts w:ascii="Consolas" w:cs="Consolas" w:eastAsia="Consolas" w:hAnsi="Consolas"/>
        </w:rPr>
        <w:t xml:space="preserve">google.drive.v3</w:t>
      </w:r>
      <w:r>
        <w:t xml:space="preserve"> are formatted with crisp borders and tinted backgrounds.</w:t>
      </w:r>
    </w:p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Mathematical Calculations</w:t>
      </w:r>
    </w:p>
    <w:p>
      <w:pPr>
        <w:spacing w:after="140"/>
      </w:pPr>
      <w:r>
        <w:t xml:space="preserve">Mass-energy equivalence is computed via </w:t>
      </w:r>
      <w:r>
        <w:rPr>
          <w:i/>
          <w:iCs/>
          <w:rFonts w:ascii="Cambria Math" w:cs="Cambria Math" w:eastAsia="Cambria Math" w:hAnsi="Cambria Math"/>
        </w:rPr>
        <w:t xml:space="preserve">E = mc^2</w:t>
      </w:r>
      <w:r>
        <w:t xml:space="preserve">, and the standard quadratic optimization function is expressed as:</w:t>
      </w:r>
    </w:p>
    <w:p>
      <w:pPr>
        <w:spacing w:before="180" w:after="180"/>
        <w:jc w:val="center"/>
      </w:pPr>
      <w:r>
        <w:rPr>
          <w:i/>
          <w:iCs/>
          <w:color w:val="0F172A"/>
          <w:sz w:val="24"/>
          <w:szCs w:val="24"/>
          <w:rFonts w:ascii="Cambria Math" w:cs="Cambria Math" w:eastAsia="Cambria Math" w:hAnsi="Cambria Math"/>
        </w:rPr>
        <w:t xml:space="preserve">x = \frac{-b \pm \sqrt{b^2 - 4ac}}{2a}</w:t>
      </w:r>
    </w:p>
    <w:p>
      <w:pPr>
        <w:pBdr>
          <w:bottom w:val="single" w:color="E2E8F0" w:sz="6" w:space="1"/>
        </w:pBdr>
        <w:spacing w:before="180" w:after="180"/>
      </w:pPr>
    </w:p>
    <w:p>
      <w:pPr>
        <w:pStyle w:val="Heading1"/>
      </w:pPr>
      <w:r>
        <w:t xml:space="preserve">Action Checklist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Complete Markdown Parser AST with inline style translation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Implement 5 Curated Professional Themes (Modern Slate, Executive Navy, Emerald, Crimson, Tech Violet)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Build Google Drive API multipart upload with native `vnd.google-apps.document` conversion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Support 1-Click zero-config Rich Clipboard copy (&lt;kbd&gt;Ctrl&lt;/kbd&gt; + &lt;kbd&gt;V&lt;/kbd&gt; into Google Docs)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Build Live Side-by-Side Google Docs Preview Webview with smooth anchor jumping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Provide local HTML and DOCX export capabilities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Implement native `&lt;a name="..."&gt;` bookmarks for Table of Contents &amp; Cross-References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Support manual `[TOC]` placement and configurable `toc_depth`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Support Footnotes citations with bidirectional links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☑  </w:t>
      </w:r>
      <w:r>
        <w:rPr>
          <w:color w:val="64748B"/>
          <w:strike/>
        </w:rPr>
        <w:t xml:space="preserve">Extended callout admonitions (12 types)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☐  </w:t>
      </w:r>
      <w:r>
        <w:t xml:space="preserve">Conduct final user walkthrough</w:t>
      </w:r>
    </w:p>
    <w:p>
      <w:pPr>
        <w:pBdr>
          <w:bottom w:val="single" w:color="E2E8F0" w:sz="6" w:space="1"/>
        </w:pBdr>
        <w:spacing w:before="180" w:after="180"/>
      </w:pPr>
    </w:p>
    <w:p>
      <w:pPr>
        <w:spacing w:after="140"/>
      </w:pPr>
      <w:r>
        <w:t xml:space="preserve">[Back to Top](#top)</w:t>
      </w:r>
    </w:p>
    <w:p>
      <w:pPr>
        <w:pBdr>
          <w:bottom w:val="single" w:color="E2E8F0" w:sz="6" w:space="1"/>
        </w:pBdr>
        <w:spacing w:before="180" w:after="180"/>
      </w:pPr>
    </w:p>
    <w:p>
      <w:pPr>
        <w:pBdr>
          <w:top w:val="single" w:color="E2E8F0" w:sz="6" w:space="1"/>
        </w:pBdr>
        <w:spacing w:before="360" w:after="120"/>
      </w:pPr>
      <w:r>
        <w:rPr>
          <w:b/>
          <w:bCs/>
          <w:color w:val="0F172A"/>
          <w:sz w:val="22"/>
          <w:szCs w:val="22"/>
        </w:rPr>
        <w:t xml:space="preserve">Footnotes</w:t>
      </w:r>
    </w:p>
    <w:p>
      <w:pPr>
        <w:spacing w:after="60"/>
      </w:pPr>
      <w:r>
        <w:rPr>
          <w:b/>
          <w:bCs/>
          <w:color w:val="2563EB"/>
          <w:sz w:val="18"/>
          <w:szCs w:val="18"/>
        </w:rPr>
        <w:t xml:space="preserve">[1] </w:t>
      </w:r>
      <w:r>
        <w:t xml:space="preserve">Enterprise Cloud Architecture Guidelines, Technical Report Series, 2026.</w:t>
      </w:r>
    </w:p>
    <w:p>
      <w:pPr>
        <w:spacing w:after="60"/>
      </w:pPr>
      <w:r>
        <w:rPr>
          <w:b/>
          <w:bCs/>
          <w:color w:val="2563EB"/>
          <w:sz w:val="18"/>
          <w:szCs w:val="18"/>
        </w:rPr>
        <w:t xml:space="preserve">[arch-study] </w:t>
      </w:r>
      <w:r>
        <w:t xml:space="preserve">Global High-Availability Benchmark Study, Platform Reliability Working Group.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8"/>
        <w:szCs w:val="18"/>
      </w:rPr>
      <w:t xml:space="preserve">Strictly Confidential • All Rights Reserved</w:t>
    </w:r>
    <w:r>
      <w:rPr>
        <w:color w:val="64748B"/>
        <w:sz w:val="18"/>
        <w:szCs w:val="18"/>
      </w:rPr>
      <w:t xml:space="preserve">    |    Page </w:t>
    </w:r>
    <w:r>
      <w:fldChar w:fldCharType="begin"/>
      <w:instrText xml:space="preserve">PAGE</w:instrText>
      <w:fldChar w:fldCharType="separate"/>
      <w:fldChar w:fldCharType="end"/>
    </w:r>
    <w:r>
      <w:t xml:space="preserve"> of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ACME CORP • ENGINEERING STRATEGY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E293B"/>
        <w:sz w:val="22"/>
        <w:szCs w:val="22"/>
        <w:rFonts w:ascii="Calibri" w:cs="Calibri" w:eastAsia="Calibri" w:hAnsi="Calibri"/>
      </w:rPr>
    </w:rPrDefault>
    <w:pPrDefault>
      <w:pPr>
        <w:spacing w:line="32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180"/>
    </w:pPr>
    <w:rPr>
      <w:b/>
      <w:bCs/>
      <w:color w:val="0F172A"/>
      <w:sz w:val="36"/>
      <w:szCs w:val="36"/>
      <w:rFonts w:ascii="Calibri" w:cs="Calibri" w:eastAsia="Calibri" w:hAnsi="Calibri"/>
    </w:rPr>
  </w:style>
  <w:style w:type="paragraph" w:styleId="Heading2">
    <w:name w:val="Heading 2"/>
    <w:basedOn w:val="Normal"/>
    <w:next w:val="Normal"/>
    <w:qFormat/>
    <w:pPr>
      <w:spacing w:before="280" w:after="140"/>
    </w:pPr>
    <w:rPr>
      <w:b/>
      <w:bCs/>
      <w:color w:val="0F172A"/>
      <w:sz w:val="28"/>
      <w:szCs w:val="28"/>
      <w:rFonts w:ascii="Calibri" w:cs="Calibri" w:eastAsia="Calibri" w:hAnsi="Calibri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2563EB"/>
      <w:sz w:val="24"/>
      <w:szCs w:val="24"/>
      <w:rFonts w:ascii="Calibri" w:cs="Calibri" w:eastAsia="Calibri" w:hAnsi="Calibri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2026-09-03T17:56:12.928Z</dcterms:created>
  <dcterms:modified xsi:type="dcterms:W3CDTF">2026-09-03T17:56:12.929Z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