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5308A"/>
          <w:sz w:val="17"/>
        </w:rPr>
        <w:t>CONFIDENTIAL BUSINESS PROPOSAL</w:t>
      </w:r>
    </w:p>
    <w:p>
      <w:pPr>
        <w:pStyle w:val="Title"/>
        <w:jc w:val="center"/>
      </w:pPr>
      <w:r>
        <w:rPr>
          <w:b w:val="0"/>
        </w:rPr>
        <w:t>AI Intelligence Module</w:t>
      </w:r>
    </w:p>
    <w:p>
      <w:pPr>
        <w:jc w:val="center"/>
      </w:pPr>
      <w:r>
        <w:rPr>
          <w:b w:val="0"/>
          <w:sz w:val="21"/>
        </w:rPr>
        <w:t>A secure, source-grounded AI assistant for the Client's business management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Proposal detail</w:t>
            </w:r>
          </w:p>
        </w:tc>
        <w:tc>
          <w:tcPr>
            <w:tcW w:type="dxa" w:w="4706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70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Prepared for</w:t>
            </w:r>
          </w:p>
        </w:tc>
        <w:tc>
          <w:tcPr>
            <w:tcW w:type="dxa" w:w="470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Client Management Team</w:t>
            </w:r>
          </w:p>
        </w:tc>
      </w:tr>
      <w:tr>
        <w:tc>
          <w:tcPr>
            <w:tcW w:type="dxa" w:w="4706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Prepared by</w:t>
            </w:r>
          </w:p>
        </w:tc>
        <w:tc>
          <w:tcPr>
            <w:tcW w:type="dxa" w:w="4706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AGI Innovations Private Limited</w:t>
            </w:r>
          </w:p>
        </w:tc>
      </w:tr>
      <w:tr>
        <w:tc>
          <w:tcPr>
            <w:tcW w:type="dxa" w:w="470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Proposal date</w:t>
            </w:r>
          </w:p>
        </w:tc>
        <w:tc>
          <w:tcPr>
            <w:tcW w:type="dxa" w:w="470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25 September 2026</w:t>
            </w:r>
          </w:p>
        </w:tc>
      </w:tr>
      <w:tr>
        <w:tc>
          <w:tcPr>
            <w:tcW w:type="dxa" w:w="4706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Estimated delivery</w:t>
            </w:r>
          </w:p>
        </w:tc>
        <w:tc>
          <w:tcPr>
            <w:tcW w:type="dxa" w:w="4706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3-5 weeks from approved data readiness</w:t>
            </w:r>
          </w:p>
        </w:tc>
      </w:tr>
      <w:tr>
        <w:tc>
          <w:tcPr>
            <w:tcW w:type="dxa" w:w="470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Implementation fee</w:t>
            </w:r>
          </w:p>
        </w:tc>
        <w:tc>
          <w:tcPr>
            <w:tcW w:type="dxa" w:w="470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USD 2,500 / PKR equivalent at invoice date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b/>
          <w:color w:val="32156F"/>
          <w:sz w:val="20"/>
        </w:rPr>
        <w:t>Give authorised users faster access to approved business knowledge and permitted operational information - without compromising branch, role or data boundaries.</w:t>
      </w:r>
    </w:p>
    <w:p>
      <w:r>
        <w:br w:type="page"/>
      </w:r>
    </w:p>
    <w:p>
      <w:pPr>
        <w:pStyle w:val="Heading1"/>
        <w:jc w:val="left"/>
      </w:pPr>
      <w:r>
        <w:rPr>
          <w:b w:val="0"/>
        </w:rPr>
        <w:t>1. Executive Summary</w:t>
      </w:r>
    </w:p>
    <w:p>
      <w:pPr>
        <w:jc w:val="left"/>
      </w:pPr>
      <w:r>
        <w:rPr>
          <w:b w:val="0"/>
        </w:rPr>
        <w:t>AGI Innovations proposes a controlled AI Intelligence Module integrated into the Client's existing business management system. The assistant retrieves answers from approved documents and permitted business records, allowing natural-language search and summaries while preserving user and branch permissions.</w:t>
      </w:r>
    </w:p>
    <w:p>
      <w:pPr>
        <w:pStyle w:val="ListBullet"/>
        <w:spacing w:after="40"/>
      </w:pPr>
      <w:r>
        <w:t>This is a RAG solution, not a new model trained from scratch.</w:t>
      </w:r>
    </w:p>
    <w:p>
      <w:pPr>
        <w:pStyle w:val="ListBullet"/>
        <w:spacing w:after="40"/>
      </w:pPr>
      <w:r>
        <w:t>Users receive source-referenced answers from approved material.</w:t>
      </w:r>
    </w:p>
    <w:p>
      <w:pPr>
        <w:pStyle w:val="ListBullet"/>
        <w:spacing w:after="40"/>
      </w:pPr>
      <w:r>
        <w:t>Branch and role controls remain in force.</w:t>
      </w:r>
    </w:p>
    <w:p>
      <w:pPr>
        <w:pStyle w:val="ListBullet"/>
        <w:spacing w:after="40"/>
      </w:pPr>
      <w:r>
        <w:t>The module assists users; it does not replace human decision-making.</w:t>
      </w:r>
    </w:p>
    <w:p>
      <w:r>
        <w:br w:type="page"/>
      </w:r>
    </w:p>
    <w:p>
      <w:pPr>
        <w:pStyle w:val="Heading1"/>
        <w:jc w:val="left"/>
      </w:pPr>
      <w:r>
        <w:rPr>
          <w:b w:val="0"/>
        </w:rPr>
        <w:t>2. Included Scope</w:t>
      </w:r>
    </w:p>
    <w:p>
      <w:pPr>
        <w:jc w:val="left"/>
      </w:pPr>
      <w:r>
        <w:rPr>
          <w:b w:val="0"/>
        </w:rPr>
        <w:t>The v1 module includes an integrated chat experience, ingestion/indexing of approved documents and agreed records, role/branch-aware retrieval, source citations, safe fallback, read-only insights, testing and administrator handover.</w:t>
      </w:r>
    </w:p>
    <w:p>
      <w:pPr>
        <w:pStyle w:val="ListBullet"/>
        <w:spacing w:after="40"/>
      </w:pPr>
      <w:r>
        <w:t>Ask questions across approved SOPs, policies, product information and internal knowledge.</w:t>
      </w:r>
    </w:p>
    <w:p>
      <w:pPr>
        <w:pStyle w:val="ListBullet"/>
        <w:spacing w:after="40"/>
      </w:pPr>
      <w:r>
        <w:t>Summarise relevant permitted records and operational information.</w:t>
      </w:r>
    </w:p>
    <w:p>
      <w:pPr>
        <w:pStyle w:val="ListBullet"/>
        <w:spacing w:after="40"/>
      </w:pPr>
      <w:r>
        <w:t>Guide users to the relevant process, record or source document.</w:t>
      </w:r>
    </w:p>
    <w:p>
      <w:pPr>
        <w:pStyle w:val="ListBullet"/>
        <w:spacing w:after="40"/>
      </w:pPr>
      <w:r>
        <w:t>Test against real Client questions before controlled launch.</w:t>
      </w:r>
    </w:p>
    <w:p>
      <w:r>
        <w:br w:type="page"/>
      </w:r>
    </w:p>
    <w:p>
      <w:pPr>
        <w:pStyle w:val="Heading1"/>
        <w:jc w:val="left"/>
      </w:pPr>
      <w:r>
        <w:rPr>
          <w:b w:val="0"/>
        </w:rPr>
        <w:t>3. Data Security &amp; Guardrails</w:t>
      </w:r>
    </w:p>
    <w:p>
      <w:pPr>
        <w:jc w:val="left"/>
      </w:pPr>
      <w:r>
        <w:rPr>
          <w:b w:val="0"/>
        </w:rPr>
        <w:t>Only sources approved by the Client's nominated data owner will be indexed. Retrieval follows existing permissions. The initial release will not create, change, approve or post business transactions.</w:t>
      </w:r>
    </w:p>
    <w:p>
      <w:pPr>
        <w:pStyle w:val="ListBullet"/>
        <w:spacing w:after="40"/>
      </w:pPr>
      <w:r>
        <w:t>Source references help users verify responses.</w:t>
      </w:r>
    </w:p>
    <w:p>
      <w:pPr>
        <w:pStyle w:val="ListBullet"/>
        <w:spacing w:after="40"/>
      </w:pPr>
      <w:r>
        <w:t>The assistant can decline when approved sources do not support an answer.</w:t>
      </w:r>
    </w:p>
    <w:p>
      <w:pPr>
        <w:pStyle w:val="ListBullet"/>
        <w:spacing w:after="40"/>
      </w:pPr>
      <w:r>
        <w:t>Human users and designated approvers remain responsible for business decisions.</w:t>
      </w:r>
    </w:p>
    <w:p>
      <w:pPr>
        <w:pStyle w:val="ListBullet"/>
        <w:spacing w:after="40"/>
      </w:pPr>
      <w:r>
        <w:t>Extensive data cleansing and private/on-premise model infrastructure require separate scope.</w:t>
      </w:r>
    </w:p>
    <w:p>
      <w:r>
        <w:br w:type="page"/>
      </w:r>
    </w:p>
    <w:p>
      <w:pPr>
        <w:pStyle w:val="Heading1"/>
        <w:jc w:val="left"/>
      </w:pPr>
      <w:r>
        <w:rPr>
          <w:b w:val="0"/>
        </w:rPr>
        <w:t>4. Delivery Plan</w:t>
      </w:r>
    </w:p>
    <w:p>
      <w:pPr>
        <w:jc w:val="left"/>
      </w:pPr>
      <w:r>
        <w:rPr>
          <w:b w:val="0"/>
        </w:rPr>
        <w:t>Estimated delivery is three to five weeks: Week 1 discovery and source/permission design; Weeks 2-3 build and integration; Week 4 evaluation and refinement; Week 5 controlled launch if required.</w:t>
      </w:r>
    </w:p>
    <w:p>
      <w:pPr>
        <w:pStyle w:val="ListBullet"/>
        <w:spacing w:after="40"/>
      </w:pPr>
      <w:r>
        <w:t>The Client nominates a project owner and AI data owner.</w:t>
      </w:r>
    </w:p>
    <w:p>
      <w:pPr>
        <w:pStyle w:val="ListBullet"/>
        <w:spacing w:after="40"/>
      </w:pPr>
      <w:r>
        <w:t>The Client provides approved source documents, user groups and access decisions.</w:t>
      </w:r>
    </w:p>
    <w:p>
      <w:pPr>
        <w:pStyle w:val="ListBullet"/>
        <w:spacing w:after="40"/>
      </w:pPr>
      <w:r>
        <w:t>The Client validates a practical set of real business questions for UAT.</w:t>
      </w:r>
    </w:p>
    <w:p>
      <w:r>
        <w:br w:type="page"/>
      </w:r>
    </w:p>
    <w:p>
      <w:pPr>
        <w:pStyle w:val="Heading1"/>
        <w:jc w:val="left"/>
      </w:pPr>
      <w:r>
        <w:rPr>
          <w:b w:val="0"/>
        </w:rPr>
        <w:t>5. Commercial Proposal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Commercial item</w:t>
            </w:r>
          </w:p>
        </w:tc>
        <w:tc>
          <w:tcPr>
            <w:tcW w:type="dxa" w:w="4706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70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AI Intelligence Module - one-time implementation</w:t>
            </w:r>
          </w:p>
        </w:tc>
        <w:tc>
          <w:tcPr>
            <w:tcW w:type="dxa" w:w="470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USD 2,500 / PKR equivalent at invoice date</w:t>
            </w:r>
          </w:p>
        </w:tc>
      </w:tr>
      <w:tr>
        <w:tc>
          <w:tcPr>
            <w:tcW w:type="dxa" w:w="4706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Implementation period</w:t>
            </w:r>
          </w:p>
        </w:tc>
        <w:tc>
          <w:tcPr>
            <w:tcW w:type="dxa" w:w="4706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3-5 weeks from approved data readiness</w:t>
            </w:r>
          </w:p>
        </w:tc>
      </w:tr>
      <w:tr>
        <w:tc>
          <w:tcPr>
            <w:tcW w:type="dxa" w:w="470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Included post-launch support</w:t>
            </w:r>
          </w:p>
        </w:tc>
        <w:tc>
          <w:tcPr>
            <w:tcW w:type="dxa" w:w="470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30 calendar days of remote warranty support for delivered-scope defects</w:t>
            </w:r>
          </w:p>
        </w:tc>
      </w:tr>
      <w:tr>
        <w:tc>
          <w:tcPr>
            <w:tcW w:type="dxa" w:w="4706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Taxes</w:t>
            </w:r>
          </w:p>
        </w:tc>
        <w:tc>
          <w:tcPr>
            <w:tcW w:type="dxa" w:w="4706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Excluded; charged as required by law</w:t>
            </w:r>
          </w:p>
        </w:tc>
      </w:tr>
    </w:tbl>
    <w:p>
      <w:pPr>
        <w:spacing w:after="20"/>
      </w:pPr>
    </w:p>
    <w:p>
      <w:pPr>
        <w:pStyle w:val="Heading2"/>
        <w:jc w:val="left"/>
      </w:pPr>
      <w:r>
        <w:rPr>
          <w:b w:val="0"/>
        </w:rPr>
        <w:t>Payment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Milestone</w:t>
            </w:r>
          </w:p>
        </w:tc>
        <w:tc>
          <w:tcPr>
            <w:tcW w:type="dxa" w:w="3137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Share</w:t>
            </w:r>
          </w:p>
        </w:tc>
        <w:tc>
          <w:tcPr>
            <w:tcW w:type="dxa" w:w="3137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Amount</w:t>
            </w:r>
          </w:p>
        </w:tc>
      </w:tr>
      <w:tr>
        <w:tc>
          <w:tcPr>
            <w:tcW w:type="dxa" w:w="31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Kickoff and AI discovery</w:t>
            </w:r>
          </w:p>
        </w:tc>
        <w:tc>
          <w:tcPr>
            <w:tcW w:type="dxa" w:w="31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50%</w:t>
            </w:r>
          </w:p>
        </w:tc>
        <w:tc>
          <w:tcPr>
            <w:tcW w:type="dxa" w:w="31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USD 1,250</w:t>
            </w:r>
          </w:p>
        </w:tc>
      </w:tr>
      <w:tr>
        <w:tc>
          <w:tcPr>
            <w:tcW w:type="dxa" w:w="3137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UAT-ready solution</w:t>
            </w:r>
          </w:p>
        </w:tc>
        <w:tc>
          <w:tcPr>
            <w:tcW w:type="dxa" w:w="3137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30%</w:t>
            </w:r>
          </w:p>
        </w:tc>
        <w:tc>
          <w:tcPr>
            <w:tcW w:type="dxa" w:w="3137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USD 750</w:t>
            </w:r>
          </w:p>
        </w:tc>
      </w:tr>
      <w:tr>
        <w:tc>
          <w:tcPr>
            <w:tcW w:type="dxa" w:w="31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Controlled launch and handover</w:t>
            </w:r>
          </w:p>
        </w:tc>
        <w:tc>
          <w:tcPr>
            <w:tcW w:type="dxa" w:w="31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20%</w:t>
            </w:r>
          </w:p>
        </w:tc>
        <w:tc>
          <w:tcPr>
            <w:tcW w:type="dxa" w:w="31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USD 500</w:t>
            </w:r>
          </w:p>
        </w:tc>
      </w:tr>
    </w:tbl>
    <w:p>
      <w:pPr>
        <w:spacing w:after="20"/>
      </w:pPr>
    </w:p>
    <w:p>
      <w:pPr>
        <w:pStyle w:val="Heading2"/>
        <w:jc w:val="left"/>
      </w:pPr>
      <w:r>
        <w:rPr>
          <w:b w:val="0"/>
        </w:rPr>
        <w:t>Recurring services</w:t>
      </w:r>
    </w:p>
    <w:p>
      <w:pPr>
        <w:jc w:val="left"/>
      </w:pPr>
      <w:r>
        <w:rPr>
          <w:b w:val="0"/>
        </w:rPr>
        <w:t>Model/API usage, cloud hosting, vector database, domain and third-party service charges are excluded and charged separately based on selected providers and actual usage.</w:t>
      </w:r>
    </w:p>
    <w:p>
      <w:pPr>
        <w:pStyle w:val="Heading1"/>
        <w:jc w:val="left"/>
      </w:pPr>
      <w:r>
        <w:rPr>
          <w:b w:val="0"/>
        </w:rPr>
        <w:t>6. Acceptance &amp; Next Decision</w:t>
      </w:r>
    </w:p>
    <w:p>
      <w:pPr>
        <w:jc w:val="left"/>
      </w:pPr>
      <w:r>
        <w:rPr>
          <w:b w:val="0"/>
        </w:rPr>
        <w:t>The solution is accepted when it demonstrates the agreed core use cases, observes permission controls, returns source-referenced responses where relevant, and completes the jointly approved evaluation questions.</w:t>
      </w:r>
    </w:p>
    <w:p>
      <w:pPr>
        <w:pStyle w:val="Heading2"/>
        <w:jc w:val="left"/>
      </w:pPr>
      <w:r>
        <w:rPr>
          <w:b w:val="0"/>
        </w:rPr>
        <w:t>Recommended Decision</w:t>
      </w:r>
    </w:p>
    <w:p>
      <w:pPr>
        <w:jc w:val="left"/>
      </w:pPr>
      <w:r>
        <w:rPr>
          <w:b w:val="0"/>
        </w:rPr>
        <w:t>Approve the AI Intelligence Module, nominate the project and data owners, and schedule the discovery session to confirm sources, access controls and the evaluation question 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For AGI Innovations Private Limited</w:t>
            </w:r>
          </w:p>
        </w:tc>
        <w:tc>
          <w:tcPr>
            <w:tcW w:type="dxa" w:w="4706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For the Client</w:t>
            </w:r>
          </w:p>
        </w:tc>
      </w:tr>
      <w:tr>
        <w:tc>
          <w:tcPr>
            <w:tcW w:type="dxa" w:w="470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br/>
              <w:br/>
              <w:t>Authorised Signatory</w:t>
              <w:br/>
              <w:t>Name: __________________________</w:t>
              <w:br/>
              <w:t>Date: __________________________</w:t>
            </w:r>
          </w:p>
        </w:tc>
        <w:tc>
          <w:tcPr>
            <w:tcW w:type="dxa" w:w="470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br/>
              <w:br/>
              <w:t>Authorised Signatory</w:t>
              <w:br/>
              <w:t>Name: __________________________</w:t>
              <w:br/>
              <w:t>Date: __________________________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2721" w:right="1247" w:bottom="1191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7560000" cy="48774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gi_ai_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48774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7560000" cy="17070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gi_ai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70709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124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2156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2156F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32156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