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308A"/>
          <w:sz w:val="17"/>
        </w:rPr>
        <w:t>CONFIDENTIAL BUSINESS PROPOSAL</w:t>
      </w:r>
    </w:p>
    <w:p>
      <w:pPr>
        <w:pStyle w:val="Title"/>
        <w:jc w:val="center"/>
      </w:pPr>
      <w:r>
        <w:rPr>
          <w:b w:val="0"/>
        </w:rPr>
        <w:t>Integrated ERP &amp; AI Business Management System</w:t>
      </w:r>
    </w:p>
    <w:p>
      <w:pPr>
        <w:jc w:val="center"/>
      </w:pPr>
      <w:r>
        <w:rPr>
          <w:b w:val="0"/>
          <w:sz w:val="21"/>
        </w:rPr>
        <w:t>A secure multi-branch ERP platform with a grounded AI Intelligence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Proposal detail</w:t>
            </w:r>
          </w:p>
        </w:tc>
        <w:tc>
          <w:tcPr>
            <w:tcW w:type="dxa" w:w="4706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Prepared for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Client Management Team</w:t>
            </w:r>
          </w:p>
        </w:tc>
      </w:tr>
      <w:tr>
        <w:tc>
          <w:tcPr>
            <w:tcW w:type="dxa" w:w="4706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Prepared by</w:t>
            </w:r>
          </w:p>
        </w:tc>
        <w:tc>
          <w:tcPr>
            <w:tcW w:type="dxa" w:w="4706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AGI Innovations Private Limited</w:t>
            </w:r>
          </w:p>
        </w:tc>
      </w:tr>
      <w:tr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Proposal date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25 September 2026</w:t>
            </w:r>
          </w:p>
        </w:tc>
      </w:tr>
      <w:tr>
        <w:tc>
          <w:tcPr>
            <w:tcW w:type="dxa" w:w="4706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Phase 1 delivery</w:t>
            </w:r>
          </w:p>
        </w:tc>
        <w:tc>
          <w:tcPr>
            <w:tcW w:type="dxa" w:w="4706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8 weeks from project kickoff</w:t>
            </w:r>
          </w:p>
        </w:tc>
      </w:tr>
      <w:tr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Phase 2 delivery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3-5 weeks after approved data readiness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  <w:color w:val="32156F"/>
          <w:sz w:val="20"/>
        </w:rPr>
        <w:t>A phased operating platform that enables independent branch operations, central visibility and safe access to approved business knowledge through AI.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1. What the Client Is Building</w:t>
      </w:r>
    </w:p>
    <w:p>
      <w:pPr>
        <w:jc w:val="left"/>
      </w:pPr>
      <w:r>
        <w:rPr>
          <w:b w:val="0"/>
        </w:rPr>
        <w:t>The Client requires one cloud-based business management system for multiple branches. Islamabad, Lahore and Karachi will operate within their own data boundaries, while approved management users can see consolidated information. A second phase will add an AI assistant that retrieves answers from approved company material and permitted ERP data.</w:t>
      </w:r>
    </w:p>
    <w:p>
      <w:pPr>
        <w:pStyle w:val="ListBullet"/>
        <w:spacing w:after="40"/>
      </w:pPr>
      <w:r>
        <w:t>Single source of truth for sales, stock, service, procurement and finance operations.</w:t>
      </w:r>
    </w:p>
    <w:p>
      <w:pPr>
        <w:pStyle w:val="ListBullet"/>
        <w:spacing w:after="40"/>
      </w:pPr>
      <w:r>
        <w:t>Branch-level data separation, permissions and reporting.</w:t>
      </w:r>
    </w:p>
    <w:p>
      <w:pPr>
        <w:pStyle w:val="ListBullet"/>
        <w:spacing w:after="40"/>
      </w:pPr>
      <w:r>
        <w:t>Consolidated management dashboards for authorised leadership users.</w:t>
      </w:r>
    </w:p>
    <w:p>
      <w:pPr>
        <w:pStyle w:val="ListBullet"/>
        <w:spacing w:after="40"/>
      </w:pPr>
      <w:r>
        <w:t>Faster access to approved knowledge through a source-grounded AI assistant.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2. Phase 1 - Multi-Branch ERP</w:t>
      </w:r>
    </w:p>
    <w:p>
      <w:pPr>
        <w:jc w:val="left"/>
      </w:pPr>
      <w:r>
        <w:rPr>
          <w:b w:val="0"/>
        </w:rPr>
        <w:t>Phase 1 converts the current ERP experience into a production-ready platform for Islamabad, Lahore and Karachi. It includes central data persistence, secure authentication, role/branch controls, sales, inventory, procurement, service, finance, reports, migration assistance, UAT, training and launch support.</w:t>
      </w:r>
    </w:p>
    <w:p>
      <w:pPr>
        <w:pStyle w:val="ListBullet"/>
        <w:spacing w:after="40"/>
      </w:pPr>
      <w:r>
        <w:t>Branch users see only assigned records by default.</w:t>
      </w:r>
    </w:p>
    <w:p>
      <w:pPr>
        <w:pStyle w:val="ListBullet"/>
        <w:spacing w:after="40"/>
      </w:pPr>
      <w:r>
        <w:t>Management can receive consolidated visibility without unrestricted user access.</w:t>
      </w:r>
    </w:p>
    <w:p>
      <w:pPr>
        <w:pStyle w:val="ListBullet"/>
        <w:spacing w:after="40"/>
      </w:pPr>
      <w:r>
        <w:t>Additional branches follow the same governed model and are separately configured.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3. Phase 2 - AI Intelligence Module</w:t>
      </w:r>
    </w:p>
    <w:p>
      <w:pPr>
        <w:jc w:val="left"/>
      </w:pPr>
      <w:r>
        <w:rPr>
          <w:b w:val="0"/>
        </w:rPr>
        <w:t>The AI module is a controlled retrieval-augmented generation (RAG) assistant, not a new model trained from scratch. It retrieves approved documents and permitted ERP data at answer time and provides source references.</w:t>
      </w:r>
    </w:p>
    <w:p>
      <w:pPr>
        <w:pStyle w:val="ListBullet"/>
        <w:spacing w:after="40"/>
      </w:pPr>
      <w:r>
        <w:t>ERP-integrated chat interface and approved document/SOP ingestion.</w:t>
      </w:r>
    </w:p>
    <w:p>
      <w:pPr>
        <w:pStyle w:val="ListBullet"/>
        <w:spacing w:after="40"/>
      </w:pPr>
      <w:r>
        <w:t>Role- and branch-aware retrieval with safe fallback when support is missing.</w:t>
      </w:r>
    </w:p>
    <w:p>
      <w:pPr>
        <w:pStyle w:val="ListBullet"/>
        <w:spacing w:after="40"/>
      </w:pPr>
      <w:r>
        <w:t>Read-only v1 search, summaries and operational insights; no autonomous transaction edits or approvals.</w:t>
      </w:r>
    </w:p>
    <w:p>
      <w:pPr>
        <w:pStyle w:val="ListBullet"/>
        <w:spacing w:after="40"/>
      </w:pPr>
      <w:r>
        <w:t>Joint evaluation against agreed business questions and administrator handover.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4. Delivery &amp; Governance</w:t>
      </w:r>
    </w:p>
    <w:p>
      <w:pPr>
        <w:jc w:val="left"/>
      </w:pPr>
      <w:r>
        <w:rPr>
          <w:b w:val="0"/>
        </w:rPr>
        <w:t>Phase 1 runs for eight weeks. Phase 2 requires a further three to five weeks after approved data readiness. The Client provides a project owner, branch key users, an AI data owner, approved sources, a permissions matrix and timely UAT feedback.</w:t>
      </w:r>
    </w:p>
    <w:p>
      <w:pPr>
        <w:pStyle w:val="ListBullet"/>
        <w:spacing w:after="40"/>
      </w:pPr>
      <w:r>
        <w:t>ERP discovery and blueprint: Week 1; build, UAT and go-live: Weeks 2-8.</w:t>
      </w:r>
    </w:p>
    <w:p>
      <w:pPr>
        <w:pStyle w:val="ListBullet"/>
        <w:spacing w:after="40"/>
      </w:pPr>
      <w:r>
        <w:t>AI data/guardrail workshop: Phase 2 Week 1; build, evaluation and controlled launch: Weeks 2-5.</w:t>
      </w:r>
    </w:p>
    <w:p>
      <w:pPr>
        <w:pStyle w:val="ListBullet"/>
        <w:spacing w:after="40"/>
      </w:pPr>
      <w:r>
        <w:t>Scope changes require written approval with delivery and cost impact.</w:t>
      </w:r>
    </w:p>
    <w:p>
      <w:r>
        <w:br w:type="page"/>
      </w:r>
    </w:p>
    <w:p>
      <w:pPr>
        <w:pStyle w:val="Heading1"/>
        <w:jc w:val="left"/>
      </w:pPr>
      <w:r>
        <w:rPr>
          <w:b w:val="0"/>
        </w:rPr>
        <w:t>5. Commercial Proposal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Investment</w:t>
            </w:r>
          </w:p>
        </w:tc>
        <w:tc>
          <w:tcPr>
            <w:tcW w:type="dxa" w:w="3137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Fee</w:t>
            </w:r>
          </w:p>
        </w:tc>
        <w:tc>
          <w:tcPr>
            <w:tcW w:type="dxa" w:w="3137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Included</w:t>
            </w:r>
          </w:p>
        </w:tc>
      </w:tr>
      <w:tr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Phase 1: Multi-Branch ERP</w:t>
            </w:r>
          </w:p>
        </w:tc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PKR 1,200,000</w:t>
            </w:r>
          </w:p>
        </w:tc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Initial Islamabad, Lahore and Karachi rollout.</w:t>
            </w:r>
          </w:p>
        </w:tc>
      </w:tr>
      <w:tr>
        <w:tc>
          <w:tcPr>
            <w:tcW w:type="dxa" w:w="3137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Phase 2: AI Intelligence Module</w:t>
            </w:r>
          </w:p>
        </w:tc>
        <w:tc>
          <w:tcPr>
            <w:tcW w:type="dxa" w:w="3137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USD 2,500 / PKR equivalent at invoice date</w:t>
            </w:r>
          </w:p>
        </w:tc>
        <w:tc>
          <w:tcPr>
            <w:tcW w:type="dxa" w:w="3137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Controlled RAG assistant, ERP integration, access controls, evaluation and launch.</w:t>
            </w:r>
          </w:p>
        </w:tc>
      </w:tr>
      <w:tr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Taxes</w:t>
            </w:r>
          </w:p>
        </w:tc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Excluded</w:t>
            </w:r>
          </w:p>
        </w:tc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Applicable taxes charged as required by law.</w:t>
            </w:r>
          </w:p>
        </w:tc>
      </w:tr>
      <w:tr>
        <w:tc>
          <w:tcPr>
            <w:tcW w:type="dxa" w:w="3137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Recurring services</w:t>
            </w:r>
          </w:p>
        </w:tc>
        <w:tc>
          <w:tcPr>
            <w:tcW w:type="dxa" w:w="3137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Excluded</w:t>
            </w:r>
          </w:p>
        </w:tc>
        <w:tc>
          <w:tcPr>
            <w:tcW w:type="dxa" w:w="3137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LLM/API, hosting, vector database and third-party service charges.</w:t>
            </w:r>
          </w:p>
        </w:tc>
      </w:tr>
    </w:tbl>
    <w:p>
      <w:pPr>
        <w:spacing w:after="20"/>
      </w:pPr>
    </w:p>
    <w:p>
      <w:pPr>
        <w:pStyle w:val="Heading2"/>
        <w:jc w:val="left"/>
      </w:pPr>
      <w:r>
        <w:rPr>
          <w:b w:val="0"/>
        </w:rPr>
        <w:t>Payment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3137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Phase 1 ERP</w:t>
            </w:r>
          </w:p>
        </w:tc>
        <w:tc>
          <w:tcPr>
            <w:tcW w:type="dxa" w:w="3137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Phase 2 AI</w:t>
            </w:r>
          </w:p>
        </w:tc>
      </w:tr>
      <w:tr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Kickoff &amp; discovery</w:t>
            </w:r>
          </w:p>
        </w:tc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40% - PKR 480,000</w:t>
            </w:r>
          </w:p>
        </w:tc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50% - USD 1,250</w:t>
            </w:r>
          </w:p>
        </w:tc>
      </w:tr>
      <w:tr>
        <w:tc>
          <w:tcPr>
            <w:tcW w:type="dxa" w:w="3137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UAT-ready solution</w:t>
            </w:r>
          </w:p>
        </w:tc>
        <w:tc>
          <w:tcPr>
            <w:tcW w:type="dxa" w:w="3137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40% - PKR 480,000</w:t>
            </w:r>
          </w:p>
        </w:tc>
        <w:tc>
          <w:tcPr>
            <w:tcW w:type="dxa" w:w="3137"/>
            <w:shd w:fill="F1EDF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30% - USD 750</w:t>
            </w:r>
          </w:p>
        </w:tc>
      </w:tr>
      <w:tr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Go-live &amp; handover</w:t>
            </w:r>
          </w:p>
        </w:tc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20% - PKR 240,000</w:t>
            </w:r>
          </w:p>
        </w:tc>
        <w:tc>
          <w:tcPr>
            <w:tcW w:type="dxa" w:w="31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20% - USD 500</w:t>
            </w:r>
          </w:p>
        </w:tc>
      </w:tr>
    </w:tbl>
    <w:p>
      <w:pPr>
        <w:spacing w:after="20"/>
      </w:pPr>
    </w:p>
    <w:p>
      <w:pPr>
        <w:pStyle w:val="Heading1"/>
        <w:jc w:val="left"/>
      </w:pPr>
      <w:r>
        <w:rPr>
          <w:b w:val="0"/>
        </w:rPr>
        <w:t>6. Assumptions, Support &amp; Next Decision</w:t>
      </w:r>
    </w:p>
    <w:p>
      <w:pPr>
        <w:jc w:val="left"/>
      </w:pPr>
      <w:r>
        <w:rPr>
          <w:b w:val="0"/>
        </w:rPr>
        <w:t>Each phase includes 30 calendar days of remote warranty support for delivered-scope defects. Additional branches, third-party integrations, extensive historical migration, private/on-prem model hosting, autonomous AI actions and ongoing services are separately scoped.</w:t>
      </w:r>
    </w:p>
    <w:p>
      <w:pPr>
        <w:pStyle w:val="Heading2"/>
        <w:jc w:val="left"/>
      </w:pPr>
      <w:r>
        <w:rPr>
          <w:b w:val="0"/>
        </w:rPr>
        <w:t>Recommended Decision</w:t>
      </w:r>
    </w:p>
    <w:p>
      <w:pPr>
        <w:jc w:val="left"/>
      </w:pPr>
      <w:r>
        <w:rPr>
          <w:b w:val="0"/>
        </w:rPr>
        <w:t>Approve Phase 1, nominate the Client project owner and branch key users, and schedule the discovery workshop. Approve Phase 2 after the data sources, access matrix and AI evaluation questions are validated.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 AGI Innovations Private Limited</w:t>
            </w:r>
          </w:p>
        </w:tc>
        <w:tc>
          <w:tcPr>
            <w:tcW w:type="dxa" w:w="4706"/>
            <w:shd w:fill="32156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 the Client</w:t>
            </w:r>
          </w:p>
        </w:tc>
      </w:tr>
      <w:tr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br/>
              <w:br/>
              <w:t>Authorised Signatory</w:t>
              <w:br/>
              <w:t>Name: __________________________</w:t>
              <w:br/>
              <w:t>Date: __________________________</w:t>
            </w:r>
          </w:p>
        </w:tc>
        <w:tc>
          <w:tcPr>
            <w:tcW w:type="dxa" w:w="470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br/>
              <w:br/>
              <w:t>Authorised Signatory</w:t>
              <w:br/>
              <w:t>Name: __________________________</w:t>
              <w:br/>
              <w:t>Date: 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721" w:right="1247" w:bottom="119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7560000" cy="4877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gi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48774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7560000" cy="17070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gi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70709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2156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2156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2156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