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308A"/>
          <w:sz w:val="17"/>
        </w:rPr>
        <w:t>CONFIDENTIAL BUSINESS PROPOSAL</w:t>
      </w:r>
    </w:p>
    <w:p>
      <w:pPr>
        <w:pStyle w:val="Title"/>
        <w:jc w:val="center"/>
      </w:pPr>
      <w:r>
        <w:rPr>
          <w:b w:val="0"/>
        </w:rPr>
        <w:t>Multi-Branch ERP Upgrade &amp; Implementation</w:t>
      </w:r>
    </w:p>
    <w:p>
      <w:pPr>
        <w:jc w:val="center"/>
      </w:pPr>
      <w:r>
        <w:rPr>
          <w:b w:val="0"/>
          <w:sz w:val="21"/>
        </w:rPr>
        <w:t>A secure, branch-aware operating platform for sales, service, inventory, procurement and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Prepared for</w:t>
            </w:r>
          </w:p>
        </w:tc>
        <w:tc>
          <w:tcPr>
            <w:tcW w:type="dxa" w:w="6350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Client Management Team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Prepared by</w:t>
            </w:r>
          </w:p>
        </w:tc>
        <w:tc>
          <w:tcPr>
            <w:tcW w:type="dxa" w:w="635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AGI Innovations Private Limited</w:t>
            </w:r>
          </w:p>
        </w:tc>
      </w:tr>
      <w:tr>
        <w:tc>
          <w:tcPr>
            <w:tcW w:type="dxa" w:w="238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Proposal date</w:t>
            </w:r>
          </w:p>
        </w:tc>
        <w:tc>
          <w:tcPr>
            <w:tcW w:type="dxa" w:w="6350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25 September 2026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Implementation window</w:t>
            </w:r>
          </w:p>
        </w:tc>
        <w:tc>
          <w:tcPr>
            <w:tcW w:type="dxa" w:w="635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 weeks from project kickoff</w:t>
            </w:r>
          </w:p>
        </w:tc>
      </w:tr>
      <w:tr>
        <w:tc>
          <w:tcPr>
            <w:tcW w:type="dxa" w:w="238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Commercial offer</w:t>
            </w:r>
          </w:p>
        </w:tc>
        <w:tc>
          <w:tcPr>
            <w:tcW w:type="dxa" w:w="6350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PKR 1,200,000 (Twelve Lakh) excluding applicable taxes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32156F"/>
          <w:sz w:val="20"/>
        </w:rPr>
        <w:t>A practical, phased path from the current ERP prototype to a production-ready platform that lets each branch operate independently while management retains the visibility it needs.</w:t>
      </w:r>
    </w:p>
    <w:p>
      <w:pPr>
        <w:jc w:val="left"/>
      </w:pPr>
      <w:r>
        <w:rPr>
          <w:b w:val="0"/>
          <w:color w:val="5F6368"/>
          <w:sz w:val="15"/>
        </w:rPr>
        <w:t>This proposal is valid for 15 days from the proposal date.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1. Executive Summary</w:t>
      </w:r>
    </w:p>
    <w:p>
      <w:pPr>
        <w:jc w:val="left"/>
      </w:pPr>
      <w:r>
        <w:rPr>
          <w:b w:val="0"/>
        </w:rPr>
        <w:t>AGI Innovations proposes to upgrade the existing ERP workspace into a secure multi-branch business system for the Client. The solution will support an initial rollout across Islamabad, Lahore and Karachi, with a controlled model that keeps each branch's operational data separated while allowing authorised head-office users to access consolidated reports and oversight dashboards.</w:t>
      </w:r>
    </w:p>
    <w:p>
      <w:pPr>
        <w:pStyle w:val="Heading2"/>
        <w:jc w:val="left"/>
      </w:pPr>
      <w:r>
        <w:rPr>
          <w:b w:val="0"/>
        </w:rPr>
        <w:t>Business Outcomes</w:t>
      </w:r>
    </w:p>
    <w:p>
      <w:pPr>
        <w:pStyle w:val="ListBullet"/>
        <w:spacing w:after="40"/>
      </w:pPr>
      <w:r>
        <w:t>A single cloud-based ERP platform, accessible securely from authorised branch locations.</w:t>
      </w:r>
    </w:p>
    <w:p>
      <w:pPr>
        <w:pStyle w:val="ListBullet"/>
        <w:spacing w:after="40"/>
      </w:pPr>
      <w:r>
        <w:t>Branch-level separation for customers, quotations, orders, inventory, service activity and finance records.</w:t>
      </w:r>
    </w:p>
    <w:p>
      <w:pPr>
        <w:pStyle w:val="ListBullet"/>
        <w:spacing w:after="40"/>
      </w:pPr>
      <w:r>
        <w:t>Role-based access so branch teams see only the data and actions relevant to their assigned branch.</w:t>
      </w:r>
    </w:p>
    <w:p>
      <w:pPr>
        <w:pStyle w:val="ListBullet"/>
        <w:spacing w:after="40"/>
      </w:pPr>
      <w:r>
        <w:t>Head-office visibility through consolidated dashboards and reports.</w:t>
      </w:r>
    </w:p>
    <w:p>
      <w:pPr>
        <w:pStyle w:val="ListBullet"/>
        <w:spacing w:after="40"/>
      </w:pPr>
      <w:r>
        <w:t>A repeatable onboarding model for future branches without rebuilding the application.</w:t>
      </w:r>
    </w:p>
    <w:p>
      <w:pPr>
        <w:pStyle w:val="Heading2"/>
        <w:jc w:val="left"/>
      </w:pPr>
      <w:r>
        <w:rPr>
          <w:b w:val="0"/>
        </w:rPr>
        <w:t>Why This Approach</w:t>
      </w:r>
    </w:p>
    <w:p>
      <w:pPr>
        <w:jc w:val="left"/>
      </w:pPr>
      <w:r>
        <w:rPr>
          <w:b w:val="0"/>
        </w:rPr>
        <w:t>The current system already demonstrates the desired business workflows and user experience. The proposed engagement focuses investment on the production capabilities required for real operations: secure authentication, central database persistence, enforced permissions, auditability, branch-aware rules, migration, testing and go-live support.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2. Proposed Solution &amp; Scope</w:t>
      </w:r>
    </w:p>
    <w:p>
      <w:pPr>
        <w:jc w:val="left"/>
      </w:pPr>
      <w:r>
        <w:rPr>
          <w:b w:val="0"/>
        </w:rPr>
        <w:t>The implementation will deliver one ERP instance with an initial configuration for the Islamabad, Lahore and Karachi branches. Each transaction will be assigned to a branch and protected by branch-aware access rules. Authorised corporate users can view consolidated information; branch users will work within their own permitted data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6350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Included deliverables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Platform foundation</w:t>
            </w:r>
          </w:p>
        </w:tc>
        <w:tc>
          <w:tcPr>
            <w:tcW w:type="dxa" w:w="635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Production deployment; central database; secure sign-in; user roles; branch assignment; backup approach; audit-ready activity logging.</w:t>
            </w:r>
          </w:p>
        </w:tc>
      </w:tr>
      <w:tr>
        <w:tc>
          <w:tcPr>
            <w:tcW w:type="dxa" w:w="238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Branch operations</w:t>
            </w:r>
          </w:p>
        </w:tc>
        <w:tc>
          <w:tcPr>
            <w:tcW w:type="dxa" w:w="6350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Branch-specific customers, quotations, sales orders, deliveries, invoices, receipts, stock locations, service tickets, equipment and maintenance activity.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Commercial &amp; inventory</w:t>
            </w:r>
          </w:p>
        </w:tc>
        <w:tc>
          <w:tcPr>
            <w:tcW w:type="dxa" w:w="635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CRM; opportunities; quotations; order-to-delivery workflow; inventory, warehouses, transfers, batches/serials and stock visibility.</w:t>
            </w:r>
          </w:p>
        </w:tc>
      </w:tr>
      <w:tr>
        <w:tc>
          <w:tcPr>
            <w:tcW w:type="dxa" w:w="238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&amp; service</w:t>
            </w:r>
          </w:p>
        </w:tc>
        <w:tc>
          <w:tcPr>
            <w:tcW w:type="dxa" w:w="6350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Suppliers; purchase requests/orders; goods receipts; equipment records; engineers; tickets; contracts and maintenance scheduling.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Finance &amp; oversight</w:t>
            </w:r>
          </w:p>
        </w:tc>
        <w:tc>
          <w:tcPr>
            <w:tcW w:type="dxa" w:w="635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Invoices, receipts, expenses, receivables, management dashboards, branch and consolidated reports, approvals and exports.</w:t>
            </w:r>
          </w:p>
        </w:tc>
      </w:tr>
      <w:tr>
        <w:tc>
          <w:tcPr>
            <w:tcW w:type="dxa" w:w="238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Implementation services</w:t>
            </w:r>
          </w:p>
        </w:tc>
        <w:tc>
          <w:tcPr>
            <w:tcW w:type="dxa" w:w="6350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Discovery workshops; data templates; configuration; initial data migration assistance; testing; user training; go-live support and handover.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Branch Data &amp; Access Model</w:t>
      </w:r>
    </w:p>
    <w:p>
      <w:pPr>
        <w:pStyle w:val="ListBullet"/>
        <w:spacing w:after="40"/>
      </w:pPr>
      <w:r>
        <w:t>Every user is assigned a role and one or more permitted branches.</w:t>
      </w:r>
    </w:p>
    <w:p>
      <w:pPr>
        <w:pStyle w:val="ListBullet"/>
        <w:spacing w:after="40"/>
      </w:pPr>
      <w:r>
        <w:t>Operational users are restricted to their own branch data by default; cross-branch access requires explicit authorisation.</w:t>
      </w:r>
    </w:p>
    <w:p>
      <w:pPr>
        <w:pStyle w:val="ListBullet"/>
        <w:spacing w:after="40"/>
      </w:pPr>
      <w:r>
        <w:t>Stock, documents and operational reports are branch tagged to prevent accidental mixing of branch records.</w:t>
      </w:r>
    </w:p>
    <w:p>
      <w:pPr>
        <w:pStyle w:val="ListBullet"/>
        <w:spacing w:after="40"/>
      </w:pPr>
      <w:r>
        <w:t>Head-office management can receive consolidated dashboards and reports without giving all users unrestricted access.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3. Delivery Plan - 8 Weeks</w:t>
      </w:r>
    </w:p>
    <w:p>
      <w:pPr>
        <w:jc w:val="left"/>
      </w:pPr>
      <w:r>
        <w:rPr>
          <w:b w:val="0"/>
        </w:rPr>
        <w:t>Delivery will be managed through weekly checkpoints with a nominated Client project owner. Timelines depend on timely decisions, master-data availability and user participation in testing/training.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474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5329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outcomes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Discovery &amp; blueprint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Week 1</w:t>
            </w:r>
          </w:p>
        </w:tc>
        <w:tc>
          <w:tcPr>
            <w:tcW w:type="dxa" w:w="532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Confirm branch model, roles, processes, data sources, reports, priorities and acceptance criteria.</w:t>
            </w:r>
          </w:p>
        </w:tc>
      </w:tr>
      <w:tr>
        <w:tc>
          <w:tcPr>
            <w:tcW w:type="dxa" w:w="1928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Production foundation</w:t>
            </w:r>
          </w:p>
        </w:tc>
        <w:tc>
          <w:tcPr>
            <w:tcW w:type="dxa" w:w="1474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Weeks 2-3</w:t>
            </w:r>
          </w:p>
        </w:tc>
        <w:tc>
          <w:tcPr>
            <w:tcW w:type="dxa" w:w="5329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Configure cloud environment, database, authentication, role/branch rules, base modules and data templates.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Workflow upgrades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Weeks 3-5</w:t>
            </w:r>
          </w:p>
        </w:tc>
        <w:tc>
          <w:tcPr>
            <w:tcW w:type="dxa" w:w="532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Build and validate branch-aware sales, inventory, procurement, service and finance workflows; reporting and approvals.</w:t>
            </w:r>
          </w:p>
        </w:tc>
      </w:tr>
      <w:tr>
        <w:tc>
          <w:tcPr>
            <w:tcW w:type="dxa" w:w="1928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Migration &amp; UAT</w:t>
            </w:r>
          </w:p>
        </w:tc>
        <w:tc>
          <w:tcPr>
            <w:tcW w:type="dxa" w:w="1474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Weeks 6-7</w:t>
            </w:r>
          </w:p>
        </w:tc>
        <w:tc>
          <w:tcPr>
            <w:tcW w:type="dxa" w:w="5329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Import agreed master/starting data, conduct UAT, fix agreed defects and finalise training materials.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Go-live &amp; stabilisation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Week 8</w:t>
            </w:r>
          </w:p>
        </w:tc>
        <w:tc>
          <w:tcPr>
            <w:tcW w:type="dxa" w:w="532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Train users, launch initial branches, monitor adoption, resolve priority launch issues and hand over guidance.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Client Responsibilities</w:t>
      </w:r>
    </w:p>
    <w:p>
      <w:pPr>
        <w:pStyle w:val="ListBullet"/>
        <w:spacing w:after="40"/>
      </w:pPr>
      <w:r>
        <w:t>Nominate one project owner and key users for each branch.</w:t>
      </w:r>
    </w:p>
    <w:p>
      <w:pPr>
        <w:pStyle w:val="ListBullet"/>
        <w:spacing w:after="40"/>
      </w:pPr>
      <w:r>
        <w:t>Provide approved process decisions, user lists and clean source data within the agreed timetable.</w:t>
      </w:r>
    </w:p>
    <w:p>
      <w:pPr>
        <w:pStyle w:val="ListBullet"/>
        <w:spacing w:after="40"/>
      </w:pPr>
      <w:r>
        <w:t>Provide timely feedback and sign-off during design, UAT and go-live stages.</w:t>
      </w:r>
    </w:p>
    <w:p>
      <w:pPr>
        <w:pStyle w:val="ListBullet"/>
        <w:spacing w:after="40"/>
      </w:pPr>
      <w:r>
        <w:t>Arrange end-user attendance for training and maintain internal ownership of procedures after handover.</w:t>
      </w:r>
    </w:p>
    <w:p>
      <w:pPr>
        <w:pStyle w:val="Heading2"/>
        <w:jc w:val="left"/>
      </w:pPr>
      <w:r>
        <w:rPr>
          <w:b w:val="0"/>
        </w:rPr>
        <w:t>Acceptance</w:t>
      </w:r>
    </w:p>
    <w:p>
      <w:pPr>
        <w:jc w:val="left"/>
      </w:pPr>
      <w:r>
        <w:rPr>
          <w:b w:val="0"/>
        </w:rPr>
        <w:t>Each milestone is accepted when the agreed features are demonstrated and the Client confirms completion or provides a consolidated list of material deviations within five business days.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4. Commercial Proposal</w:t>
      </w:r>
    </w:p>
    <w:p>
      <w:pPr>
        <w:jc w:val="left"/>
      </w:pPr>
      <w:r>
        <w:rPr>
          <w:b w:val="0"/>
        </w:rPr>
        <w:t>AGI Innovations offers a fixed-price implementation for the defined Phase 1 scope and the initial three branches. This commercial structure gives the Client cost certainty while preserving clear controls over future enhancements and additional 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953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835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 (PKR)</w:t>
            </w:r>
          </w:p>
        </w:tc>
      </w:tr>
      <w:tr>
        <w:tc>
          <w:tcPr>
            <w:tcW w:type="dxa" w:w="595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Multi-Branch ERP Upgrade &amp; Implementation - Phase 1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1,200,000</w:t>
            </w:r>
          </w:p>
        </w:tc>
      </w:tr>
      <w:tr>
        <w:tc>
          <w:tcPr>
            <w:tcW w:type="dxa" w:w="5953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Initial branches included</w:t>
            </w:r>
          </w:p>
        </w:tc>
        <w:tc>
          <w:tcPr>
            <w:tcW w:type="dxa" w:w="2835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Islamabad, Lahore and Karachi</w:t>
            </w:r>
          </w:p>
        </w:tc>
      </w:tr>
      <w:tr>
        <w:tc>
          <w:tcPr>
            <w:tcW w:type="dxa" w:w="595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Total one-time implementation fee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PKR 1,200,000</w:t>
            </w:r>
          </w:p>
        </w:tc>
      </w:tr>
      <w:tr>
        <w:tc>
          <w:tcPr>
            <w:tcW w:type="dxa" w:w="5953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Taxes</w:t>
            </w:r>
          </w:p>
        </w:tc>
        <w:tc>
          <w:tcPr>
            <w:tcW w:type="dxa" w:w="2835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Applicable taxes, if any, are excluded and will be charged as required by law.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819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531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Share</w:t>
            </w:r>
          </w:p>
        </w:tc>
        <w:tc>
          <w:tcPr>
            <w:tcW w:type="dxa" w:w="2438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 (PKR)</w:t>
            </w:r>
          </w:p>
        </w:tc>
      </w:tr>
      <w:tr>
        <w:tc>
          <w:tcPr>
            <w:tcW w:type="dxa" w:w="481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kickoff and discovery approval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40%</w:t>
            </w:r>
          </w:p>
        </w:tc>
        <w:tc>
          <w:tcPr>
            <w:tcW w:type="dxa" w:w="243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480,000</w:t>
            </w:r>
          </w:p>
        </w:tc>
      </w:tr>
      <w:tr>
        <w:tc>
          <w:tcPr>
            <w:tcW w:type="dxa" w:w="4819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UAT-ready solution and migration completion</w:t>
            </w:r>
          </w:p>
        </w:tc>
        <w:tc>
          <w:tcPr>
            <w:tcW w:type="dxa" w:w="1531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40%</w:t>
            </w:r>
          </w:p>
        </w:tc>
        <w:tc>
          <w:tcPr>
            <w:tcW w:type="dxa" w:w="2438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480,000</w:t>
            </w:r>
          </w:p>
        </w:tc>
      </w:tr>
      <w:tr>
        <w:tc>
          <w:tcPr>
            <w:tcW w:type="dxa" w:w="481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Go-live and handover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  <w:tc>
          <w:tcPr>
            <w:tcW w:type="dxa" w:w="243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240,000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Included Support</w:t>
      </w:r>
    </w:p>
    <w:p>
      <w:pPr>
        <w:jc w:val="left"/>
      </w:pPr>
      <w:r>
        <w:rPr>
          <w:b w:val="0"/>
        </w:rPr>
        <w:t>Thirty calendar days of remote post-go-live warranty support is included for defects in the delivered scope. User questions and operational guidance will be handled through the nominated Client project owner.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5. Assumptions &amp; Exclusions</w:t>
      </w:r>
    </w:p>
    <w:p>
      <w:pPr>
        <w:jc w:val="left"/>
      </w:pPr>
      <w:r>
        <w:rPr>
          <w:b w:val="0"/>
        </w:rPr>
        <w:t>To protect both parties from scope ambiguity, the following are outside the fixed Phase 1 fee unless separately agreed in writing.</w:t>
      </w:r>
    </w:p>
    <w:p>
      <w:pPr>
        <w:pStyle w:val="Heading2"/>
        <w:jc w:val="left"/>
      </w:pPr>
      <w:r>
        <w:rPr>
          <w:b w:val="0"/>
        </w:rPr>
        <w:t>Assumptions</w:t>
      </w:r>
    </w:p>
    <w:p>
      <w:pPr>
        <w:pStyle w:val="ListBullet"/>
        <w:spacing w:after="40"/>
      </w:pPr>
      <w:r>
        <w:t>The quote covers three initial branches: Islamabad, Lahore and Karachi, with standard branch-aware workflows and permissions.</w:t>
      </w:r>
    </w:p>
    <w:p>
      <w:pPr>
        <w:pStyle w:val="ListBullet"/>
        <w:spacing w:after="40"/>
      </w:pPr>
      <w:r>
        <w:t>The Client provides structured, reasonably clean master/starting data in the agreed templates; extensive legacy-data cleansing is not included.</w:t>
      </w:r>
    </w:p>
    <w:p>
      <w:pPr>
        <w:pStyle w:val="ListBullet"/>
        <w:spacing w:after="40"/>
      </w:pPr>
      <w:r>
        <w:t>The Client makes key users available for workshops, testing and training throughout the eight-week plan.</w:t>
      </w:r>
    </w:p>
    <w:p>
      <w:pPr>
        <w:pStyle w:val="ListBullet"/>
        <w:spacing w:after="40"/>
      </w:pPr>
      <w:r>
        <w:t>The implementation uses standard cloud services suitable for the agreed production environment.</w:t>
      </w:r>
    </w:p>
    <w:p>
      <w:pPr>
        <w:pStyle w:val="Heading2"/>
        <w:jc w:val="left"/>
      </w:pPr>
      <w:r>
        <w:rPr>
          <w:b w:val="0"/>
        </w:rPr>
        <w:t>Exclusions / Separately Priced Items</w:t>
      </w:r>
    </w:p>
    <w:p>
      <w:pPr>
        <w:pStyle w:val="ListBullet"/>
        <w:spacing w:after="40"/>
      </w:pPr>
      <w:r>
        <w:t>Additional branches after the initial three; indicative configuration and onboarding fee: PKR 125,000 per branch, subject to scope confirmation.</w:t>
      </w:r>
    </w:p>
    <w:p>
      <w:pPr>
        <w:pStyle w:val="ListBullet"/>
        <w:spacing w:after="40"/>
      </w:pPr>
      <w:r>
        <w:t>Third-party subscriptions, cloud hosting, domain, SMS/WhatsApp/email charges, payment gateway charges and hardware purchases.</w:t>
      </w:r>
    </w:p>
    <w:p>
      <w:pPr>
        <w:pStyle w:val="ListBullet"/>
        <w:spacing w:after="40"/>
      </w:pPr>
      <w:r>
        <w:t>FBR/e-invoicing, banking, biometric, GPS, accounting-system or other third-party integrations.</w:t>
      </w:r>
    </w:p>
    <w:p>
      <w:pPr>
        <w:pStyle w:val="ListBullet"/>
        <w:spacing w:after="40"/>
      </w:pPr>
      <w:r>
        <w:t>Custom mobile applications, offline field-service applications, advanced BI, OCR, bespoke report formats and major new modules.</w:t>
      </w:r>
    </w:p>
    <w:p>
      <w:pPr>
        <w:pStyle w:val="ListBullet"/>
        <w:spacing w:after="40"/>
      </w:pPr>
      <w:r>
        <w:t>Historical transaction migration beyond the agreed opening data and approved migration templates.</w:t>
      </w:r>
    </w:p>
    <w:p>
      <w:pPr>
        <w:pStyle w:val="ListBullet"/>
        <w:spacing w:after="40"/>
      </w:pPr>
      <w:r>
        <w:t>Ongoing maintenance, enhancements or support after the included 30-day warranty period.</w:t>
      </w:r>
    </w:p>
    <w:p>
      <w:pPr>
        <w:pStyle w:val="Heading2"/>
        <w:jc w:val="left"/>
      </w:pPr>
      <w:r>
        <w:rPr>
          <w:b w:val="0"/>
        </w:rPr>
        <w:t>Change Control</w:t>
      </w:r>
    </w:p>
    <w:p>
      <w:pPr>
        <w:jc w:val="left"/>
      </w:pPr>
      <w:r>
        <w:rPr>
          <w:b w:val="0"/>
        </w:rPr>
        <w:t>Requests outside the agreed scope will be documented with their impact on timeline and cost. Work will begin only after written approval by both parties. This ensures the two-month target remains achievable.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6. Next Steps</w:t>
      </w:r>
    </w:p>
    <w:p>
      <w:pPr>
        <w:pStyle w:val="ListBullet"/>
        <w:spacing w:after="40"/>
      </w:pPr>
      <w:r>
        <w:t>Confirm acceptance of this proposal and the initial three-branch scope.</w:t>
      </w:r>
    </w:p>
    <w:p>
      <w:pPr>
        <w:pStyle w:val="ListBullet"/>
        <w:spacing w:after="40"/>
      </w:pPr>
      <w:r>
        <w:t>Nominate the Client project owner and branch key users.</w:t>
      </w:r>
    </w:p>
    <w:p>
      <w:pPr>
        <w:pStyle w:val="ListBullet"/>
        <w:spacing w:after="40"/>
      </w:pPr>
      <w:r>
        <w:t>Approve the project kickoff date and first milestone invoice.</w:t>
      </w:r>
    </w:p>
    <w:p>
      <w:pPr>
        <w:pStyle w:val="ListBullet"/>
        <w:spacing w:after="40"/>
      </w:pPr>
      <w:r>
        <w:t>Conduct the Week 1 discovery workshop and issue the final solution blueprint.</w:t>
      </w:r>
    </w:p>
    <w:p>
      <w:pPr>
        <w:jc w:val="left"/>
      </w:pPr>
      <w:r>
        <w:rPr>
          <w:b w:val="0"/>
        </w:rPr>
        <w:t>We appreciate the opportunity to support the Client's growth with a practical, scalable ERP platform. AGI Innovations is committed to a disciplined rollout, transparent communication and measurable operational value.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94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AGI Innovations Private Limited</w:t>
            </w:r>
          </w:p>
        </w:tc>
        <w:tc>
          <w:tcPr>
            <w:tcW w:type="dxa" w:w="4394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the Client</w:t>
            </w:r>
          </w:p>
        </w:tc>
      </w:tr>
      <w:tr>
        <w:tc>
          <w:tcPr>
            <w:tcW w:type="dxa" w:w="439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  <w:tc>
          <w:tcPr>
            <w:tcW w:type="dxa" w:w="439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721" w:right="1247" w:bottom="119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7560000" cy="4877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letterhead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4877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letterhead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0212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215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1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215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