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Mini-NoC Network Integration</w:t>
      </w:r>
    </w:p>
    <w:p>
      <w:pPr>
        <w:spacing w:after="240"/>
      </w:pPr>
      <w:r>
        <w:rPr>
          <w:i/>
          <w:iCs/>
          <w:color w:val="4F81BD"/>
          <w:sz w:val="24"/>
          <w:szCs w:val="24"/>
        </w:rPr>
        <w:t xml:space="preserve">Ethernet / UDP Bridge Specification — Version 0.4 draft | ZedBoard Zynq-7020 | companion to Design Specification v0.3.0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Make the eight NoC endpoints and the memory endpoint reachable from a real IP network, so that the on-chip interconnect is addressable, forwardable and observable with ordinary network tools.</w:t>
      </w:r>
    </w:p>
    <w:p>
      <w:pPr>
        <w:spacing w:after="120"/>
      </w:pPr>
      <w:r>
        <w:rPr>
          <w:b/>
          <w:bCs/>
        </w:rPr>
        <w:t xml:space="preserve">Relationship to the design spec.</w:t>
      </w:r>
      <w:r>
        <w:t xml:space="preserve"> This document adds a layer above the packet interconnect. It changes nothing in Design Specification v0.3.0: flit format, locking, ordering, backpressure and error codes are unchanged. The bridge is a new endpoint-side component, not a change to the fabric.</w:t>
      </w:r>
    </w:p>
    <w:p>
      <w:pPr>
        <w:pStyle w:val="Heading1"/>
      </w:pPr>
      <w:r>
        <w:t xml:space="preserve">18. Network Architecture</w:t>
      </w:r>
    </w:p>
    <w:p>
      <w:pPr>
        <w:shd w:fill="F3F5F7" w:color="auto" w:val="clear"/>
        <w:spacing w:after="0" w:before="80"/>
        <w:ind w:left="288" w:right="288"/>
      </w:pPr>
      <w:r>
        <w:rPr>
          <w:rFonts w:ascii="Consolas" w:cs="Consolas" w:eastAsia="Consolas" w:hAnsi="Consolas"/>
          <w:sz w:val="17"/>
          <w:szCs w:val="17"/>
        </w:rPr>
        <w:t xml:space="preserve">Host  --UDP/IP--&gt; Ethernet --&gt; Zynq PS (GEM + lwIP)</w:t>
      </w:r>
    </w:p>
    <w:p>
      <w:pPr>
        <w:shd w:fill="F3F5F7" w:color="auto" w:val="clear"/>
        <w:spacing w:after="0" w:before="0"/>
        <w:ind w:left="288" w:right="288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AXI-Lite (later AXI-DMA)</w:t>
      </w:r>
    </w:p>
    <w:p>
      <w:pPr>
        <w:shd w:fill="F3F5F7" w:color="auto" w:val="clear"/>
        <w:spacing w:after="0" w:before="0"/>
        <w:ind w:left="288" w:right="288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PL: net_bridge   &lt;- forwarding table</w:t>
      </w:r>
    </w:p>
    <w:p>
      <w:pPr>
        <w:shd w:fill="F3F5F7" w:color="auto" w:val="clear"/>
        <w:spacing w:after="0" w:before="0"/>
        <w:ind w:left="288" w:right="288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flits (66-bit, ready/valid)</w:t>
      </w:r>
    </w:p>
    <w:p>
      <w:pPr>
        <w:shd w:fill="F3F5F7" w:color="auto" w:val="clear"/>
        <w:spacing w:after="140" w:before="0"/>
        <w:ind w:left="288" w:right="288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NoC endpoint 0..7, memory 8</w:t>
      </w:r>
    </w:p>
    <w:p>
      <w:pPr>
        <w:spacing w:after="120"/>
      </w:pPr>
      <w:r>
        <w:t xml:space="preserve">The Ethernet MAC is the Zynq PS gigabit MAC (GEM), already wired to the board's PHY. The PL-side MAC alternative was rejected: it requires a licensed or low-quality 1G MAC core, RGMII timing closure against the board PHY, MDIO bring-up and a 125 MHz to 70 MHz clock domain crossing, none of which concerns the interconnect. The consequence is recorded honestly: the datapath is PS-mediated, so latency is tens of microseconds and throughput is bounded by the PS and the AXI path, not by the fabric.</w:t>
      </w:r>
    </w:p>
    <w:p>
      <w:pPr>
        <w:pStyle w:val="Heading1"/>
      </w:pPr>
      <w:r>
        <w:t xml:space="preserve">19. Address Plan</w:t>
      </w:r>
    </w:p>
    <w:p>
      <w:pPr>
        <w:spacing w:after="120"/>
      </w:pPr>
      <w:r>
        <w:t xml:space="preserve">Each endpoint is a first-class host on the network: one IP address per endpoint, all behind the board's single MAC address. This is the same arrangement a router or VM host presents, and it makes the NoC destination space visible to standard tooling.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0"/>
        <w:gridCol w:w="2240"/>
        <w:gridCol w:w="3920"/>
      </w:tblGrid>
      <w:tr>
        <w:trPr>
          <w:cantSplit/>
          <w:tblHeader/>
        </w:trPr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DST_ID</w:t>
            </w:r>
          </w:p>
        </w:tc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192.168.1.10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Endpoint 0</w:t>
            </w:r>
          </w:p>
        </w:tc>
      </w:tr>
      <w:tr>
        <w:trPr>
          <w:cantSplit/>
          <w:tblHeader w:val="false"/>
        </w:trPr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192.168.1.11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Endpoint 1</w:t>
            </w:r>
          </w:p>
        </w:tc>
      </w:tr>
      <w:tr>
        <w:trPr>
          <w:cantSplit/>
          <w:tblHeader w:val="false"/>
        </w:trPr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192.168.1.12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Endpoint 2</w:t>
            </w:r>
          </w:p>
        </w:tc>
      </w:tr>
      <w:tr>
        <w:trPr>
          <w:cantSplit/>
          <w:tblHeader w:val="false"/>
        </w:trPr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192.168.1.13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Endpoint 3</w:t>
            </w:r>
          </w:p>
        </w:tc>
      </w:tr>
      <w:tr>
        <w:trPr>
          <w:cantSplit/>
          <w:tblHeader w:val="false"/>
        </w:trPr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192.168.1.14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Endpoint 4</w:t>
            </w:r>
          </w:p>
        </w:tc>
      </w:tr>
      <w:tr>
        <w:trPr>
          <w:cantSplit/>
          <w:tblHeader w:val="false"/>
        </w:trPr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192.168.1.15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Endpoint 5</w:t>
            </w:r>
          </w:p>
        </w:tc>
      </w:tr>
      <w:tr>
        <w:trPr>
          <w:cantSplit/>
          <w:tblHeader w:val="false"/>
        </w:trPr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192.168.1.16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Endpoint 6</w:t>
            </w:r>
          </w:p>
        </w:tc>
      </w:tr>
      <w:tr>
        <w:trPr>
          <w:cantSplit/>
          <w:tblHeader w:val="false"/>
        </w:trPr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192.168.1.17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Endpoint 7</w:t>
            </w:r>
          </w:p>
        </w:tc>
      </w:tr>
      <w:tr>
        <w:trPr>
          <w:cantSplit/>
          <w:tblHeader w:val="false"/>
        </w:trPr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192.168.1.18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Shared memory</w:t>
            </w:r>
          </w:p>
        </w:tc>
      </w:tr>
      <w:tr>
        <w:trPr>
          <w:cantSplit/>
          <w:tblHeader w:val="false"/>
        </w:trPr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192.168.1.1</w:t>
            </w:r>
          </w:p>
        </w:tc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3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Host / gateway</w:t>
            </w:r>
          </w:p>
        </w:tc>
      </w:tr>
    </w:tbl>
    <w:p>
      <w:pPr>
        <w:spacing w:after="20"/>
      </w:pPr>
    </w:p>
    <w:p>
      <w:pPr>
        <w:spacing w:after="120"/>
      </w:pPr>
      <w:r>
        <w:t xml:space="preserve">Subnet 192.168.1.0/24, static addressing, no DHCP. One MAC address answers ARP for all nine addresses.</w:t>
      </w:r>
    </w:p>
    <w:p>
      <w:pPr>
        <w:spacing w:after="120"/>
      </w:pPr>
      <w:r>
        <w:rPr>
          <w:b/>
          <w:bCs/>
        </w:rPr>
        <w:t xml:space="preserve">Forwarding table (normative).</w:t>
      </w:r>
      <w:r>
        <w:t xml:space="preserve"> The IP-to-DST_ID mapping is not hardcoded. </w:t>
      </w:r>
      <w:r>
        <w:rPr>
          <w:rFonts w:ascii="Consolas" w:cs="Consolas" w:eastAsia="Consolas" w:hAnsi="Consolas"/>
          <w:sz w:val="18"/>
          <w:szCs w:val="18"/>
        </w:rPr>
        <w:t xml:space="preserve">net_bridge</w:t>
      </w:r>
      <w:r>
        <w:t xml:space="preserve"> holds a 16-entry table in the PL, writable over AXI-Lite at runtime, each entry </w:t>
      </w:r>
      <w:r>
        <w:rPr>
          <w:rFonts w:ascii="Consolas" w:cs="Consolas" w:eastAsia="Consolas" w:hAnsi="Consolas"/>
          <w:sz w:val="18"/>
          <w:szCs w:val="18"/>
        </w:rPr>
        <w:t xml:space="preserve">{valid, ipv4_addr[31:0], dst_id[3:0]}</w:t>
      </w:r>
      <w:r>
        <w:t xml:space="preserve">. A packet whose destination address misses the table is dropped and counted. Remapping an endpoint to a different address requires no rebuild; this is a forwarding plane, and demonstrating a live remap is a deliverable.</w:t>
      </w:r>
    </w:p>
    <w:p>
      <w:pPr>
        <w:spacing w:after="120"/>
      </w:pPr>
      <w:r>
        <w:rPr>
          <w:b/>
          <w:bCs/>
        </w:rPr>
        <w:t xml:space="preserve">Fallback.</w:t>
      </w:r>
      <w:r>
        <w:t xml:space="preserve"> If ARP for nine addresses proves impractical in lwIP, the fallback is one board address with UDP port 5000+N selecting the endpoint. The forwarding table then keys on port instead of address. This is a degradation of the demonstration, not of the datapath.</w:t>
      </w:r>
    </w:p>
    <w:p>
      <w:pPr>
        <w:pStyle w:val="Heading1"/>
      </w:pPr>
      <w:r>
        <w:t xml:space="preserve">20. Encapsulation (stage 1 format)</w:t>
      </w:r>
    </w:p>
    <w:p>
      <w:pPr>
        <w:spacing w:after="120"/>
      </w:pPr>
      <w:r>
        <w:t xml:space="preserve">The UDP payload is a NoC packet verbatim: the 64-bit header followed by payload words, each word big-endian on the wire. The bridge performs no header translation; it frames flits and asserts SOP/EOP.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1380"/>
        <w:gridCol w:w="7596"/>
      </w:tblGrid>
      <w:tr>
        <w:trPr>
          <w:cantSplit/>
          <w:tblHeader/>
        </w:trPr>
        <w:tc>
          <w:tcPr>
            <w:tcW w:type="dxa" w:w="1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Offset</w:t>
            </w:r>
          </w:p>
        </w:tc>
        <w:tc>
          <w:tcPr>
            <w:tcW w:type="dxa" w:w="1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7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</w:tr>
      <w:tr>
        <w:trPr>
          <w:cantSplit/>
          <w:tblHeader w:val="false"/>
        </w:trPr>
        <w:tc>
          <w:tcPr>
            <w:tcW w:type="dxa" w:w="1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type="dxa" w:w="1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7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NoC header word (TYPE, SRC_ID, DST_ID, LENGTH, TAG, FLAGS)</w:t>
            </w:r>
          </w:p>
        </w:tc>
      </w:tr>
      <w:tr>
        <w:trPr>
          <w:cantSplit/>
          <w:tblHeader w:val="false"/>
        </w:trPr>
        <w:tc>
          <w:tcPr>
            <w:tcW w:type="dxa" w:w="11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8 x LENGTH</w:t>
            </w:r>
          </w:p>
        </w:tc>
        <w:tc>
          <w:tcPr>
            <w:tcW w:type="dxa" w:w="7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Payload words</w:t>
            </w:r>
          </w:p>
        </w:tc>
      </w:tr>
    </w:tbl>
    <w:p>
      <w:pPr>
        <w:spacing w:after="20"/>
      </w:pPr>
    </w:p>
    <w:p>
      <w:pPr>
        <w:spacing w:after="120"/>
      </w:pPr>
      <w:r>
        <w:t xml:space="preserve">UDP destination port 5555 for encapsulated traffic. SRC_ID in the transmitted header is ignored and overwritten by </w:t>
      </w:r>
      <w:r>
        <w:rPr>
          <w:rFonts w:ascii="Consolas" w:cs="Consolas" w:eastAsia="Consolas" w:hAnsi="Consolas"/>
          <w:sz w:val="18"/>
          <w:szCs w:val="18"/>
        </w:rPr>
        <w:t xml:space="preserve">endpoint_port</w:t>
      </w:r>
      <w:r>
        <w:t xml:space="preserve"> as in design spec section 3; the bridge sets it to the DST_ID resolved for the sending host, so responses return to the correct endpoint.</w:t>
      </w:r>
    </w:p>
    <w:p>
      <w:pPr>
        <w:spacing w:after="120"/>
      </w:pPr>
      <w:r>
        <w:rPr>
          <w:b/>
          <w:bCs/>
        </w:rPr>
        <w:t xml:space="preserve">Constraint.</w:t>
      </w:r>
      <w:r>
        <w:t xml:space="preserve"> One UDP datagram carries exactly one NoC packet. A packet whose LENGTH exceeds the datagram is rejected with E_LEN.</w:t>
      </w:r>
    </w:p>
    <w:p>
      <w:pPr>
        <w:pStyle w:val="Heading1"/>
      </w:pPr>
      <w:r>
        <w:t xml:space="preserve">21. Translation (stage 2 format)</w:t>
      </w:r>
    </w:p>
    <w:p>
      <w:pPr>
        <w:spacing w:after="120"/>
      </w:pPr>
      <w:r>
        <w:t xml:space="preserve">Once encapsulation is proven, the bridge builds the NoC header from the IP/UDP headers instead of copying it: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7"/>
        <w:gridCol w:w="8663"/>
      </w:tblGrid>
      <w:tr>
        <w:trPr>
          <w:cantSplit/>
          <w:tblHeader/>
        </w:trPr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NoC field</w:t>
            </w:r>
          </w:p>
        </w:tc>
        <w:tc>
          <w:tcPr>
            <w:tcW w:type="dxa" w:w="8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DST_ID</w:t>
            </w:r>
          </w:p>
        </w:tc>
        <w:tc>
          <w:tcPr>
            <w:tcW w:type="dxa" w:w="8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Forwarding-table lookup on destination IPv4 address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SRC_ID</w:t>
            </w:r>
          </w:p>
        </w:tc>
        <w:tc>
          <w:tcPr>
            <w:tcW w:type="dxa" w:w="8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Forwarding-table lookup on source IPv4 address, else the bridge's own ID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LENGTH</w:t>
            </w:r>
          </w:p>
        </w:tc>
        <w:tc>
          <w:tcPr>
            <w:tcW w:type="dxa" w:w="8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UDP payload length / 8, rejected if not a multiple of 8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TYPE</w:t>
            </w:r>
          </w:p>
        </w:tc>
        <w:tc>
          <w:tcPr>
            <w:tcW w:type="dxa" w:w="8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UDP destination port: 5555 DATA, 5556 MEM_READ_REQ, 5557 MEM_WRITE_REQ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TAG</w:t>
            </w:r>
          </w:p>
        </w:tc>
        <w:tc>
          <w:tcPr>
            <w:tcW w:type="dxa" w:w="8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Low 8 bits of the UDP source port, echoed in responses for correlation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FLAGS</w:t>
            </w:r>
          </w:p>
        </w:tc>
        <w:tc>
          <w:tcPr>
            <w:tcW w:type="dxa" w:w="8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Zero on ingress; carries the error code on egress</w:t>
            </w:r>
          </w:p>
        </w:tc>
      </w:tr>
    </w:tbl>
    <w:p>
      <w:pPr>
        <w:spacing w:after="20"/>
      </w:pPr>
    </w:p>
    <w:p>
      <w:pPr>
        <w:spacing w:after="120"/>
      </w:pPr>
      <w:r>
        <w:t xml:space="preserve">In this mode the host sends ordinary UDP datagrams containing only data, and the network layer determines the on-chip routing. This is the target format.</w:t>
      </w:r>
    </w:p>
    <w:p>
      <w:pPr>
        <w:pStyle w:val="Heading1"/>
      </w:pPr>
      <w:r>
        <w:t xml:space="preserve">22. Error Mapping</w:t>
      </w:r>
    </w:p>
    <w:p>
      <w:pPr>
        <w:spacing w:after="120"/>
      </w:pPr>
      <w:r>
        <w:t xml:space="preserve">The adapter's error codes (design spec section 9) become visible at the network layer. An error response is returned to the sender as a UDP datagram on the reply port with the encapsulated T_ERROR packet, FLAGS carrying the code.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"/>
        <w:gridCol w:w="1277"/>
        <w:gridCol w:w="7810"/>
      </w:tblGrid>
      <w:tr>
        <w:trPr>
          <w:cantSplit/>
          <w:tblHeader/>
        </w:trPr>
        <w:tc>
          <w:tcPr>
            <w:tcW w:type="dxa" w:w="9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FLAGS</w:t>
            </w:r>
          </w:p>
        </w:tc>
        <w:tc>
          <w:tcPr>
            <w:tcW w:type="dxa" w:w="1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Network-visible meaning</w:t>
            </w: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0x1</w:t>
            </w:r>
          </w:p>
        </w:tc>
        <w:tc>
          <w:tcPr>
            <w:tcW w:type="dxa" w:w="1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E_TYPE</w:t>
            </w:r>
          </w:p>
        </w:tc>
        <w:tc>
          <w:tcPr>
            <w:tcW w:type="dxa" w:w="7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Unsupported operation for that destination port</w:t>
            </w: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0x2</w:t>
            </w:r>
          </w:p>
        </w:tc>
        <w:tc>
          <w:tcPr>
            <w:tcW w:type="dxa" w:w="1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E_LEN</w:t>
            </w:r>
          </w:p>
        </w:tc>
        <w:tc>
          <w:tcPr>
            <w:tcW w:type="dxa" w:w="7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Datagram length disagrees with LENGTH, or not a multiple of 8</w:t>
            </w: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0x3</w:t>
            </w:r>
          </w:p>
        </w:tc>
        <w:tc>
          <w:tcPr>
            <w:tcW w:type="dxa" w:w="1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E_ALIGN</w:t>
            </w:r>
          </w:p>
        </w:tc>
        <w:tc>
          <w:tcPr>
            <w:tcW w:type="dxa" w:w="7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Memory address not a multiple of 8</w:t>
            </w: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0x4</w:t>
            </w:r>
          </w:p>
        </w:tc>
        <w:tc>
          <w:tcPr>
            <w:tcW w:type="dxa" w:w="1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E_RANGE</w:t>
            </w:r>
          </w:p>
        </w:tc>
        <w:tc>
          <w:tcPr>
            <w:tcW w:type="dxa" w:w="7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Memory address or burst outside the 1024-word region</w:t>
            </w:r>
          </w:p>
        </w:tc>
      </w:tr>
    </w:tbl>
    <w:p>
      <w:pPr>
        <w:spacing w:after="20"/>
      </w:pPr>
    </w:p>
    <w:p>
      <w:pPr>
        <w:spacing w:after="120"/>
      </w:pPr>
      <w:r>
        <w:t xml:space="preserve">Two conditions are network-layer only and have no on-chip equivalent: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4"/>
        <w:gridCol w:w="5716"/>
      </w:tblGrid>
      <w:tr>
        <w:trPr>
          <w:cantSplit/>
          <w:tblHeader/>
        </w:trPr>
        <w:tc>
          <w:tcPr>
            <w:tcW w:type="dxa" w:w="4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5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rPr>
          <w:cantSplit/>
          <w:tblHeader w:val="false"/>
        </w:trPr>
        <w:tc>
          <w:tcPr>
            <w:tcW w:type="dxa" w:w="4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Destination IP misses the forwarding table</w:t>
            </w:r>
          </w:p>
        </w:tc>
        <w:tc>
          <w:tcPr>
            <w:tcW w:type="dxa" w:w="5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Drop, increment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stat_fwd_miss</w:t>
            </w:r>
          </w:p>
        </w:tc>
      </w:tr>
      <w:tr>
        <w:trPr>
          <w:cantSplit/>
          <w:tblHeader w:val="false"/>
        </w:trPr>
        <w:tc>
          <w:tcPr>
            <w:tcW w:type="dxa" w:w="4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Destination resolves to DST_ID 9-15</w:t>
            </w:r>
          </w:p>
        </w:tc>
        <w:tc>
          <w:tcPr>
            <w:tcW w:type="dxa" w:w="5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Forwarded to the fabric, which sinks it (design spec section 5); counted by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stat_sink_pkts</w:t>
            </w:r>
          </w:p>
        </w:tc>
      </w:tr>
    </w:tbl>
    <w:p>
      <w:pPr>
        <w:spacing w:after="20"/>
      </w:pPr>
    </w:p>
    <w:p>
      <w:pPr>
        <w:spacing w:after="120"/>
      </w:pPr>
      <w:r>
        <w:t xml:space="preserve">The second is deliberate: it exercises the existing sink path from the network side, proving on hardware that illegal destinations are dropped rather than deadlocking an input.</w:t>
      </w:r>
    </w:p>
    <w:p>
      <w:pPr>
        <w:pStyle w:val="Heading1"/>
      </w:pPr>
      <w:r>
        <w:t xml:space="preserve">23. Fragmentation</w:t>
      </w:r>
    </w:p>
    <w:p>
      <w:pPr>
        <w:spacing w:after="120"/>
      </w:pPr>
      <w:r>
        <w:t xml:space="preserve">The fabric imposes no packet-length limit; LENGTH allows 65535 payload flits, or 512 kB. A 1500-byte MTU carries at most 184 payload words.</w:t>
      </w:r>
    </w:p>
    <w:p>
      <w:pPr>
        <w:spacing w:after="120"/>
      </w:pPr>
      <w:r>
        <w:rPr>
          <w:b/>
          <w:bCs/>
        </w:rPr>
        <w:t xml:space="preserve">Policy for v0.4:</w:t>
      </w:r>
      <w:r>
        <w:t xml:space="preserve"> no fragmentation. A NoC packet must fit one datagram; longer transfers are rejected with E_LEN. Fragmentation and reassembly, which would require reassembly buffers and a timeout in the bridge, are deferred. Jumbo frames are not assumed.</w:t>
      </w:r>
    </w:p>
    <w:p>
      <w:pPr>
        <w:pStyle w:val="Heading1"/>
      </w:pPr>
      <w:r>
        <w:t xml:space="preserve">24. Verification</w:t>
      </w:r>
    </w:p>
    <w:p>
      <w:pPr>
        <w:spacing w:after="120"/>
      </w:pPr>
      <w:r>
        <w:t xml:space="preserve">Each stage has one artifact that proves it, independent of the stage below.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1"/>
        <w:gridCol w:w="3063"/>
        <w:gridCol w:w="5436"/>
      </w:tblGrid>
      <w:tr>
        <w:trPr>
          <w:cantSplit/>
          <w:tblHeader/>
        </w:trPr>
        <w:tc>
          <w:tcPr>
            <w:tcW w:type="dxa" w:w="1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3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Proves</w:t>
            </w:r>
          </w:p>
        </w:tc>
        <w:tc>
          <w:tcPr>
            <w:tcW w:type="dxa" w:w="5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Artifact</w:t>
            </w:r>
          </w:p>
        </w:tc>
      </w:tr>
      <w:tr>
        <w:trPr>
          <w:cantSplit/>
          <w:tblHeader w:val="false"/>
        </w:trPr>
        <w:tc>
          <w:tcPr>
            <w:tcW w:type="dxa" w:w="1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N1 PS-PL bridge</w:t>
            </w:r>
          </w:p>
        </w:tc>
        <w:tc>
          <w:tcPr>
            <w:tcW w:type="dxa" w:w="3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Flits move between PS and NoC</w:t>
            </w:r>
          </w:p>
        </w:tc>
        <w:tc>
          <w:tcPr>
            <w:tcW w:type="dxa" w:w="5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Bare-metal C write/read loopback</w:t>
            </w:r>
          </w:p>
        </w:tc>
      </w:tr>
      <w:tr>
        <w:trPr>
          <w:cantSplit/>
          <w:tblHeader w:val="false"/>
        </w:trPr>
        <w:tc>
          <w:tcPr>
            <w:tcW w:type="dxa" w:w="1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N2 lwIP echo</w:t>
            </w:r>
          </w:p>
        </w:tc>
        <w:tc>
          <w:tcPr>
            <w:tcW w:type="dxa" w:w="3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GEM, PHY and IP config work</w:t>
            </w:r>
          </w:p>
        </w:tc>
        <w:tc>
          <w:tcPr>
            <w:tcW w:type="dxa" w:w="5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ping</w:t>
            </w:r>
            <w:r>
              <w:t xml:space="preserve"> and UDP echo, no NoC involved</w:t>
            </w:r>
          </w:p>
        </w:tc>
      </w:tr>
      <w:tr>
        <w:trPr>
          <w:cantSplit/>
          <w:tblHeader w:val="false"/>
        </w:trPr>
        <w:tc>
          <w:tcPr>
            <w:tcW w:type="dxa" w:w="1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N3 Encapsulation</w:t>
            </w:r>
          </w:p>
        </w:tc>
        <w:tc>
          <w:tcPr>
            <w:tcW w:type="dxa" w:w="3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End-to-end path</w:t>
            </w:r>
          </w:p>
        </w:tc>
        <w:tc>
          <w:tcPr>
            <w:tcW w:type="dxa" w:w="5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Wireshark capture with the NoC dissector decoding TYPE/SRC/DST</w:t>
            </w:r>
          </w:p>
        </w:tc>
      </w:tr>
      <w:tr>
        <w:trPr>
          <w:cantSplit/>
          <w:tblHeader w:val="false"/>
        </w:trPr>
        <w:tc>
          <w:tcPr>
            <w:tcW w:type="dxa" w:w="1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N4 Forwarding</w:t>
            </w:r>
          </w:p>
        </w:tc>
        <w:tc>
          <w:tcPr>
            <w:tcW w:type="dxa" w:w="3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Address plan and table</w:t>
            </w:r>
          </w:p>
        </w:tc>
        <w:tc>
          <w:tcPr>
            <w:tcW w:type="dxa" w:w="5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ping</w:t>
            </w:r>
            <w:r>
              <w:t xml:space="preserve"> to all nine addresses; live remap of one entry</w:t>
            </w:r>
          </w:p>
        </w:tc>
      </w:tr>
      <w:tr>
        <w:trPr>
          <w:cantSplit/>
          <w:tblHeader w:val="false"/>
        </w:trPr>
        <w:tc>
          <w:tcPr>
            <w:tcW w:type="dxa" w:w="1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N5 Error paths</w:t>
            </w:r>
          </w:p>
        </w:tc>
        <w:tc>
          <w:tcPr>
            <w:tcW w:type="dxa" w:w="3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Error codes surface on the wire</w:t>
            </w:r>
          </w:p>
        </w:tc>
        <w:tc>
          <w:tcPr>
            <w:tcW w:type="dxa" w:w="5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Scapy malformed-packet suite, one capture per code</w:t>
            </w:r>
          </w:p>
        </w:tc>
      </w:tr>
      <w:tr>
        <w:trPr>
          <w:cantSplit/>
          <w:tblHeader w:val="false"/>
        </w:trPr>
        <w:tc>
          <w:tcPr>
            <w:tcW w:type="dxa" w:w="1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N6 Routed hop</w:t>
            </w:r>
          </w:p>
        </w:tc>
        <w:tc>
          <w:tcPr>
            <w:tcW w:type="dxa" w:w="3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Board behaves as a host</w:t>
            </w:r>
          </w:p>
        </w:tc>
        <w:tc>
          <w:tcPr>
            <w:tcW w:type="dxa" w:w="5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Namespace router, ACL permitting endpoints 0-3 and denying 4-7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b/>
          <w:bCs/>
        </w:rPr>
        <w:t xml:space="preserve">Tooling.</w:t>
      </w:r>
      <w:r>
        <w:t xml:space="preserve"> A Wireshark Lua dissector (</w:t>
      </w:r>
      <w:r>
        <w:rPr>
          <w:rFonts w:ascii="Consolas" w:cs="Consolas" w:eastAsia="Consolas" w:hAnsi="Consolas"/>
          <w:sz w:val="18"/>
          <w:szCs w:val="18"/>
        </w:rPr>
        <w:t xml:space="preserve">net/noc_dissector.lua</w:t>
      </w:r>
      <w:r>
        <w:t xml:space="preserve">) decodes the encapsulated format. A Scapy suite (</w:t>
      </w:r>
      <w:r>
        <w:rPr>
          <w:rFonts w:ascii="Consolas" w:cs="Consolas" w:eastAsia="Consolas" w:hAnsi="Consolas"/>
          <w:sz w:val="18"/>
          <w:szCs w:val="18"/>
        </w:rPr>
        <w:t xml:space="preserve">net/noc_scapy.py</w:t>
      </w:r>
      <w:r>
        <w:t xml:space="preserve">) generates both valid traffic and each error case. A shell script (</w:t>
      </w:r>
      <w:r>
        <w:rPr>
          <w:rFonts w:ascii="Consolas" w:cs="Consolas" w:eastAsia="Consolas" w:hAnsi="Consolas"/>
          <w:sz w:val="18"/>
          <w:szCs w:val="18"/>
        </w:rPr>
        <w:t xml:space="preserve">net/netns_lab.sh</w:t>
      </w:r>
      <w:r>
        <w:t xml:space="preserve">) builds the routed topology with </w:t>
      </w:r>
      <w:r>
        <w:rPr>
          <w:rFonts w:ascii="Consolas" w:cs="Consolas" w:eastAsia="Consolas" w:hAnsi="Consolas"/>
          <w:sz w:val="18"/>
          <w:szCs w:val="18"/>
        </w:rPr>
        <w:t xml:space="preserve">ip netns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nftables</w:t>
      </w:r>
      <w:r>
        <w:t xml:space="preserve">; no commercial simulator is required. Cisco Packet Tracer cannot be used at all, as it has no path to physical interfaces.</w:t>
      </w:r>
    </w:p>
    <w:p>
      <w:pPr>
        <w:pStyle w:val="Heading1"/>
      </w:pPr>
      <w:r>
        <w:t xml:space="preserve">25. Open Decisions</w:t>
      </w:r>
    </w:p>
    <w:p>
      <w:pPr>
        <w:pStyle w:val="ListParagraph"/>
        <w:numPr>
          <w:ilvl w:val="0"/>
          <w:numId w:val="2"/>
        </w:numPr>
      </w:pPr>
      <w:r>
        <w:t xml:space="preserve">Whether the memory endpoint should expose read/write as distinct UDP ports or as a TYPE field in an encapsulated header.</w:t>
      </w:r>
    </w:p>
    <w:p>
      <w:pPr>
        <w:pStyle w:val="ListParagraph"/>
        <w:numPr>
          <w:ilvl w:val="0"/>
          <w:numId w:val="2"/>
        </w:numPr>
      </w:pPr>
      <w:r>
        <w:t xml:space="preserve">Retry and timeout policy: UDP is lossy, the fabric is not. A dropped response currently looks identical to a lost request.</w:t>
      </w:r>
    </w:p>
    <w:p>
      <w:pPr>
        <w:pStyle w:val="ListParagraph"/>
        <w:numPr>
          <w:ilvl w:val="0"/>
          <w:numId w:val="2"/>
        </w:numPr>
      </w:pPr>
      <w:r>
        <w:t xml:space="preserve">Whether </w:t>
      </w:r>
      <w:r>
        <w:rPr>
          <w:rFonts w:ascii="Consolas" w:cs="Consolas" w:eastAsia="Consolas" w:hAnsi="Consolas"/>
          <w:sz w:val="18"/>
          <w:szCs w:val="18"/>
        </w:rPr>
        <w:t xml:space="preserve">stat_fwd_miss</w:t>
      </w:r>
      <w:r>
        <w:t xml:space="preserve"> and per-endpoint packet counters should be readable over AXI-Lite for host-side monitoring.</w:t>
      </w:r>
    </w:p>
    <w:p>
      <w:pPr>
        <w:pStyle w:val="ListParagraph"/>
        <w:numPr>
          <w:ilvl w:val="0"/>
          <w:numId w:val="2"/>
        </w:numPr>
      </w:pPr>
      <w:r>
        <w:t xml:space="preserve">AXI-DMA migration: at what stage the PS stops touching payload data.</w:t>
      </w:r>
    </w:p>
    <w:sectPr>
      <w:footerReference w:type="default" r:id="rId7"/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Packet Interconnect / Mini-NoC — Design Specification v0.2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pBdr>
        <w:bottom w:val="single" w:color="4F81BD" w:sz="8" w:space="4"/>
      </w:pBdr>
      <w:spacing w:after="300"/>
    </w:pPr>
    <w:rPr>
      <w:rFonts w:ascii="Aptos Display" w:cs="Aptos Display" w:eastAsia="Aptos Display" w:hAnsi="Aptos Display"/>
      <w:color w:val="17365D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480"/>
      <w:outlineLvl w:val="0"/>
    </w:pPr>
    <w:rPr>
      <w:rFonts w:ascii="Aptos Display" w:cs="Aptos Display" w:eastAsia="Aptos Display" w:hAnsi="Aptos Display"/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ptos Display" w:cs="Aptos Display" w:eastAsia="Aptos Display" w:hAnsi="Aptos Display"/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2026-09-19T07:02:52.357Z</dcterms:created>
  <dcterms:modified xsi:type="dcterms:W3CDTF">2026-09-19T07:02:52.367Z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