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b/>
                <w:color w:val="1A1A1A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left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left"/>
            </w:pPr>
            <w:r>
              <w:rPr>
                <w:i/>
                <w:color w:val="C0392B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RESUMEN PROFESIONAL</w:t>
      </w: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LOGROS CLAVE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EXPERIENCIA PROFESIONAL</w:t>
      </w:r>
    </w:p>
    <w:p>
      <w:pPr>
        <w:spacing w:before="40" w:after="0" w:line="220" w:lineRule="exact"/>
      </w:pPr>
      <w:r>
        <w:rPr>
          <w:b/>
          <w:color w:val="1A1A1A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333333"/>
          <w:sz w:val="18"/>
        </w:rPr>
        <w:t>Koh Young Technology</w:t>
      </w:r>
      <w:r>
        <w:rPr>
          <w:color w:val="C0392B"/>
          <w:sz w:val="18"/>
        </w:rPr>
        <w:t xml:space="preserve">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EDUCACION</w:t>
      </w: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C0392B"/>
          <w:sz w:val="18"/>
        </w:rPr>
        <w:t>Instituto Tecnologico de Colima | 2018 - 2023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CURSOS Y CERTIFICACIONES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HABILIDADES</w:t>
      </w: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IDIOMAS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