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 TDAH pode ser um desafio para toda a vida — e precisa ser tratado desde cedo</w:t>
      </w:r>
    </w:p>
    <w:p>
      <w:pPr>
        <w:spacing w:after="120" w:before="120"/>
      </w:pPr>
      <w:r>
        <w:rPr>
          <w:rFonts w:ascii="Arial" w:cs="Arial" w:eastAsia="Arial" w:hAnsi="Arial"/>
          <w:sz w:val="24"/>
          <w:szCs w:val="24"/>
        </w:rPr>
        <w:t xml:space="preserve">Os indivíduos com TDAH demonstram grandes dificuldades em manter a atenção em um fato, podem também apresentar muitos comportamentos impulsivos e/ou hiperativos. Em geral essas características estão presentes desde muito cedo em suas vidas, em grau intenso e inadequado para a idade ou nível de desenvolvimento. O resultado disso são os comprometimentos que essas pessoas demonstram na sua capacidade de:</w:t>
      </w:r>
    </w:p>
    <w:p>
      <w:pPr>
        <w:pStyle w:val="ListParagraph"/>
        <w:numPr>
          <w:ilvl w:val="0"/>
          <w:numId w:val="2"/>
        </w:numPr>
        <w:spacing w:after="80" w:before="80"/>
      </w:pPr>
      <w:r>
        <w:rPr>
          <w:rFonts w:ascii="Arial" w:cs="Arial" w:eastAsia="Arial" w:hAnsi="Arial"/>
          <w:sz w:val="24"/>
          <w:szCs w:val="24"/>
        </w:rPr>
        <w:t xml:space="preserve">Prestar atenção;</w:t>
      </w:r>
    </w:p>
    <w:p>
      <w:pPr>
        <w:pStyle w:val="ListParagraph"/>
        <w:numPr>
          <w:ilvl w:val="0"/>
          <w:numId w:val="2"/>
        </w:numPr>
        <w:spacing w:after="80" w:before="80"/>
      </w:pPr>
      <w:r>
        <w:rPr>
          <w:rFonts w:ascii="Arial" w:cs="Arial" w:eastAsia="Arial" w:hAnsi="Arial"/>
          <w:sz w:val="24"/>
          <w:szCs w:val="24"/>
        </w:rPr>
        <w:t xml:space="preserve">Restringir movimentos, a criança não para, escala, corre sem parar;</w:t>
      </w:r>
    </w:p>
    <w:p>
      <w:pPr>
        <w:pStyle w:val="ListParagraph"/>
        <w:numPr>
          <w:ilvl w:val="0"/>
          <w:numId w:val="2"/>
        </w:numPr>
        <w:spacing w:after="80" w:before="80"/>
      </w:pPr>
      <w:r>
        <w:rPr>
          <w:rFonts w:ascii="Arial" w:cs="Arial" w:eastAsia="Arial" w:hAnsi="Arial"/>
          <w:sz w:val="24"/>
          <w:szCs w:val="24"/>
        </w:rPr>
        <w:t xml:space="preserve">Inibir impulsos, a criança não consegue esperar o momento de dar uma resposta ou não espera sua vez em uma fila e;</w:t>
      </w:r>
    </w:p>
    <w:p>
      <w:pPr>
        <w:pStyle w:val="ListParagraph"/>
        <w:numPr>
          <w:ilvl w:val="0"/>
          <w:numId w:val="2"/>
        </w:numPr>
        <w:spacing w:after="80" w:before="80"/>
      </w:pPr>
      <w:r>
        <w:rPr>
          <w:rFonts w:ascii="Arial" w:cs="Arial" w:eastAsia="Arial" w:hAnsi="Arial"/>
          <w:sz w:val="24"/>
          <w:szCs w:val="24"/>
        </w:rPr>
        <w:t xml:space="preserve">Regular o próprio comportamento no que diz respeito às regras, ao tempo e ao futuro.</w:t>
      </w:r>
    </w:p>
    <w:p>
      <w:pPr>
        <w:spacing w:after="80" w:before="80"/>
      </w:pPr>
      <w:r>
        <w:t xml:space="preserve"/>
      </w:r>
    </w:p>
    <w:p>
      <w:pPr>
        <w:spacing w:after="120" w:before="120"/>
      </w:pPr>
      <w:r>
        <w:rPr>
          <w:rFonts w:ascii="Arial" w:cs="Arial" w:eastAsia="Arial" w:hAnsi="Arial"/>
          <w:sz w:val="24"/>
          <w:szCs w:val="24"/>
        </w:rPr>
        <w:t xml:space="preserve">O TDAH não é um problema somente de criança, como muitos pensam. Mais de 60% das crianças com TDAH se tornam um adulto com TDAH. Esse fato, em geral, pode causar dificuldades tanto para crianças em período escolar, quanto para os adultos que trabalham, os que são casados e os que tem filhos.</w:t>
      </w:r>
    </w:p>
    <w:p>
      <w:pPr>
        <w:spacing w:after="80" w:before="80"/>
      </w:pPr>
      <w:r>
        <w:t xml:space="preserve"/>
      </w:r>
    </w:p>
    <w:p>
      <w:pPr>
        <w:spacing w:after="120" w:before="120"/>
      </w:pPr>
      <w:r>
        <w:rPr>
          <w:rFonts w:ascii="Arial" w:cs="Arial" w:eastAsia="Arial" w:hAnsi="Arial"/>
          <w:sz w:val="24"/>
          <w:szCs w:val="24"/>
        </w:rPr>
        <w:t xml:space="preserve">Adultos que acreditaram que o TDAH era um problema exclusivamente infantil, ou não receberam o diagnóstico e nem o tratamento adequado conviveram com os prejuízos causados pelo TDAH durante toda uma vida. Dessa forma, é de suma importância conhecer os sintomas do TDAH na criança para compreender melhor seu potencial impacto na vida adulta.</w:t>
      </w:r>
    </w:p>
    <w:p>
      <w:pPr>
        <w:spacing w:after="80" w:before="80"/>
      </w:pPr>
      <w:r>
        <w:t xml:space="preserve"/>
      </w:r>
    </w:p>
    <w:p>
      <w:pPr>
        <w:spacing w:after="120" w:before="120"/>
      </w:pPr>
      <w:r>
        <w:rPr>
          <w:rFonts w:ascii="Arial" w:cs="Arial" w:eastAsia="Arial" w:hAnsi="Arial"/>
          <w:sz w:val="24"/>
          <w:szCs w:val="24"/>
        </w:rPr>
        <w:t xml:space="preserve">De acordo com a classificação do Transtorno, ele pode se apresentar com perfil predominantemente desatento, Hiperativo/Impulsivo ou misto que abrange as duas formas de sintomas. Veja a seguir, exemplos práticos de queixas sobre crianças com TDAH.</w:t>
      </w:r>
    </w:p>
    <w:p>
      <w:pPr>
        <w:spacing w:after="80" w:before="80"/>
      </w:pPr>
      <w:r>
        <w:t xml:space="preserve"/>
      </w:r>
    </w:p>
    <w:p>
      <w:pPr>
        <w:pStyle w:val="Heading2"/>
      </w:pPr>
      <w:r>
        <w:t xml:space="preserve">TDAH predominantemente desatento.</w:t>
      </w:r>
    </w:p>
    <w:p>
      <w:pPr>
        <w:spacing w:after="120" w:before="120"/>
      </w:pPr>
      <w:r>
        <w:rPr>
          <w:rFonts w:ascii="Arial" w:cs="Arial" w:eastAsia="Arial" w:hAnsi="Arial"/>
          <w:sz w:val="24"/>
          <w:szCs w:val="24"/>
        </w:rPr>
        <w:t xml:space="preserve">Muitas vezes, os pais e professores as descrevem uma criança desatentas assim:</w:t>
      </w:r>
    </w:p>
    <w:p>
      <w:pPr>
        <w:pStyle w:val="ListParagraph"/>
        <w:numPr>
          <w:ilvl w:val="0"/>
          <w:numId w:val="2"/>
        </w:numPr>
        <w:spacing w:after="80" w:before="80"/>
      </w:pPr>
      <w:r>
        <w:rPr>
          <w:rFonts w:ascii="Arial" w:cs="Arial" w:eastAsia="Arial" w:hAnsi="Arial"/>
          <w:sz w:val="24"/>
          <w:szCs w:val="24"/>
        </w:rPr>
        <w:t xml:space="preserve">"Parece não esse menino não me ouve",</w:t>
      </w:r>
    </w:p>
    <w:p>
      <w:pPr>
        <w:pStyle w:val="ListParagraph"/>
        <w:numPr>
          <w:ilvl w:val="0"/>
          <w:numId w:val="2"/>
        </w:numPr>
        <w:spacing w:after="80" w:before="80"/>
      </w:pPr>
      <w:r>
        <w:rPr>
          <w:rFonts w:ascii="Arial" w:cs="Arial" w:eastAsia="Arial" w:hAnsi="Arial"/>
          <w:sz w:val="24"/>
          <w:szCs w:val="24"/>
        </w:rPr>
        <w:t xml:space="preserve">"Quase nunca ele termina as tarefas",</w:t>
      </w:r>
    </w:p>
    <w:p>
      <w:pPr>
        <w:pStyle w:val="ListParagraph"/>
        <w:numPr>
          <w:ilvl w:val="0"/>
          <w:numId w:val="2"/>
        </w:numPr>
        <w:spacing w:after="80" w:before="80"/>
      </w:pPr>
      <w:r>
        <w:rPr>
          <w:rFonts w:ascii="Arial" w:cs="Arial" w:eastAsia="Arial" w:hAnsi="Arial"/>
          <w:sz w:val="24"/>
          <w:szCs w:val="24"/>
        </w:rPr>
        <w:t xml:space="preserve">"Minha filha vive sonhando acordada",</w:t>
      </w:r>
    </w:p>
    <w:p>
      <w:pPr>
        <w:pStyle w:val="ListParagraph"/>
        <w:numPr>
          <w:ilvl w:val="0"/>
          <w:numId w:val="2"/>
        </w:numPr>
        <w:spacing w:after="80" w:before="80"/>
      </w:pPr>
      <w:r>
        <w:rPr>
          <w:rFonts w:ascii="Arial" w:cs="Arial" w:eastAsia="Arial" w:hAnsi="Arial"/>
          <w:sz w:val="24"/>
          <w:szCs w:val="24"/>
        </w:rPr>
        <w:t xml:space="preserve">"Não aguento mais comprar material escolar para meu filho, ele perde as coisas o tempo todo, haja borracha, lápis e caneta",</w:t>
      </w:r>
    </w:p>
    <w:p>
      <w:pPr>
        <w:pStyle w:val="ListParagraph"/>
        <w:numPr>
          <w:ilvl w:val="0"/>
          <w:numId w:val="2"/>
        </w:numPr>
        <w:spacing w:after="80" w:before="80"/>
      </w:pPr>
      <w:r>
        <w:rPr>
          <w:rFonts w:ascii="Arial" w:cs="Arial" w:eastAsia="Arial" w:hAnsi="Arial"/>
          <w:sz w:val="24"/>
          <w:szCs w:val="24"/>
        </w:rPr>
        <w:t xml:space="preserve">"Essa criança não se concentra, sempre fica perdida em sala de aula, olhar distante e vago",</w:t>
      </w:r>
    </w:p>
    <w:p>
      <w:pPr>
        <w:pStyle w:val="ListParagraph"/>
        <w:numPr>
          <w:ilvl w:val="0"/>
          <w:numId w:val="2"/>
        </w:numPr>
        <w:spacing w:after="80" w:before="80"/>
      </w:pPr>
      <w:r>
        <w:rPr>
          <w:rFonts w:ascii="Arial" w:cs="Arial" w:eastAsia="Arial" w:hAnsi="Arial"/>
          <w:sz w:val="24"/>
          <w:szCs w:val="24"/>
        </w:rPr>
        <w:t xml:space="preserve">"Seu filho distrai-se facilmente, não pode passar nada em sua frente que já muda sua atenção e perde as explicações da aula",</w:t>
      </w:r>
    </w:p>
    <w:p>
      <w:pPr>
        <w:pStyle w:val="ListParagraph"/>
        <w:numPr>
          <w:ilvl w:val="0"/>
          <w:numId w:val="2"/>
        </w:numPr>
        <w:spacing w:after="80" w:before="80"/>
      </w:pPr>
      <w:r>
        <w:rPr>
          <w:rFonts w:ascii="Arial" w:cs="Arial" w:eastAsia="Arial" w:hAnsi="Arial"/>
          <w:sz w:val="24"/>
          <w:szCs w:val="24"/>
        </w:rPr>
        <w:t xml:space="preserve">"Realmente, essa criança não consegue realizar as atividades de aula e deveres de casa sem supervisão. Se não tiver alguém ao lado direcionando seu foco, não consegue fazer o que é preciso",</w:t>
      </w:r>
    </w:p>
    <w:p>
      <w:pPr>
        <w:pStyle w:val="ListParagraph"/>
        <w:numPr>
          <w:ilvl w:val="0"/>
          <w:numId w:val="2"/>
        </w:numPr>
        <w:spacing w:after="80" w:before="80"/>
      </w:pPr>
      <w:r>
        <w:rPr>
          <w:rFonts w:ascii="Arial" w:cs="Arial" w:eastAsia="Arial" w:hAnsi="Arial"/>
          <w:sz w:val="24"/>
          <w:szCs w:val="24"/>
        </w:rPr>
        <w:t xml:space="preserve">"Essa aluna muda de uma atividade para outra sem completar nenhuma, vive abandonando o que começa a fazer",</w:t>
      </w:r>
    </w:p>
    <w:p>
      <w:pPr>
        <w:pStyle w:val="ListParagraph"/>
        <w:numPr>
          <w:ilvl w:val="0"/>
          <w:numId w:val="2"/>
        </w:numPr>
        <w:spacing w:after="80" w:before="80"/>
      </w:pPr>
      <w:r>
        <w:rPr>
          <w:rFonts w:ascii="Arial" w:cs="Arial" w:eastAsia="Arial" w:hAnsi="Arial"/>
          <w:sz w:val="24"/>
          <w:szCs w:val="24"/>
        </w:rPr>
        <w:t xml:space="preserve">"Essa criança parece confusa ou estar nas nuvens";</w:t>
      </w:r>
    </w:p>
    <w:p>
      <w:pPr>
        <w:pStyle w:val="ListParagraph"/>
        <w:numPr>
          <w:ilvl w:val="0"/>
          <w:numId w:val="2"/>
        </w:numPr>
        <w:spacing w:after="80" w:before="80"/>
      </w:pPr>
      <w:r>
        <w:rPr>
          <w:rFonts w:ascii="Arial" w:cs="Arial" w:eastAsia="Arial" w:hAnsi="Arial"/>
          <w:sz w:val="24"/>
          <w:szCs w:val="24"/>
        </w:rPr>
        <w:t xml:space="preserve">"A criança apresenta certa lentidão para responder as perguntas. Em geral ela é mais lenta e passiva."</w:t>
      </w:r>
    </w:p>
    <w:p>
      <w:pPr>
        <w:spacing w:after="80" w:before="80"/>
      </w:pPr>
      <w:r>
        <w:t xml:space="preserve"/>
      </w:r>
    </w:p>
    <w:p>
      <w:pPr>
        <w:pStyle w:val="Heading2"/>
      </w:pPr>
      <w:r>
        <w:t xml:space="preserve">TDAH predominantemente hiperativo/impulsivo.</w:t>
      </w:r>
    </w:p>
    <w:p>
      <w:pPr>
        <w:spacing w:after="120" w:before="120"/>
      </w:pPr>
      <w:r>
        <w:rPr>
          <w:rFonts w:ascii="Arial" w:cs="Arial" w:eastAsia="Arial" w:hAnsi="Arial"/>
          <w:sz w:val="24"/>
          <w:szCs w:val="24"/>
        </w:rPr>
        <w:t xml:space="preserve">Esse subtipo de apresentação do TDAH revela comportamentos de falta de inibição e hiperatividade/impulsividade associadas. Em geral, essas crianças são descritas assim:</w:t>
      </w:r>
    </w:p>
    <w:p>
      <w:pPr>
        <w:pStyle w:val="ListParagraph"/>
        <w:numPr>
          <w:ilvl w:val="0"/>
          <w:numId w:val="2"/>
        </w:numPr>
        <w:spacing w:after="80" w:before="80"/>
      </w:pPr>
      <w:r>
        <w:rPr>
          <w:rFonts w:ascii="Arial" w:cs="Arial" w:eastAsia="Arial" w:hAnsi="Arial"/>
          <w:sz w:val="24"/>
          <w:szCs w:val="24"/>
        </w:rPr>
        <w:t xml:space="preserve">Mexe e remexe excessivamente. É muito inquieta e agitada. Seus movimentos corporais são brutos e desnecessários.</w:t>
      </w:r>
    </w:p>
    <w:p>
      <w:pPr>
        <w:pStyle w:val="ListParagraph"/>
        <w:numPr>
          <w:ilvl w:val="0"/>
          <w:numId w:val="2"/>
        </w:numPr>
        <w:spacing w:after="80" w:before="80"/>
      </w:pPr>
      <w:r>
        <w:rPr>
          <w:rFonts w:ascii="Arial" w:cs="Arial" w:eastAsia="Arial" w:hAnsi="Arial"/>
          <w:sz w:val="24"/>
          <w:szCs w:val="24"/>
        </w:rPr>
        <w:t xml:space="preserve">Vive fora de sua cadeira, anda pela sala de aula sem permissão, mexendo os braços e as pernas incessantemente enquanto trabalham, brincando com objetos que não estão relacionados com a tarefa e fala fora de sua vez e fazendo sons vocais inusitados;</w:t>
      </w:r>
    </w:p>
    <w:p>
      <w:pPr>
        <w:pStyle w:val="ListParagraph"/>
        <w:numPr>
          <w:ilvl w:val="0"/>
          <w:numId w:val="2"/>
        </w:numPr>
        <w:spacing w:after="80" w:before="80"/>
      </w:pPr>
      <w:r>
        <w:rPr>
          <w:rFonts w:ascii="Arial" w:cs="Arial" w:eastAsia="Arial" w:hAnsi="Arial"/>
          <w:sz w:val="24"/>
          <w:szCs w:val="24"/>
        </w:rPr>
        <w:t xml:space="preserve">Essa criança sempre responde de forma rápida às situações, não espera que as instruções sejam concluídas; responde às tarefas sem entender adequadamente o que deve fazer e, frequentemente, erra em sua execução</w:t>
      </w:r>
    </w:p>
    <w:p>
      <w:pPr>
        <w:pStyle w:val="ListParagraph"/>
        <w:numPr>
          <w:ilvl w:val="0"/>
          <w:numId w:val="2"/>
        </w:numPr>
        <w:spacing w:after="80" w:before="80"/>
      </w:pPr>
      <w:r>
        <w:rPr>
          <w:rFonts w:ascii="Arial" w:cs="Arial" w:eastAsia="Arial" w:hAnsi="Arial"/>
          <w:sz w:val="24"/>
          <w:szCs w:val="24"/>
        </w:rPr>
        <w:t xml:space="preserve">Meu filho é muito descuidado e negligente com suas tarefas;</w:t>
      </w:r>
    </w:p>
    <w:p>
      <w:pPr>
        <w:pStyle w:val="ListParagraph"/>
        <w:numPr>
          <w:ilvl w:val="0"/>
          <w:numId w:val="2"/>
        </w:numPr>
        <w:spacing w:after="80" w:before="80"/>
      </w:pPr>
      <w:r>
        <w:rPr>
          <w:rFonts w:ascii="Arial" w:cs="Arial" w:eastAsia="Arial" w:hAnsi="Arial"/>
          <w:sz w:val="24"/>
          <w:szCs w:val="24"/>
        </w:rPr>
        <w:t xml:space="preserve">Parece que meu filho correr riscos sem necessidade, muitas vezes por desafio ou capricho de um amigo, e isso ocorre com muita frequência.</w:t>
      </w:r>
    </w:p>
    <w:p>
      <w:pPr>
        <w:pStyle w:val="ListParagraph"/>
        <w:numPr>
          <w:ilvl w:val="0"/>
          <w:numId w:val="2"/>
        </w:numPr>
        <w:spacing w:after="80" w:before="80"/>
      </w:pPr>
      <w:r>
        <w:rPr>
          <w:rFonts w:ascii="Arial" w:cs="Arial" w:eastAsia="Arial" w:hAnsi="Arial"/>
          <w:sz w:val="24"/>
          <w:szCs w:val="24"/>
        </w:rPr>
        <w:t xml:space="preserve">Meu filho apronta muito, se machuca cotidianamente.</w:t>
      </w:r>
    </w:p>
    <w:p>
      <w:pPr>
        <w:pStyle w:val="ListParagraph"/>
        <w:numPr>
          <w:ilvl w:val="0"/>
          <w:numId w:val="2"/>
        </w:numPr>
        <w:spacing w:after="80" w:before="80"/>
      </w:pPr>
      <w:r>
        <w:rPr>
          <w:rFonts w:ascii="Arial" w:cs="Arial" w:eastAsia="Arial" w:hAnsi="Arial"/>
          <w:sz w:val="24"/>
          <w:szCs w:val="24"/>
        </w:rPr>
        <w:t xml:space="preserve">A criança de forma frequente danifica ou destrói os objetos de outros.</w:t>
      </w:r>
    </w:p>
    <w:p>
      <w:pPr>
        <w:pStyle w:val="ListParagraph"/>
        <w:numPr>
          <w:ilvl w:val="0"/>
          <w:numId w:val="2"/>
        </w:numPr>
        <w:spacing w:after="80" w:before="80"/>
      </w:pPr>
      <w:r>
        <w:rPr>
          <w:rFonts w:ascii="Arial" w:cs="Arial" w:eastAsia="Arial" w:hAnsi="Arial"/>
          <w:sz w:val="24"/>
          <w:szCs w:val="24"/>
        </w:rPr>
        <w:t xml:space="preserve">Esperar para meu filho é um problema. Pedir para que ele espere sua vez em um jogo ou em uma fila pode ser um pesadelo.</w:t>
      </w:r>
    </w:p>
    <w:p>
      <w:pPr>
        <w:pStyle w:val="ListParagraph"/>
        <w:numPr>
          <w:ilvl w:val="0"/>
          <w:numId w:val="2"/>
        </w:numPr>
        <w:spacing w:after="80" w:before="80"/>
      </w:pPr>
      <w:r>
        <w:rPr>
          <w:rFonts w:ascii="Arial" w:cs="Arial" w:eastAsia="Arial" w:hAnsi="Arial"/>
          <w:sz w:val="24"/>
          <w:szCs w:val="24"/>
        </w:rPr>
        <w:t xml:space="preserve">Meu filho realiza atividades quando eu o gratifico, porém não espera a gratificação, ele quer recebê-la imediatamente.</w:t>
      </w:r>
    </w:p>
    <w:p>
      <w:pPr>
        <w:pStyle w:val="ListParagraph"/>
        <w:numPr>
          <w:ilvl w:val="0"/>
          <w:numId w:val="2"/>
        </w:numPr>
        <w:spacing w:after="80" w:before="80"/>
      </w:pPr>
      <w:r>
        <w:rPr>
          <w:rFonts w:ascii="Arial" w:cs="Arial" w:eastAsia="Arial" w:hAnsi="Arial"/>
          <w:sz w:val="24"/>
          <w:szCs w:val="24"/>
        </w:rPr>
        <w:t xml:space="preserve">Em geral objetivos de longo prazo não motivam meu filho, ele prefere ser recompensado por gratificações imediatas.</w:t>
      </w:r>
    </w:p>
    <w:p>
      <w:pPr>
        <w:pStyle w:val="ListParagraph"/>
        <w:numPr>
          <w:ilvl w:val="0"/>
          <w:numId w:val="2"/>
        </w:numPr>
        <w:spacing w:after="80" w:before="80"/>
      </w:pPr>
      <w:r>
        <w:rPr>
          <w:rFonts w:ascii="Arial" w:cs="Arial" w:eastAsia="Arial" w:hAnsi="Arial"/>
          <w:sz w:val="24"/>
          <w:szCs w:val="24"/>
        </w:rPr>
        <w:t xml:space="preserve">Meu filho sempre opta por tomar o caminho mais curto nas atividades que precisa realizar, tende a tomar "atalhos" no trabalho.</w:t>
      </w:r>
    </w:p>
    <w:p>
      <w:pPr>
        <w:pStyle w:val="ListParagraph"/>
        <w:numPr>
          <w:ilvl w:val="0"/>
          <w:numId w:val="2"/>
        </w:numPr>
        <w:spacing w:after="80" w:before="80"/>
      </w:pPr>
      <w:r>
        <w:rPr>
          <w:rFonts w:ascii="Arial" w:cs="Arial" w:eastAsia="Arial" w:hAnsi="Arial"/>
          <w:sz w:val="24"/>
          <w:szCs w:val="24"/>
        </w:rPr>
        <w:t xml:space="preserve">Meu filho tende a aplicando a menor quantidade de esforço possível e levando a menor quantidade de tempo para realizar tarefas que considerem chatas ou monótonas.</w:t>
      </w:r>
    </w:p>
    <w:p>
      <w:pPr>
        <w:pStyle w:val="ListParagraph"/>
        <w:numPr>
          <w:ilvl w:val="0"/>
          <w:numId w:val="2"/>
        </w:numPr>
        <w:spacing w:after="80" w:before="80"/>
      </w:pPr>
      <w:r>
        <w:rPr>
          <w:rFonts w:ascii="Arial" w:cs="Arial" w:eastAsia="Arial" w:hAnsi="Arial"/>
          <w:sz w:val="24"/>
          <w:szCs w:val="24"/>
        </w:rPr>
        <w:t xml:space="preserve">Quando prometo ao meu filho levá-lo ao shopping, não aguento o excesso de incomodo durante o período de espera. Ele tem aversão a espera e age muito impulsivamente.</w:t>
      </w:r>
    </w:p>
    <w:p>
      <w:pPr>
        <w:pStyle w:val="ListParagraph"/>
        <w:numPr>
          <w:ilvl w:val="0"/>
          <w:numId w:val="2"/>
        </w:numPr>
        <w:spacing w:after="80" w:before="80"/>
      </w:pPr>
      <w:r>
        <w:rPr>
          <w:rFonts w:ascii="Arial" w:cs="Arial" w:eastAsia="Arial" w:hAnsi="Arial"/>
          <w:sz w:val="24"/>
          <w:szCs w:val="24"/>
        </w:rPr>
        <w:t xml:space="preserve">Se a criança está jogando ou interagindo com amigos em situações que envolvam compartilhamento, cooperação e restrições o problema é certo.</w:t>
      </w:r>
    </w:p>
    <w:p>
      <w:pPr>
        <w:pStyle w:val="ListParagraph"/>
        <w:numPr>
          <w:ilvl w:val="0"/>
          <w:numId w:val="2"/>
        </w:numPr>
        <w:spacing w:after="80" w:before="80"/>
      </w:pPr>
      <w:r>
        <w:rPr>
          <w:rFonts w:ascii="Arial" w:cs="Arial" w:eastAsia="Arial" w:hAnsi="Arial"/>
          <w:sz w:val="24"/>
          <w:szCs w:val="24"/>
        </w:rPr>
        <w:t xml:space="preserve">Essa criança fala indiscrições, sem consideração pelos sentimentos das outras pessoas ou pelas consequências sociais para si mesmas.</w:t>
      </w:r>
    </w:p>
    <w:p>
      <w:pPr>
        <w:pStyle w:val="ListParagraph"/>
        <w:numPr>
          <w:ilvl w:val="0"/>
          <w:numId w:val="2"/>
        </w:numPr>
        <w:spacing w:after="80" w:before="80"/>
      </w:pPr>
      <w:r>
        <w:rPr>
          <w:rFonts w:ascii="Arial" w:cs="Arial" w:eastAsia="Arial" w:hAnsi="Arial"/>
          <w:sz w:val="24"/>
          <w:szCs w:val="24"/>
        </w:rPr>
        <w:t xml:space="preserve">É comum meu filho responder perguntas com antecedência e interromper as conversas das outras pessoas.</w:t>
      </w:r>
    </w:p>
    <w:p>
      <w:pPr>
        <w:spacing w:after="80" w:before="80"/>
      </w:pPr>
      <w:r>
        <w:t xml:space="preserve"/>
      </w:r>
    </w:p>
    <w:p>
      <w:pPr>
        <w:spacing w:after="120" w:before="120"/>
      </w:pPr>
      <w:r>
        <w:rPr>
          <w:rFonts w:ascii="Arial" w:cs="Arial" w:eastAsia="Arial" w:hAnsi="Arial"/>
          <w:sz w:val="24"/>
          <w:szCs w:val="24"/>
        </w:rPr>
        <w:t xml:space="preserve">Para leigos, a impressão que se tem dessas crianças é que elas são egoístas, têm pouco autocontrole, falam demais, são irresponsáveis, imaturas, infantis, preguiçosas ou rudes. Não é de admirar que essas crianças sofram mais punições, críticas, censura e exclusão dos adultos e de seus amigos do que crianças que não têm TDAH.</w:t>
      </w:r>
    </w:p>
    <w:p>
      <w:pPr>
        <w:spacing w:after="80" w:before="80"/>
      </w:pPr>
      <w:r>
        <w:t xml:space="preserve"/>
      </w:r>
    </w:p>
    <w:p>
      <w:pPr>
        <w:pStyle w:val="Heading2"/>
      </w:pPr>
      <w:r>
        <w:t xml:space="preserve">Os problemas mais frequentes envolvendo crianças e adultos com TDAH são:</w:t>
      </w:r>
    </w:p>
    <w:p>
      <w:pPr>
        <w:spacing w:after="80" w:before="80"/>
      </w:pPr>
      <w:r>
        <w:t xml:space="preserve"/>
      </w:r>
    </w:p>
    <w:p>
      <w:pPr>
        <w:spacing w:after="120" w:before="120"/>
      </w:pPr>
      <w:r>
        <w:rPr>
          <w:rFonts w:ascii="Arial" w:cs="Arial" w:eastAsia="Arial" w:hAnsi="Arial"/>
          <w:b/>
          <w:bCs/>
          <w:sz w:val="24"/>
          <w:szCs w:val="24"/>
        </w:rPr>
        <w:t xml:space="preserve">Em crianças e adolescentes:</w:t>
      </w:r>
    </w:p>
    <w:p>
      <w:pPr>
        <w:pStyle w:val="ListParagraph"/>
        <w:numPr>
          <w:ilvl w:val="0"/>
          <w:numId w:val="2"/>
        </w:numPr>
        <w:spacing w:after="80" w:before="80"/>
      </w:pPr>
      <w:r>
        <w:rPr>
          <w:rFonts w:ascii="Arial" w:cs="Arial" w:eastAsia="Arial" w:hAnsi="Arial"/>
          <w:sz w:val="24"/>
          <w:szCs w:val="24"/>
        </w:rPr>
        <w:t xml:space="preserve">Maior frequência de acidentes;</w:t>
      </w:r>
    </w:p>
    <w:p>
      <w:pPr>
        <w:pStyle w:val="ListParagraph"/>
        <w:numPr>
          <w:ilvl w:val="0"/>
          <w:numId w:val="2"/>
        </w:numPr>
        <w:spacing w:after="80" w:before="80"/>
      </w:pPr>
      <w:r>
        <w:rPr>
          <w:rFonts w:ascii="Arial" w:cs="Arial" w:eastAsia="Arial" w:hAnsi="Arial"/>
          <w:sz w:val="24"/>
          <w:szCs w:val="24"/>
        </w:rPr>
        <w:t xml:space="preserve">Mais problemas de aprendizado escolar;</w:t>
      </w:r>
    </w:p>
    <w:p>
      <w:pPr>
        <w:pStyle w:val="ListParagraph"/>
        <w:numPr>
          <w:ilvl w:val="0"/>
          <w:numId w:val="2"/>
        </w:numPr>
        <w:spacing w:after="80" w:before="80"/>
      </w:pPr>
      <w:r>
        <w:rPr>
          <w:rFonts w:ascii="Arial" w:cs="Arial" w:eastAsia="Arial" w:hAnsi="Arial"/>
          <w:sz w:val="24"/>
          <w:szCs w:val="24"/>
        </w:rPr>
        <w:t xml:space="preserve">Maior frequência de reprovações, expulsões e abandono escolar;</w:t>
      </w:r>
    </w:p>
    <w:p>
      <w:pPr>
        <w:pStyle w:val="ListParagraph"/>
        <w:numPr>
          <w:ilvl w:val="0"/>
          <w:numId w:val="2"/>
        </w:numPr>
        <w:spacing w:after="80" w:before="80"/>
      </w:pPr>
      <w:r>
        <w:rPr>
          <w:rFonts w:ascii="Arial" w:cs="Arial" w:eastAsia="Arial" w:hAnsi="Arial"/>
          <w:sz w:val="24"/>
          <w:szCs w:val="24"/>
        </w:rPr>
        <w:t xml:space="preserve">Maior incidência de abuso de álcool e drogas ao final da adolescência;</w:t>
      </w:r>
    </w:p>
    <w:p>
      <w:pPr>
        <w:pStyle w:val="ListParagraph"/>
        <w:numPr>
          <w:ilvl w:val="0"/>
          <w:numId w:val="2"/>
        </w:numPr>
        <w:spacing w:after="80" w:before="80"/>
      </w:pPr>
      <w:r>
        <w:rPr>
          <w:rFonts w:ascii="Arial" w:cs="Arial" w:eastAsia="Arial" w:hAnsi="Arial"/>
          <w:sz w:val="24"/>
          <w:szCs w:val="24"/>
        </w:rPr>
        <w:t xml:space="preserve">Maior incidência de depressão, ansiedade e de obesidade.</w:t>
      </w:r>
    </w:p>
    <w:p>
      <w:pPr>
        <w:spacing w:after="80" w:before="80"/>
      </w:pPr>
      <w:r>
        <w:t xml:space="preserve"/>
      </w:r>
    </w:p>
    <w:p>
      <w:pPr>
        <w:spacing w:after="120" w:before="120"/>
      </w:pPr>
      <w:r>
        <w:rPr>
          <w:rFonts w:ascii="Arial" w:cs="Arial" w:eastAsia="Arial" w:hAnsi="Arial"/>
          <w:b/>
          <w:bCs/>
          <w:sz w:val="24"/>
          <w:szCs w:val="24"/>
        </w:rPr>
        <w:t xml:space="preserve">Em adultos:</w:t>
      </w:r>
    </w:p>
    <w:p>
      <w:pPr>
        <w:pStyle w:val="ListParagraph"/>
        <w:numPr>
          <w:ilvl w:val="0"/>
          <w:numId w:val="2"/>
        </w:numPr>
        <w:spacing w:after="80" w:before="80"/>
      </w:pPr>
      <w:r>
        <w:rPr>
          <w:rFonts w:ascii="Arial" w:cs="Arial" w:eastAsia="Arial" w:hAnsi="Arial"/>
          <w:sz w:val="24"/>
          <w:szCs w:val="24"/>
        </w:rPr>
        <w:t xml:space="preserve">Maior incidência de desemprego;</w:t>
      </w:r>
    </w:p>
    <w:p>
      <w:pPr>
        <w:pStyle w:val="ListParagraph"/>
        <w:numPr>
          <w:ilvl w:val="0"/>
          <w:numId w:val="2"/>
        </w:numPr>
        <w:spacing w:after="80" w:before="80"/>
      </w:pPr>
      <w:r>
        <w:rPr>
          <w:rFonts w:ascii="Arial" w:cs="Arial" w:eastAsia="Arial" w:hAnsi="Arial"/>
          <w:sz w:val="24"/>
          <w:szCs w:val="24"/>
        </w:rPr>
        <w:t xml:space="preserve">Maior incidência de divórcio;</w:t>
      </w:r>
    </w:p>
    <w:p>
      <w:pPr>
        <w:pStyle w:val="ListParagraph"/>
        <w:numPr>
          <w:ilvl w:val="0"/>
          <w:numId w:val="2"/>
        </w:numPr>
        <w:spacing w:after="80" w:before="80"/>
      </w:pPr>
      <w:r>
        <w:rPr>
          <w:rFonts w:ascii="Arial" w:cs="Arial" w:eastAsia="Arial" w:hAnsi="Arial"/>
          <w:sz w:val="24"/>
          <w:szCs w:val="24"/>
        </w:rPr>
        <w:t xml:space="preserve">Menos anos de escolaridade completados;</w:t>
      </w:r>
    </w:p>
    <w:p>
      <w:pPr>
        <w:pStyle w:val="ListParagraph"/>
        <w:numPr>
          <w:ilvl w:val="0"/>
          <w:numId w:val="2"/>
        </w:numPr>
        <w:spacing w:after="80" w:before="80"/>
      </w:pPr>
      <w:r>
        <w:rPr>
          <w:rFonts w:ascii="Arial" w:cs="Arial" w:eastAsia="Arial" w:hAnsi="Arial"/>
          <w:sz w:val="24"/>
          <w:szCs w:val="24"/>
        </w:rPr>
        <w:t xml:space="preserve">Maior frequência de acidentes com veículos;</w:t>
      </w:r>
    </w:p>
    <w:p>
      <w:pPr>
        <w:pStyle w:val="ListParagraph"/>
        <w:numPr>
          <w:ilvl w:val="0"/>
          <w:numId w:val="2"/>
        </w:numPr>
        <w:spacing w:after="80" w:before="80"/>
      </w:pPr>
      <w:r>
        <w:rPr>
          <w:rFonts w:ascii="Arial" w:cs="Arial" w:eastAsia="Arial" w:hAnsi="Arial"/>
          <w:sz w:val="24"/>
          <w:szCs w:val="24"/>
        </w:rPr>
        <w:t xml:space="preserve">Maior incidência de abuso de álcool e drogas;</w:t>
      </w:r>
    </w:p>
    <w:p>
      <w:pPr>
        <w:pStyle w:val="ListParagraph"/>
        <w:numPr>
          <w:ilvl w:val="0"/>
          <w:numId w:val="2"/>
        </w:numPr>
        <w:spacing w:after="80" w:before="80"/>
      </w:pPr>
      <w:r>
        <w:rPr>
          <w:rFonts w:ascii="Arial" w:cs="Arial" w:eastAsia="Arial" w:hAnsi="Arial"/>
          <w:sz w:val="24"/>
          <w:szCs w:val="24"/>
        </w:rPr>
        <w:t xml:space="preserve">Maior incidência de depressão, ansiedade e de obesidade.</w:t>
      </w:r>
    </w:p>
    <w:p>
      <w:pPr>
        <w:spacing w:after="80" w:before="80"/>
      </w:pPr>
      <w:r>
        <w:t xml:space="preserve"/>
      </w:r>
    </w:p>
    <w:p>
      <w:pPr>
        <w:spacing w:after="120" w:before="120"/>
      </w:pPr>
      <w:r>
        <w:rPr>
          <w:rFonts w:ascii="Arial" w:cs="Arial" w:eastAsia="Arial" w:hAnsi="Arial"/>
          <w:sz w:val="24"/>
          <w:szCs w:val="24"/>
        </w:rPr>
        <w:t xml:space="preserve">Precisamos conhecer para reconhecer essas crianças entre nós, elas sofrem quando não são cuidadas a tempo. Um adulto com TDAH diagnosticado adequadamente enquanto criança tem maior probabilidade de vencer as adversidades do Transtorno.</w:t>
      </w:r>
    </w:p>
    <w:p>
      <w:pPr>
        <w:spacing w:after="80" w:before="80"/>
      </w:pPr>
      <w:r>
        <w:t xml:space="preserve"/>
      </w:r>
    </w:p>
    <w:p>
      <w:pPr>
        <w:spacing w:after="120" w:before="120"/>
      </w:pPr>
      <w:r>
        <w:rPr>
          <w:rFonts w:ascii="Arial" w:cs="Arial" w:eastAsia="Arial" w:hAnsi="Arial"/>
          <w:sz w:val="24"/>
          <w:szCs w:val="24"/>
        </w:rPr>
        <w:t xml:space="preserve">Precisamos diagnosticar de forma responsável nossas crianças, antes que seja tarde demais. Precisamos intervir para apoiar a criança e a família no cuidado para com os pequenos. Se você conhece alguma criança que apresenta muitos comportamentos parecidos com os que apresentamos aqui, você deve procurar ajuda de um profissional qualificado na área. Um médico e um neuropsicólogo são importantes para um diagnóstico apropriado.</w:t>
      </w:r>
    </w:p>
    <w:p>
      <w:pPr>
        <w:spacing w:after="80" w:before="80"/>
      </w:pPr>
      <w:r>
        <w:t xml:space="preserve"/>
      </w:r>
    </w:p>
    <w:p>
      <w:pPr>
        <w:spacing w:after="120" w:before="120"/>
      </w:pPr>
      <w:r>
        <w:rPr>
          <w:rFonts w:ascii="Arial" w:cs="Arial" w:eastAsia="Arial" w:hAnsi="Arial"/>
          <w:sz w:val="24"/>
          <w:szCs w:val="24"/>
        </w:rPr>
        <w:t xml:space="preserve">E nunca esqueça que a criança não sabe o que é certo ou errado, ela simplesmente se comporta e não consegue por si só, controlar totalmente seus impulsos e comportamento inadequados. Essa criança precisa de apoio e acolhimento pelos que a amam. Ela precisa ser reforçada positivamente e sentir que acreditam nela e em seu potencial.</w:t>
      </w:r>
    </w:p>
    <w:p>
      <w:pPr>
        <w:spacing w:after="80" w:before="80"/>
      </w:pPr>
      <w:r>
        <w:t xml:space="preserve"/>
      </w:r>
    </w:p>
    <w:p>
      <w:pPr>
        <w:pStyle w:val="Heading2"/>
      </w:pPr>
      <w:r>
        <w:t xml:space="preserve">Pais, nunca esqueçam da regra de ouro.</w:t>
      </w:r>
    </w:p>
    <w:p>
      <w:pPr>
        <w:spacing w:after="120" w:before="120"/>
      </w:pPr>
      <w:r>
        <w:rPr>
          <w:rFonts w:ascii="Arial" w:cs="Arial" w:eastAsia="Arial" w:hAnsi="Arial"/>
          <w:sz w:val="24"/>
          <w:szCs w:val="24"/>
        </w:rPr>
        <w:t xml:space="preserve">Lembre-se sempre que seu filho está sempre tentando corresponder às expectativas da família, mas às vezes não consegue. Vocês, pais, devem ser otimistas, pacientes e persistentes com ele. Não desanimem diante dos possíveis obstáculos!</w:t>
      </w:r>
    </w:p>
    <w:p>
      <w:pPr>
        <w:spacing w:after="80" w:before="80"/>
      </w:pPr>
      <w:r>
        <w:t xml:space="preserve"/>
      </w:r>
    </w:p>
    <w:p>
      <w:pPr>
        <w:pStyle w:val="Heading2"/>
      </w:pPr>
      <w:r>
        <w:t xml:space="preserve">Bibliografia:</w:t>
      </w:r>
    </w:p>
    <w:p>
      <w:pPr>
        <w:pStyle w:val="ListParagraph"/>
        <w:numPr>
          <w:ilvl w:val="0"/>
          <w:numId w:val="2"/>
        </w:numPr>
        <w:spacing w:after="80" w:before="80"/>
      </w:pPr>
      <w:r>
        <w:rPr>
          <w:rFonts w:ascii="Arial" w:cs="Arial" w:eastAsia="Arial" w:hAnsi="Arial"/>
          <w:sz w:val="24"/>
          <w:szCs w:val="24"/>
        </w:rPr>
        <w:t xml:space="preserve">Associação Brasileiro de Déficit de Atenção – ABDA. TDAH no adulto: algumas estratégias para o dia-a-dia. Acesso em: 8 de novembro de 2020. Site de Acesso: https://tdah.org.br/</w:t>
      </w:r>
    </w:p>
    <w:p>
      <w:pPr>
        <w:pStyle w:val="ListParagraph"/>
        <w:numPr>
          <w:ilvl w:val="0"/>
          <w:numId w:val="2"/>
        </w:numPr>
        <w:spacing w:after="80" w:before="80"/>
      </w:pPr>
      <w:r>
        <w:rPr>
          <w:rFonts w:ascii="Arial" w:cs="Arial" w:eastAsia="Arial" w:hAnsi="Arial"/>
          <w:sz w:val="24"/>
          <w:szCs w:val="24"/>
        </w:rPr>
        <w:t xml:space="preserve">Mattos, Paulo. No Mundo da Lua: Perguntas e respostas sobre Transtorno do Déficit de Atenção com Hiperatividade em Crianças, Adolescentes e Adultos. 16ª ed. Associação Brasileira de Déficit de Atenção e Hiperatividade – ABDA.</w:t>
      </w:r>
    </w:p>
    <w:p>
      <w:pPr>
        <w:pStyle w:val="ListParagraph"/>
        <w:numPr>
          <w:ilvl w:val="0"/>
          <w:numId w:val="2"/>
        </w:numPr>
        <w:spacing w:after="80" w:before="80"/>
      </w:pPr>
      <w:r>
        <w:rPr>
          <w:rFonts w:ascii="Arial" w:cs="Arial" w:eastAsia="Arial" w:hAnsi="Arial"/>
          <w:sz w:val="24"/>
          <w:szCs w:val="24"/>
        </w:rPr>
        <w:t xml:space="preserve">Manual diagnóstico e estatístico de transtornos mentais: DSM-5. 5. ed. Porto Alegre: Artmed, 2014.</w:t>
      </w:r>
    </w:p>
    <w:p>
      <w:pPr>
        <w:pStyle w:val="ListParagraph"/>
        <w:numPr>
          <w:ilvl w:val="0"/>
          <w:numId w:val="2"/>
        </w:numPr>
        <w:spacing w:after="80" w:before="80"/>
      </w:pPr>
      <w:r>
        <w:rPr>
          <w:rFonts w:ascii="Arial" w:cs="Arial" w:eastAsia="Arial" w:hAnsi="Arial"/>
          <w:sz w:val="24"/>
          <w:szCs w:val="24"/>
        </w:rPr>
        <w:t xml:space="preserve">Barkley, A. R. &amp; cols. Transtorno do Déficit de Atenção e Hiperatividade: manual para diagnóstico e tratamento. 3. ed. – Dados eletrônicos. – Porto Alegre: Artmed, 2008.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2026-05-19T15:16:19.177Z</dcterms:created>
  <dcterms:modified xsi:type="dcterms:W3CDTF">2026-05-19T15:16:19.177Z</dcterms:modified>
</cp:coreProperties>
</file>

<file path=docProps/custom.xml><?xml version="1.0" encoding="utf-8"?>
<Properties xmlns="http://schemas.openxmlformats.org/officeDocument/2006/custom-properties" xmlns:vt="http://schemas.openxmlformats.org/officeDocument/2006/docPropsVTypes"/>
</file>